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5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pStyle w:val="Compact"/>
        <w:numPr>
          <w:ilvl w:val="0"/>
          <w:numId w:val="1014"/>
        </w:numPr>
      </w:pPr>
      <w:r>
        <w:t xml:space="preserve">Signal 1</w:t>
      </w:r>
    </w:p>
    <w:p>
      <w:pPr>
        <w:pStyle w:val="Compact"/>
        <w:numPr>
          <w:ilvl w:val="0"/>
          <w:numId w:val="1014"/>
        </w:numPr>
      </w:pPr>
      <w:r>
        <w:t xml:space="preserve">Signal 2</w:t>
      </w:r>
    </w:p>
    <w:p>
      <w:pPr>
        <w:pStyle w:val="Compact"/>
        <w:numPr>
          <w:ilvl w:val="0"/>
          <w:numId w:val="1014"/>
        </w:numPr>
      </w:pPr>
      <w:r>
        <w:t xml:space="preserve">Signal 3 with rectangular window</w:t>
      </w:r>
    </w:p>
    <w:p>
      <w:pPr>
        <w:pStyle w:val="Compact"/>
        <w:numPr>
          <w:ilvl w:val="0"/>
          <w:numId w:val="1014"/>
        </w:numPr>
      </w:pPr>
      <w:r>
        <w:t xml:space="preserve">Signal 3 with Hanning window</w:t>
      </w:r>
    </w:p>
    <w:p>
      <w:pPr>
        <w:pStyle w:val="Compact"/>
        <w:numPr>
          <w:ilvl w:val="0"/>
          <w:numId w:val="1014"/>
        </w:numPr>
      </w:pPr>
      <w:r>
        <w:t xml:space="preserve">Signal 3 with rectangular window and changed x-axis</w:t>
      </w:r>
    </w:p>
    <w:p>
      <w:pPr>
        <w:pStyle w:val="FirstParagraph"/>
      </w:pPr>
      <w:r>
        <w:t xml:space="preserve">The manual also requests two Matlab plots</w:t>
      </w:r>
    </w:p>
    <w:p>
      <w:pPr>
        <w:pStyle w:val="Compact"/>
        <w:numPr>
          <w:ilvl w:val="0"/>
          <w:numId w:val="1015"/>
        </w:numPr>
      </w:pPr>
      <w:r>
        <w:t xml:space="preserve">Matlab plot of FFT magnitude for signal 3 with rectangular window</w:t>
      </w:r>
    </w:p>
    <w:p>
      <w:pPr>
        <w:pStyle w:val="Compact"/>
        <w:numPr>
          <w:ilvl w:val="0"/>
          <w:numId w:val="1015"/>
        </w:numPr>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pStyle w:val="Compact"/>
        <w:numPr>
          <w:ilvl w:val="0"/>
          <w:numId w:val="1016"/>
        </w:numPr>
      </w:pPr>
      <w:r>
        <w:t xml:space="preserve">Trace 1 vs. Trace 2</w:t>
      </w:r>
    </w:p>
    <w:p>
      <w:pPr>
        <w:pStyle w:val="Compact"/>
        <w:numPr>
          <w:ilvl w:val="0"/>
          <w:numId w:val="1017"/>
        </w:numPr>
      </w:pPr>
      <w:r>
        <w:t xml:space="preserve">Trace 1 vs. Trace 3</w:t>
      </w:r>
    </w:p>
    <w:p>
      <w:pPr>
        <w:pStyle w:val="Compact"/>
        <w:numPr>
          <w:ilvl w:val="0"/>
          <w:numId w:val="1018"/>
        </w:numPr>
      </w:pPr>
      <w:r>
        <w:t xml:space="preserve">Trace 3 vs. Trace 4</w:t>
      </w:r>
    </w:p>
    <w:p>
      <w:pPr>
        <w:pStyle w:val="Compact"/>
        <w:numPr>
          <w:ilvl w:val="0"/>
          <w:numId w:val="1019"/>
        </w:numPr>
      </w:pPr>
      <w:r>
        <w:t xml:space="preserve">Trace 4 vs. Trace 5</w:t>
      </w:r>
    </w:p>
    <w:p>
      <w:pPr>
        <w:pStyle w:val="Compact"/>
        <w:numPr>
          <w:ilvl w:val="0"/>
          <w:numId w:val="1020"/>
        </w:numPr>
      </w:pPr>
      <w:r>
        <w:t xml:space="preserve">Trace 3 vs. Matlab Plot 1</w:t>
      </w:r>
    </w:p>
    <w:p>
      <w:pPr>
        <w:pStyle w:val="Compact"/>
        <w:numPr>
          <w:ilvl w:val="0"/>
          <w:numId w:val="1021"/>
        </w:numPr>
      </w:pPr>
      <w:r>
        <w:t xml:space="preserve">Trace 4 vs. Matlab plot 2</w:t>
      </w:r>
    </w:p>
    <w:p>
      <w:pPr>
        <w:pStyle w:val="FirstParagraph"/>
      </w:pPr>
      <w:r>
        <w:t xml:space="preserve">Effort:</w:t>
      </w:r>
    </w:p>
    <w:p>
      <w:pPr>
        <w:pStyle w:val="Compact"/>
        <w:numPr>
          <w:ilvl w:val="0"/>
          <w:numId w:val="1022"/>
        </w:numPr>
      </w:pPr>
      <w:r>
        <w:t xml:space="preserve">Includes all side-by-side comparisons described in this section.</w:t>
      </w:r>
    </w:p>
    <w:p>
      <w:pPr>
        <w:pStyle w:val="Compact"/>
        <w:numPr>
          <w:ilvl w:val="0"/>
          <w:numId w:val="1023"/>
        </w:numPr>
      </w:pPr>
      <w:r>
        <w:t xml:space="preserve">All plots adhere to instructions in this section and in the manual (50 cycles on screen, FFT span 100 kHz, FFT center is 50 kHz), and all plots are easily legible.</w:t>
      </w:r>
    </w:p>
    <w:p>
      <w:pPr>
        <w:pStyle w:val="Compact"/>
        <w:numPr>
          <w:ilvl w:val="0"/>
          <w:numId w:val="1024"/>
        </w:numPr>
      </w:pPr>
      <w:r>
        <w:t xml:space="preserve">Includes a derivation that explains how frequency peaks in signal 3 relate to the input frequency and the shape of the wave.</w:t>
      </w:r>
    </w:p>
    <w:p>
      <w:pPr>
        <w:pStyle w:val="FirstParagraph"/>
      </w:pPr>
      <w:r>
        <w:t xml:space="preserve">Complete:</w:t>
      </w:r>
    </w:p>
    <w:p>
      <w:pPr>
        <w:pStyle w:val="Compact"/>
        <w:numPr>
          <w:ilvl w:val="0"/>
          <w:numId w:val="1025"/>
        </w:numPr>
      </w:pPr>
      <w:r>
        <w:t xml:space="preserve">All 1 sentence descriptions correctly relate features in side-by-side comparisons to FFT behavior.</w:t>
      </w:r>
    </w:p>
    <w:p>
      <w:pPr>
        <w:pStyle w:val="Compact"/>
        <w:numPr>
          <w:ilvl w:val="0"/>
          <w:numId w:val="1026"/>
        </w:numPr>
      </w:pPr>
      <w:r>
        <w:t xml:space="preserve">Derivation of frequency peak locations is succinct and correct.</w:t>
      </w:r>
    </w:p>
    <w:p>
      <w:pPr>
        <w:pStyle w:val="Compact"/>
        <w:numPr>
          <w:ilvl w:val="0"/>
          <w:numId w:val="1027"/>
        </w:numPr>
      </w:pPr>
      <w:r>
        <w:t xml:space="preserve">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pStyle w:val="Compact"/>
        <w:numPr>
          <w:ilvl w:val="0"/>
          <w:numId w:val="1028"/>
        </w:numPr>
      </w:pPr>
      <w:r>
        <w:t xml:space="preserve">Provides a picture of the microphone interface circuit, including the microphone.</w:t>
      </w:r>
    </w:p>
    <w:p>
      <w:pPr>
        <w:pStyle w:val="Compact"/>
        <w:numPr>
          <w:ilvl w:val="0"/>
          <w:numId w:val="1029"/>
        </w:numPr>
      </w:pPr>
      <w:r>
        <w:t xml:space="preserve">Provides a schematic of the microphone interface circuit, including the microphone.</w:t>
      </w:r>
    </w:p>
    <w:p>
      <w:pPr>
        <w:pStyle w:val="Compact"/>
        <w:numPr>
          <w:ilvl w:val="0"/>
          <w:numId w:val="1030"/>
        </w:numPr>
      </w:pPr>
      <w:r>
        <w:t xml:space="preserve">Includes some good-faith calculations predicting the bandwidth of each amplifier stage in the interface using the gain-bandwidth product.</w:t>
      </w:r>
    </w:p>
    <w:p>
      <w:pPr>
        <w:pStyle w:val="FirstParagraph"/>
      </w:pPr>
      <w:r>
        <w:t xml:space="preserve">Complete:</w:t>
      </w:r>
    </w:p>
    <w:p>
      <w:pPr>
        <w:pStyle w:val="Compact"/>
        <w:numPr>
          <w:ilvl w:val="0"/>
          <w:numId w:val="1031"/>
        </w:numPr>
      </w:pPr>
      <w:r>
        <w:t xml:space="preserve">Calculations of gain-bandwidth product are correct</w:t>
      </w:r>
    </w:p>
    <w:p>
      <w:pPr>
        <w:pStyle w:val="Compact"/>
        <w:numPr>
          <w:ilvl w:val="0"/>
          <w:numId w:val="1032"/>
        </w:numPr>
      </w:pPr>
      <w:r>
        <w:t xml:space="preserve">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pStyle w:val="Compact"/>
        <w:numPr>
          <w:ilvl w:val="0"/>
          <w:numId w:val="1033"/>
        </w:numPr>
      </w:pPr>
      <w:r>
        <w:t xml:space="preserve">The clap signal shows proper circuit operation: clap signal is centered at 0V, clap peak amplitude is measured as &gt; 100mV.</w:t>
      </w:r>
    </w:p>
    <w:p>
      <w:pPr>
        <w:pStyle w:val="Compact"/>
        <w:numPr>
          <w:ilvl w:val="0"/>
          <w:numId w:val="1034"/>
        </w:numPr>
      </w:pPr>
      <w:r>
        <w:t xml:space="preserve">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pStyle w:val="Compact"/>
        <w:numPr>
          <w:ilvl w:val="0"/>
          <w:numId w:val="1035"/>
        </w:numPr>
      </w:pPr>
      <w:r>
        <w:t xml:space="preserve">Makes claims about which beacon emits each frequency, and includes pictures and oscilloscope traces that support the claims.</w:t>
      </w:r>
    </w:p>
    <w:p>
      <w:pPr>
        <w:pStyle w:val="Compact"/>
        <w:numPr>
          <w:ilvl w:val="0"/>
          <w:numId w:val="1036"/>
        </w:numPr>
      </w:pPr>
      <w:r>
        <w:t xml:space="preserve">Include three plots of received Voltage magnitudes vs. distance, one for each emitter. Plots are clearly legible and labeled.</w:t>
      </w:r>
    </w:p>
    <w:p>
      <w:pPr>
        <w:pStyle w:val="FirstParagraph"/>
      </w:pPr>
      <w:r>
        <w:t xml:space="preserve">Complete:</w:t>
      </w:r>
    </w:p>
    <w:p>
      <w:pPr>
        <w:pStyle w:val="Compact"/>
        <w:numPr>
          <w:ilvl w:val="0"/>
          <w:numId w:val="1037"/>
        </w:numPr>
      </w:pPr>
      <w:r>
        <w:t xml:space="preserve">Includes calculations suggesting how frequently multipath patterns will repeat in data and how close to space x-axis samples to capture those patterns.</w:t>
      </w:r>
    </w:p>
    <w:p>
      <w:pPr>
        <w:pStyle w:val="Compact"/>
        <w:numPr>
          <w:ilvl w:val="0"/>
          <w:numId w:val="1038"/>
        </w:numPr>
      </w:pPr>
      <w:r>
        <w:t xml:space="preserve">Plots show multipath effects overlaid onto typical magnitude decay behavior.</w:t>
      </w:r>
    </w:p>
    <w:p>
      <w:pPr>
        <w:pStyle w:val="Compact"/>
        <w:numPr>
          <w:ilvl w:val="0"/>
          <w:numId w:val="1039"/>
        </w:numPr>
      </w:pPr>
      <w:r>
        <w:t xml:space="preserve">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pStyle w:val="Compact"/>
        <w:numPr>
          <w:ilvl w:val="0"/>
          <w:numId w:val="1040"/>
        </w:numPr>
      </w:pPr>
      <w:r>
        <w:t xml:space="preserve">Includes plots of FFT magnitude for 10 kS/s and 100 kS/s data. Plots are legible and labeled so it is clear which is which.</w:t>
      </w:r>
    </w:p>
    <w:p>
      <w:pPr>
        <w:pStyle w:val="Compact"/>
        <w:numPr>
          <w:ilvl w:val="0"/>
          <w:numId w:val="1041"/>
        </w:numPr>
      </w:pPr>
      <w:r>
        <w:t xml:space="preserve">Includes plots of time samples for 10 kS/s and 100 kS/s data. Plots are legible and labeled so it is clear which is which.</w:t>
      </w:r>
    </w:p>
    <w:p>
      <w:pPr>
        <w:pStyle w:val="FirstParagraph"/>
      </w:pPr>
      <w:r>
        <w:t xml:space="preserve">Complete:</w:t>
      </w:r>
    </w:p>
    <w:p>
      <w:pPr>
        <w:pStyle w:val="Compact"/>
        <w:numPr>
          <w:ilvl w:val="0"/>
          <w:numId w:val="1042"/>
        </w:numPr>
      </w:pPr>
      <w:r>
        <w:t xml:space="preserve">Explains discrepancies between measured data and data that is being transmitted in the tank using appropriate theory. 4-5 sentences.</w:t>
      </w:r>
    </w:p>
    <w:p>
      <w:pPr>
        <w:pStyle w:val="Compact"/>
        <w:numPr>
          <w:ilvl w:val="0"/>
          <w:numId w:val="1043"/>
        </w:numPr>
      </w:pPr>
      <w:r>
        <w:t xml:space="preserve">Includes calculations of minimum sampling rate for the tank.</w:t>
      </w:r>
    </w:p>
    <w:p>
      <w:pPr>
        <w:pStyle w:val="Compact"/>
        <w:numPr>
          <w:ilvl w:val="0"/>
          <w:numId w:val="1044"/>
        </w:numPr>
      </w:pPr>
      <w:r>
        <w:t xml:space="preserve">Includes plots of time data and FFT magnitude for tank data sampled at the minimum frequency.</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2025-04-26T06:35:25Z</dcterms:created>
  <dcterms:modified xsi:type="dcterms:W3CDTF">2025-04-26T06:35:25Z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