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McLaren Technical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u0a8fg8ag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kivge9gsaj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🔋 McLaren MCL39 – Ενσωμάτωση Κινητήρα &amp; Συσκευασία (Μέρος 2/4)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potzlh9x1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hbuma1mjy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Ενσωμάτωση Υβριδικής Μονάδας Mercedes-AMG M14E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Ως πελατειακή ομάδα της Mercedes, η McLaren χρησιμοποιεί την τελευταία έκδοση του υβριδικού συστήματος ισχύος (PU) M14E. Η ενσωμάτωσή του στη MCL39 αποτελεί παράδειγμα αριστοτεχνικού packaging και μηχανολογικής συνεργασίας, καθώς το μονοθέσιο έχει σχεδιαστεί για να υποστηρίζει μια επιθετική αεροδυναμική φιλοσοφία με το μικρότερο δυνατό όγκο περιφερειακών συστημάτων.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διευρυμένη είσοδος αέρα στον roll-hoop</w:t>
      </w:r>
      <w:r w:rsidDel="00000000" w:rsidR="00000000" w:rsidRPr="00000000">
        <w:rPr>
          <w:rtl w:val="0"/>
        </w:rPr>
        <w:t xml:space="preserve"> έχει διττό ρόλο: επιτρέπει την τροφοδοσία πρόσθετου ψυκτικού στοιχείου (πιθανώς intercooler ή oil cooler) και ταυτόχρονα απελευθερώνει όγκο στα sidepods. Η παραδοσιακή θερμική καταπόνηση των στοιχείων ελέγχεται πλέον κατά προτεραιότητα μέσω της άνω ροής, επιτρέποντας στους πλευρικούς αγωγούς να εξυπηρετούν αεροδυναμικές προτεραιότητες.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Παρά το γεγονός ότι η μεταφορά ενός ψυκτικού στοιχείου ψηλά στο μονοθέσιο αυξάνει το κέντρο βάρους, η McLaren αξιοποίησε τη σχετική απελευθέρωση χώρου για να αναπτύξει εξαιρετικά επιθετικό sidepod με μεγάλη undercut καμπυλότητα. Το αποτέλεσμα είναι </w:t>
      </w:r>
      <w:r w:rsidDel="00000000" w:rsidR="00000000" w:rsidRPr="00000000">
        <w:rPr>
          <w:b w:val="1"/>
          <w:rtl w:val="0"/>
        </w:rPr>
        <w:t xml:space="preserve">βελτιωμένος λόγος aero/thermo</w:t>
      </w:r>
      <w:r w:rsidDel="00000000" w:rsidR="00000000" w:rsidRPr="00000000">
        <w:rPr>
          <w:rtl w:val="0"/>
        </w:rPr>
        <w:t xml:space="preserve">, δηλαδή αυξημένη αεροδυναμική απόδοση χωρίς συμβιβασμούς στην ψύξη.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kkpmv504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Ψυκτική Στρατηγική &amp; Αποφυγή Drag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MCL39 έχει ελαχιστοποιήσει τα ανοίγματα εξαερισμού στο engine cover – οι παραδοσιακές γρίλιες είτε περιορίστηκαν δραστικά είτε καταργήθηκαν εντελώς σε κάποιες διαμορφώσεις. Η ομάδα φαίνεται να επιλέγει στρατηγική "σφραγισμένης" ψύξης για να περιορίσει το συνολικό drag και να εκμεταλλευτεί πλήρως το επιπλέον airflow που εξέρχεται από τις ψηλά τοποθετημένες απολήξεις.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Επιπλέον, η διαμόρφωση του engine cover (“cooling cannons”) είναι εξαιρετικά επίπεδη, με κατεύθυνση ροής προς τις πίσω αεροδυναμικές επιφάνειες – υποδεικνύοντας ότι η εξαγωγή θερμότητας έχει ενσωματωθεί στον σχεδιασμό ως παράγοντας επιτάχυνσης ροής (flow energization) και όχι απλώς απαγωγής.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htcu8nqvm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Εγκατάσταση Συστημάτων: ERS, ECU, Μπαταρία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εσωτερική τοποθέτηση των στοιχείων ελέγχου του ERS και της μπαταρίας (energy store) έχει γίνει με γνώμονα: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Τη </w:t>
      </w:r>
      <w:r w:rsidDel="00000000" w:rsidR="00000000" w:rsidRPr="00000000">
        <w:rPr>
          <w:b w:val="1"/>
          <w:rtl w:val="0"/>
        </w:rPr>
        <w:t xml:space="preserve">συγκέντρωση μάζας χαμηλά και κεντρικά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Την απελευθέρωση του κάτω μέρους του πατώματος για αεροδυναμική καθοδήγηση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Την ευθυγράμμιση με το επιθετικό geometry της ανάρτησης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Είναι αξιοσημείωτο ότι η McLaren επέτυχε την </w:t>
      </w:r>
      <w:r w:rsidDel="00000000" w:rsidR="00000000" w:rsidRPr="00000000">
        <w:rPr>
          <w:b w:val="1"/>
          <w:rtl w:val="0"/>
        </w:rPr>
        <w:t xml:space="preserve">τεχνική εναρμόνιση με την after-market χρήση του κιβωτίου ταχυτήτων της Mercedes</w:t>
      </w:r>
      <w:r w:rsidDel="00000000" w:rsidR="00000000" w:rsidRPr="00000000">
        <w:rPr>
          <w:rtl w:val="0"/>
        </w:rPr>
        <w:t xml:space="preserve">, αλλά προχώρησε σε δική της τοπολογία για τα pick-up points της πίσω ανάρτησης. Το αποτέλεσμα είναι ένα πίσω άκρο εξαιρετικά σφιχτό σε συσκευασία, χωρίς εκπτώσεις σε αξιοπιστία ή απόδοση.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4ukjortmf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Συγκριτική Ανάλυση Ενσωμάτωσης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90h24p06t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Ferrari SF-25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ως εργοστασιακή ομάδα διατηρεί το πλήρες design control. Η τοπολογία split-turbo του PU επιτρέπει πιο χαμηλό packaging και τα ψυγεία παραμένουν εντός των sidepods. Η Ferrari διατήρησε το κλασικό σχήμα εισαγωγής (τριγωνική/ωοειδής), με μικρές προσθήκες πρόσθετων εισόδων πλησίον του cockpit για ψύξη ηλεκτρονικών.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Σχεδιαστικά, η Ferrari επιδιώκει ελαχιστοποίηση του CoG μέσω pull-rod εμπρός και ομοιογενούς κατανομής μαζών – με έμφαση στη σταθερότητα πίσω άξονα.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93w54xeph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Red Bull RB21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Red Bull χρησιμοποιεί τον δικό της κινητήρα (Red Bull Powertrains, πρώην Honda) και έχει πλήρη ελευθερία ενσωμάτωσης. Το RB21 διατηρεί τη χαρακτηριστική </w:t>
      </w:r>
      <w:r w:rsidDel="00000000" w:rsidR="00000000" w:rsidRPr="00000000">
        <w:rPr>
          <w:b w:val="1"/>
          <w:rtl w:val="0"/>
        </w:rPr>
        <w:t xml:space="preserve">διπλή είσοδο αέρα στα sidepods</w:t>
      </w:r>
      <w:r w:rsidDel="00000000" w:rsidR="00000000" w:rsidRPr="00000000">
        <w:rPr>
          <w:rtl w:val="0"/>
        </w:rPr>
        <w:t xml:space="preserve"> (οριζόντια + κάθετη). Η ψύξη είναι διπλής φάσης με compact κάθετα ψυγεία και μικρού όγκου τοποθέτηση στον άξονα συμμετρίας.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πακέτο είναι το πιο “σφικτό” του grid. Η MCL39 πλησιάζει αυτή την προσέγγιση χάρη στον έξυπνο καταμερισμό μαζών και ανακατανομή όγκου μεταξύ roll-hoop και sidepods.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2gmzem3dr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⚪ Mercedes W16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εργοστασιακή ομάδα της Mercedes έκανε δραστική αναδιάρθρωση των εισαγωγών – χρησιμοποιώντας split intake system με κάθετη και οριζόντια ροή. Το sidepod διαθέτει “κάψα” (venturi bump) για τοπική επιτάχυνση ροής. Η Mercedes επανατοποθέτησε ERS και μπαταρία για να δημιουργήσει </w:t>
      </w:r>
      <w:r w:rsidDel="00000000" w:rsidR="00000000" w:rsidRPr="00000000">
        <w:rPr>
          <w:b w:val="1"/>
          <w:rtl w:val="0"/>
        </w:rPr>
        <w:t xml:space="preserve">κανάλι πλήρους μήκους κάτω από τα sidepods</w:t>
      </w:r>
      <w:r w:rsidDel="00000000" w:rsidR="00000000" w:rsidRPr="00000000">
        <w:rPr>
          <w:rtl w:val="0"/>
        </w:rPr>
        <w:t xml:space="preserve">, με στόχο την ενεργοποίηση του diffuser.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MCL39 πετυχαίνει παρόμοια ελευθερία χώρου με διαφορετικά μέσα – κυρίως μέσω αναδιανομής ψύξης και “έξυπνης” ενσωμάτωσης με δεδομένο gearbox.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