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McLaren Technical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ro1e8r89t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4lvhcgrc8j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⚙️ McLaren MCL39 – Ανάρτηση, Σασί &amp; Μηχανική Συμπεριφορά (Μέρος 3/4)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el46vlw4b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Εμπρός Ανάρτηση – Pull-Rod &amp; Anti-Dive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υιοθέτησε </w:t>
      </w:r>
      <w:r w:rsidDel="00000000" w:rsidR="00000000" w:rsidRPr="00000000">
        <w:rPr>
          <w:b w:val="1"/>
          <w:rtl w:val="0"/>
        </w:rPr>
        <w:t xml:space="preserve">pull-rod ανάρτηση εμπρός</w:t>
      </w:r>
      <w:r w:rsidDel="00000000" w:rsidR="00000000" w:rsidRPr="00000000">
        <w:rPr>
          <w:rtl w:val="0"/>
        </w:rPr>
        <w:t xml:space="preserve">, συνεχίζοντας την προσέγγιση που ξεκίνησε με την MCL38. Η επιλογή αυτή —αρχικά σπάνια στο grid— είναι πλέον κοινός παρονομαστής των κορυφαίων ομάδων (Ferrari, Red Bull), καθώς επιτρέπει: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Χαμηλότερη τοποθέτηση βραχιόνων και rockers</w:t>
      </w:r>
      <w:r w:rsidDel="00000000" w:rsidR="00000000" w:rsidRPr="00000000">
        <w:rPr>
          <w:rtl w:val="0"/>
        </w:rPr>
        <w:t xml:space="preserve">, άρα καλύτερο packaging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Ελεύθερη ροή αέρα προς τα venturi κανάλια του πατώματος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Μείωση του εμπρός CoG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γεωμετρία της MCL39 ενσωματώνει </w:t>
      </w:r>
      <w:r w:rsidDel="00000000" w:rsidR="00000000" w:rsidRPr="00000000">
        <w:rPr>
          <w:b w:val="1"/>
          <w:rtl w:val="0"/>
        </w:rPr>
        <w:t xml:space="preserve">υψηλό βαθμό anti-dive</w:t>
      </w:r>
      <w:r w:rsidDel="00000000" w:rsidR="00000000" w:rsidRPr="00000000">
        <w:rPr>
          <w:rtl w:val="0"/>
        </w:rPr>
        <w:t xml:space="preserve"> μέσω της κλίσης των άνω βραχιόνων προς τα κάτω. Αυτό ελαχιστοποιεί τη βύθιση του εμπρός άξονα στο φρενάρισμα – κρίσιμο για τη διατήρηση της αεροδυναμικής πλατφόρμας και την απόδοση των venturi. Η απόκριση του εμπρός μέρους γίνεται πιο απότομη, ενώ μειώνεται ο “αεροδυναμικός εκτροχιασμός”.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ad8nzxb3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Πίσω Ανάρτηση – Push-Rod &amp; Anti-Squat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MCL39 διατηρεί </w:t>
      </w:r>
      <w:r w:rsidDel="00000000" w:rsidR="00000000" w:rsidRPr="00000000">
        <w:rPr>
          <w:b w:val="1"/>
          <w:rtl w:val="0"/>
        </w:rPr>
        <w:t xml:space="preserve">push-rod διάταξη πίσω</w:t>
      </w:r>
      <w:r w:rsidDel="00000000" w:rsidR="00000000" w:rsidRPr="00000000">
        <w:rPr>
          <w:rtl w:val="0"/>
        </w:rPr>
        <w:t xml:space="preserve"> – επιλογή που έρχεται σε αντίθεση με την pull-rod αρχιτεκτονική της Red Bull και της Ferrari. Τα πλεονεκτήματα περιλαμβάνουν: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Καλύτερη απόσβεση και αντιστάθμιση του rear squat κατά την επιτάχυνση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Απλοποιημένο linkage σύστημα με μειωμένες στρεπτικές καταπονήσεις στο κιβώτιο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Βελτιωμένη δομική σταθερότητα, ιδίως σε corner exits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γεωμετρία παρέχει </w:t>
      </w:r>
      <w:r w:rsidDel="00000000" w:rsidR="00000000" w:rsidRPr="00000000">
        <w:rPr>
          <w:b w:val="1"/>
          <w:rtl w:val="0"/>
        </w:rPr>
        <w:t xml:space="preserve">anti-squat</w:t>
      </w:r>
      <w:r w:rsidDel="00000000" w:rsidR="00000000" w:rsidRPr="00000000">
        <w:rPr>
          <w:rtl w:val="0"/>
        </w:rPr>
        <w:t xml:space="preserve"> μέσω της κατακόρυφης διαφοροποίησης των βραχιόνων – αποτρέποντας την υπερβολική καθίζηση του πίσω άκρου και διατηρώντας το πάτωμα λειτουργικό σε υψηλά φορτία. Αυτό βοηθά στην ομαλή μεταφορά ροπής, αλλά και στον περιορισμό των διαταραχών στο diffuser.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r64w1mac9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Πλαίσιο &amp; Monocoque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σασί της MCL39 κατασκευάζεται εξ ολοκλήρου από </w:t>
      </w:r>
      <w:r w:rsidDel="00000000" w:rsidR="00000000" w:rsidRPr="00000000">
        <w:rPr>
          <w:b w:val="1"/>
          <w:rtl w:val="0"/>
        </w:rPr>
        <w:t xml:space="preserve">carbon-fiber monocoque</w:t>
      </w:r>
      <w:r w:rsidDel="00000000" w:rsidR="00000000" w:rsidRPr="00000000">
        <w:rPr>
          <w:rtl w:val="0"/>
        </w:rPr>
        <w:t xml:space="preserve">, με πρόσθετα στρώματα kevlar και Zylon στις περιοχές υψηλής φόρτισης. Τα κύρια χαρακτηριστικά περιλαμβάνουν: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Αυξημένη δομική ακαμψία</w:t>
      </w:r>
      <w:r w:rsidDel="00000000" w:rsidR="00000000" w:rsidRPr="00000000">
        <w:rPr>
          <w:rtl w:val="0"/>
        </w:rPr>
        <w:t xml:space="preserve"> γύρω από το bulkhead και τα suspension pickup points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Ενίσχυση πυθμένα</w:t>
      </w:r>
      <w:r w:rsidDel="00000000" w:rsidR="00000000" w:rsidRPr="00000000">
        <w:rPr>
          <w:rtl w:val="0"/>
        </w:rPr>
        <w:t xml:space="preserve"> με titanium inserts για τη διαχείριση βάρους ballast και προστασίας από kerb impacts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Ενσωμάτωση εσωτερικών εξαρτημάτων (μπαταρία, ECU) στο χαμηλότερο σημείο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Η McLaren επανασχεδίασε το bulkhead για να υποστηρίξει την αυξημένη anti-dive γωνία και να διατηρήσει την ακαμψία του chassis υπό δυναμικά φορτία. Το αποτέλεσμα είναι </w:t>
      </w:r>
      <w:r w:rsidDel="00000000" w:rsidR="00000000" w:rsidRPr="00000000">
        <w:rPr>
          <w:b w:val="1"/>
          <w:rtl w:val="0"/>
        </w:rPr>
        <w:t xml:space="preserve">πιο σταθερή πλατφόρμα, με βελτιωμένη απόκριση τιμονιού και φρένου.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f1cag4873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Κατανομή Βάρους &amp; Κέντρο Μάζας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MCL39 είναι σχεδιασμένη να λειτουργεί κοντά στο ελάχιστο επιτρεπόμενο βάρος των 796 kg (συμπεριλαμβανομένου οδηγού). Η κατανομή βάρους στοχεύει σε: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~46.5% εμπρός / 53.5% πίσω</w:t>
      </w:r>
      <w:r w:rsidDel="00000000" w:rsidR="00000000" w:rsidRPr="00000000">
        <w:rPr>
          <w:rtl w:val="0"/>
        </w:rPr>
        <w:t xml:space="preserve">, σύμφωνα με τα όρια της FIA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Κέντρο μάζας όσο το δυνατόν χαμηλότερο – επιτυγχάνεται με packaging στοιχείων κοντά στη βάση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Χρήση ballast για fine-tuning του balance σε κάθε πίστα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συνδυασμένη χρήση pull-rod εμπρός και push-rod πίσω, σε συνδυασμό με το ευέλικτο ballast configuration, επιτρέπει στην ομάδα να διαχειρίζεται δυναμικά το balance ανάλογα με την πίστα και τα χαρακτηριστικά φθοράς ελαστικών.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iy8hukimf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Συγκριτική Ανάλυση Ανάρτησης &amp; Σασί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lmcwgnp9x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Ferrari SF-25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Pull-rod εμπρός και πίσω, με μέτριο anti-dive. Το σασί εστιάζει στην ακαμψία και στην ευκολία προσαρμογής μέσω μηχανικών ρυθμίσεων. Παράγει υψηλό απόλυτο φορτίο, αλλά μπορεί να εμφανίζει ευαισθησία στις αλλαγές κλίσης.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5ozh402x7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Red Bull RB21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Push-rod εμπρός και πίσω, συντηρητικό anti-dive. Απόλυτη εναρμόνιση πλαισίου-αεροδυναμικής, αλλά πιο ήπια μηχανική απόδοση. Διατηρεί το platform control μέσω αεροδυναμικών στοιχείων και όχι μέσω ανάρτησης.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3c6bzfhmr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⚪ Mercedes W16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Push-rod εμπρός/πίσω, μέτρια γεωμετρία. Η ομάδα εστιάζει σε σταθερό brake performance και ακαμψία του monocoque. Έμφαση σε προβλεψιμότητα και φιλικότητα προς τον οδηγό.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Μέρος 4: Σύστημα Πέδησης, Cockpit &amp; Εξέλιξη στη Σεζόν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