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Default="00555D86">
      <w:pPr>
        <w:rPr>
          <w:lang w:val="de-DE"/>
        </w:rPr>
      </w:pPr>
      <w:r>
        <w:rPr>
          <w:lang w:val="de-DE"/>
        </w:rPr>
        <w:t xml:space="preserve">Random </w:t>
      </w:r>
      <w:proofErr w:type="spellStart"/>
      <w:r>
        <w:rPr>
          <w:lang w:val="de-DE"/>
        </w:rPr>
        <w:t>Misc</w:t>
      </w:r>
      <w:proofErr w:type="spellEnd"/>
    </w:p>
    <w:p w:rsidR="00555D86" w:rsidRDefault="00555D86">
      <w:pPr>
        <w:rPr>
          <w:lang w:val="de-DE"/>
        </w:rPr>
      </w:pPr>
    </w:p>
    <w:p w:rsidR="00555D86" w:rsidRPr="00555D86" w:rsidRDefault="00555D86">
      <w:r>
        <w:rPr>
          <w:rFonts w:ascii="Helvetica Neue" w:hAnsi="Helvetica Neue" w:cs="Helvetica Neue"/>
          <w:color w:val="000000"/>
          <w:kern w:val="0"/>
        </w:rPr>
        <w:t xml:space="preserve">Από το “GP2 </w:t>
      </w:r>
      <w:proofErr w:type="spellStart"/>
      <w:r>
        <w:rPr>
          <w:rFonts w:ascii="Helvetica Neue" w:hAnsi="Helvetica Neue" w:cs="Helvetica Neue"/>
          <w:color w:val="000000"/>
          <w:kern w:val="0"/>
        </w:rPr>
        <w:t>Engine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” στη Δόξα: Πώς η Honda Απέτυχε με τη </w:t>
      </w:r>
      <w:proofErr w:type="spellStart"/>
      <w:r>
        <w:rPr>
          <w:rFonts w:ascii="Helvetica Neue" w:hAnsi="Helvetica Neue" w:cs="Helvetica Neue"/>
          <w:color w:val="000000"/>
          <w:kern w:val="0"/>
        </w:rPr>
        <w:t>McLaren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αλλά Θριάμβευσε με τη Red </w:t>
      </w:r>
      <w:proofErr w:type="spellStart"/>
      <w:r>
        <w:rPr>
          <w:rFonts w:ascii="Helvetica Neue" w:hAnsi="Helvetica Neue" w:cs="Helvetica Neue"/>
          <w:color w:val="000000"/>
          <w:kern w:val="0"/>
        </w:rPr>
        <w:t>Bull</w:t>
      </w:r>
      <w:proofErr w:type="spellEnd"/>
    </w:p>
    <w:p w:rsidR="00555D86" w:rsidRPr="00555D86" w:rsidRDefault="00555D86"/>
    <w:p w:rsidR="00555D86" w:rsidRPr="00555D86" w:rsidRDefault="00555D86" w:rsidP="00555D8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Η ιστορία της Honda στη σύγχρονη εποχή της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Formula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1 μοιάζει με σενάριο κινηματογραφικό. Από τα πικρά χρόνια της αποτυχίας με τη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και τον περίφημο χαρακτηρισμό “GP2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engine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” του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Fernando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Alonso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, μέχρι τον θρίαμβο του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Max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Verstappen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και τον παγκόσμιο τίτλο του 2021, η διαδρομή της ιαπωνικής εταιρείας αποτυπώνει με εντυπωσιακό τρόπο τη δύναμη της τεχνικής εξέλιξης, της συνεργασίας και της αυτοκριτικής.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🔧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Η Επιστροφή με τη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: Μεγάλα Όνειρα, Μεγάλα Προβλήματα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Όταν η Honda ανακοίνωσε την επιστροφή της στη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 το 2015, επέλεξε να συνδεθεί αποκλειστικά με 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Η συνεργασία αυτή ήθελε να αναβιώσει τις ένδοξες μέρες των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Ayrton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Senna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Alain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Prost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Όμως η εποχή είχε αλλάξει. Η F1 βρισκόταν στην καρδιά της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υβριδικής επανάστασης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όπου οι κινητήρες δεν ήταν πλέον απλές μηχανές καύσης, αλλά σύνθετα ενεργειακά συστήματα που συνδύαζαν ηλεκτρική ανάκτηση, θερμική απόδοση και εξελιγμένο λογισμικό.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Honda, που είχε αποχωρήσει το 2008, επέστρεψε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πολύ αργά στο νέο τεχνολογικό κύμα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Ενώ 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Mercedes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η Renault είχαν ήδη αναπτύξει υβριδικά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power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units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από το 2011–2012, η Honda ξεκίνησε ουσιαστικά από λευκό χαρτί το 2013.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Και εκεί ήρθαν τα πρώτα στρατηγικά λάθη.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⚙️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Το “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Size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Zero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” που Έπνιξε τη Δύναμη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θέλοντας να αποκτήσει αεροδυναμικό πλεονέκτημα, απαίτησε από τη Honda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έναν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εξαιρετικά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συμπαγή κινητήρα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ώστε το πίσω μέρος του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μονοθεσίου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να γίνει όσο το δυνατόν πιο στενό. Η φιλοσοφία αυτή, γνωστή ως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“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Size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Zero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”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ήταν τεχνικά φιλόδοξη — αλλά μη ρεαλιστική.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κινητήρας RA615H της Honda ασφυκτιούσε μέσα στο σασί της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Το σύστημα ψύξης δεν επαρκούσε, οι θερμοκρασίες εκτοξεύονταν, και τα ηλεκτρικά συστήματα (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ERS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) παρουσίαζαν συνεχείς αστοχίες. Οι μηχανικοί της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ζητούσαν περισσότερη ισχύ, οι Ιάπωνες μηχανικοί απαντούσαν με προσοχή και σιωπή. Το αποτέλεσμα ήταν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ένα χάος συνεργασίας και επικοινωνίας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Τα προβλήματα επιδεινώθηκαν από την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έλλειψη ρεαλιστικών δοκιμών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Η Honda δεν διέθετε δοκιμαστικά δεδομένα από άλλες ομάδες, και το δυναμόμετρο στο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Sakura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δεν μπορούσε να αναπαραγάγει με ακρίβεια τις πραγματικές συνθήκες της πίστας. Έτσι, ό,τι φαινόταν να λειτουργεί στο εργαστήριο κατέρρεε στο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Grand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Prix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Το αποκορύφωμα ήρθε στο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GP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της Ιαπωνίας το 2015, όταν 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Alonso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εκνευρισμένος, χαρακτήρισε τον κινητήρα “GP2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engine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”. Ήταν η στιγμή που η σχέση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–Honda διαλύθηκε ψυχολογικά. Μέχρι το 2017, η συνεργασία είχε γίνει ανυπόφορη και οι δύο πλευρές τράβηξαν χωριστούς δρόμους.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🧩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Νέα Αρχή με τη Red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: Μαθαίνοντας από τα Λάθη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Μετά το διαζύγιο με 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η Honda έκανε αυτό που ξέρει καλύτερα: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επανεκκίνηση μεθοδική και ταπεινή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Το 2018 συνεργάστηκε με τη μικρότερη ομάδα 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Toro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Rosso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— μια ιδανική “εργαστηριακή” πλατφόρμα χωρίς πίεση πρωταθλητισμού. Εκεί, η Honda μπόρεσε να δοκιμάσει νέα αρχιτεκτονική κινητήρα, να πειραματιστεί με χαρτογραφήσεις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ERS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να αποκτήσει πολύτιμα δεδομένα.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Όταν το 2019 η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Red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Racing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αποφάσισε να εμπιστευτεί τη Honda, η κατάσταση ήταν τελείως διαφορετική. Οι Ιάπωνες μηχανικοί δεν ήρθαν πια ως “προμηθευτές”, αλλά ως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πλήρεις συνεργάτες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Οι δύο πλευρές συμφώνησαν σε κοινό στόχο, κοινή ανάπτυξη και συνεχή τεχνική ανταλλαγή.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🔬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Τεχνολογική Αναγέννηση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νέα σειρά κινητήρων (RA619H, RA620H, RA621H) απέδειξε πόσο πολύ είχε προχωρήσει η Honda.</w:t>
      </w:r>
    </w:p>
    <w:p w:rsidR="00555D86" w:rsidRPr="00555D86" w:rsidRDefault="00555D86" w:rsidP="0055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Υιοθετήθηκε 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split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turbo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σχεδίαση, που βελτίωσε τη θερμική απόδοση και μείωσε την καθυστέρηση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turbo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lag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555D86" w:rsidRPr="00555D86" w:rsidRDefault="00555D86" w:rsidP="0055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Εφαρμόστηκε 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Turbulent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Jet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Ignition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(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TJI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)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για αποτελεσματικότερη καύση.</w:t>
      </w:r>
    </w:p>
    <w:p w:rsidR="00555D86" w:rsidRPr="00555D86" w:rsidRDefault="00555D86" w:rsidP="0055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Το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Energy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Store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(μπαταρία) αναβαθμίστηκε δραστικά, προσφέροντας αποδοτικότερη χρήση ενέργειας από 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MGU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-K και 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MGU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-H.</w:t>
      </w:r>
    </w:p>
    <w:p w:rsidR="00555D86" w:rsidRPr="00555D86" w:rsidRDefault="00555D86" w:rsidP="0055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Η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αξιοπιστία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έγινε προτεραιότητα — και τα αποτελέσματα φάνηκαν από την πρώτη σεζόν.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Red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με την τεράστια εμπειρία του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Adrian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Newey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μπόρεσε να ενσωματώσει ιδανικά τον κινητήρα στο σασί της. Η συνεργασία αυτή χαρακτηρίστηκε από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εμπιστοσύνη και ευελιξία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: η Honda δεχόταν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feedback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η Red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παρείχε τεχνική ανατροφοδότηση σχεδόν σε πραγματικό χρόνο.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🏆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Από την Αποτυχία στην Τελειότητα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Το 2021, η Honda είδε την προσπάθειά της να δικαιώνεται με τον τίτλο του 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Max</w:t>
      </w:r>
      <w:proofErr w:type="spellEnd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Verstappen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μετά από έναν δραματικό αγώνα στο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Άμπου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Ντάμπι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Ο κινητήρας της ήταν πλέον στο ίδιο επίπεδο – αν όχι ανώτερος – από της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Mercedes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Η θερμική απόδοση είχε ξεπεράσει το 50%, η ισχύς πλησίαζε τα 1000 άλογα, και η αξιοπιστία ήταν υποδειγματική.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επιτυχία αυτή δεν ήταν μόνο τεχνική· ήταν και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φιλοσοφική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Η Honda είχε μάθει ότι στη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 δεν αρκεί να φτιάχνεις κινητήρες — πρέπει να φτιάχνεις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συνεργασίες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⚖️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Συγκριτική Ματιά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21"/>
        <w:gridCol w:w="3226"/>
      </w:tblGrid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Παράμετρος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McLaren</w:t>
            </w:r>
            <w:proofErr w:type="spellEnd"/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–Honda (2015–2017)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Red </w:t>
            </w:r>
            <w:proofErr w:type="spellStart"/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Bull</w:t>
            </w:r>
            <w:proofErr w:type="spellEnd"/>
            <w:r w:rsidRPr="00555D8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–Honda (2019–2021)</w:t>
            </w:r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Φιλοσοφία σχεδίασης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“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Size</w:t>
            </w:r>
            <w:proofErr w:type="spellEnd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Zero</w:t>
            </w:r>
            <w:proofErr w:type="spellEnd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” – 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υπερσυμπίεση</w:t>
            </w:r>
            <w:proofErr w:type="spellEnd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 χώρου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Ισορροπημένη, 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modular</w:t>
            </w:r>
            <w:proofErr w:type="spellEnd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 αρχιτεκτονική</w:t>
            </w:r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Θερμική απόδοση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&lt; 42%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&gt; 50%</w:t>
            </w:r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Ισχύς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~720 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 xml:space="preserve">~980 </w:t>
            </w:r>
            <w:proofErr w:type="spellStart"/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hp</w:t>
            </w:r>
            <w:proofErr w:type="spellEnd"/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Αξιοπιστία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Εξαιρετικά χαμηλή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Υψηλή</w:t>
            </w:r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Συνεργασία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Τεταμένη, γραφειοκρατική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Ενεργή, ειλικρινής, δημιουργική</w:t>
            </w:r>
          </w:p>
        </w:tc>
      </w:tr>
      <w:tr w:rsidR="00555D86" w:rsidRPr="00555D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Αποτελέσματα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0 βάθρα</w:t>
            </w:r>
          </w:p>
        </w:tc>
        <w:tc>
          <w:tcPr>
            <w:tcW w:w="0" w:type="auto"/>
            <w:vAlign w:val="center"/>
            <w:hideMark/>
          </w:tcPr>
          <w:p w:rsidR="00555D86" w:rsidRPr="00555D86" w:rsidRDefault="00555D86" w:rsidP="00555D86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555D86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Παγκόσμιος τίτλος (2021)</w:t>
            </w:r>
          </w:p>
        </w:tc>
      </w:tr>
    </w:tbl>
    <w:p w:rsidR="00555D86" w:rsidRPr="00555D86" w:rsidRDefault="00555D86" w:rsidP="00555D86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</w:r>
      <w:r w:rsidR="00555D86" w:rsidRPr="00555D86">
        <w:rPr>
          <w:rFonts w:ascii="Times New Roman" w:eastAsia="Times New Roman" w:hAnsi="Times New Roman" w:cs="Times New Roman"/>
          <w:noProof/>
          <w:kern w:val="0"/>
          <w:lang w:eastAsia="el-GR"/>
          <w14:ligatures w14:val="none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555D86" w:rsidRPr="00555D86" w:rsidRDefault="00555D86" w:rsidP="00555D8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555D8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Επίλογος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ιστορία της Honda στη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 είναι μια ωδή στην επιμονή και την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αυτοβελτίωση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Από την ταπείνωση του “GP2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engine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” μέχρι την κορυφή του βάθρου στο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Άμπου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Ντάμπι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η πορεία της εταιρείας δείχνει ότι η αποτυχία δεν είναι το τέλος — είναι το πιο ισχυρό καύσιμο για την επόμενη επιτυχία.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Η διαφορά δεν ήταν μόνο στον κινητήρα. Ήταν στη </w:t>
      </w:r>
      <w:r w:rsidRPr="00555D86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νοοτροπία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br/>
        <w:t xml:space="preserve">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έβλεπε τη Honda ως εργολάβο.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br/>
        <w:t xml:space="preserve">Η Red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την είδε ως σύμμαχο.</w:t>
      </w:r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br/>
        <w:t xml:space="preserve">Και στη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1, η συνεργασία είναι πάντα ο πιο δυνατός κινητήρας.</w:t>
      </w:r>
    </w:p>
    <w:p w:rsidR="00555D86" w:rsidRPr="00555D86" w:rsidRDefault="00555D86" w:rsidP="00555D8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Υγ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Φυσικά μιλάμε για την επίσημη παρουσία της Honda, και όχι στην μορφή της Red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bull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powertrains</w:t>
      </w:r>
      <w:proofErr w:type="spellEnd"/>
      <w:r w:rsidRPr="00555D86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που ισχύει από το 2022.</w:t>
      </w:r>
    </w:p>
    <w:p w:rsidR="00555D86" w:rsidRPr="00555D86" w:rsidRDefault="00555D86"/>
    <w:sectPr w:rsidR="00555D86" w:rsidRPr="00555D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C2FD8"/>
    <w:multiLevelType w:val="multilevel"/>
    <w:tmpl w:val="32D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51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86"/>
    <w:rsid w:val="000327CB"/>
    <w:rsid w:val="000D0E34"/>
    <w:rsid w:val="00555D86"/>
    <w:rsid w:val="005A63C3"/>
    <w:rsid w:val="006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2D61"/>
  <w15:chartTrackingRefBased/>
  <w15:docId w15:val="{5E5511AF-03B8-E042-9A16-F43BA24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5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5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5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55D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55D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55D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55D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55D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55D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55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5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5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5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55D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5D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5D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55D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5D8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5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55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4689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2025-10-09T13:00:00Z</dcterms:created>
  <dcterms:modified xsi:type="dcterms:W3CDTF">2025-10-09T13:01:00Z</dcterms:modified>
</cp:coreProperties>
</file>