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Софийски университет „Св. Климент Охридски“</w:t>
        <w:br w:type="textWrapping"/>
        <w:t xml:space="preserve"> Факултет по математика и информатика</w:t>
      </w:r>
    </w:p>
    <w:p w:rsidR="00000000" w:rsidDel="00000000" w:rsidP="00000000" w:rsidRDefault="00000000" w:rsidRPr="00000000" w14:paraId="00000002">
      <w:pPr>
        <w:spacing w:after="200" w:before="240" w:lineRule="auto"/>
        <w:jc w:val="left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Курсов проект по ИСТП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</w:t>
      </w:r>
    </w:p>
    <w:p w:rsidR="00000000" w:rsidDel="00000000" w:rsidP="00000000" w:rsidRDefault="00000000" w:rsidRPr="00000000" w14:paraId="00000007">
      <w:pPr>
        <w:pStyle w:val="Title"/>
        <w:spacing w:after="200" w:before="240" w:lineRule="auto"/>
        <w:jc w:val="center"/>
        <w:rPr/>
      </w:pPr>
      <w:bookmarkStart w:colFirst="0" w:colLast="0" w:name="_lqcfjsxchyow" w:id="0"/>
      <w:bookmarkEnd w:id="0"/>
      <w:r w:rsidDel="00000000" w:rsidR="00000000" w:rsidRPr="00000000">
        <w:rPr>
          <w:rtl w:val="0"/>
        </w:rPr>
        <w:t xml:space="preserve">Издаване на уведомление за одобрение/разрешение на промяна тип IБ в разрешение за употреба на лекарствени продукти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Изготвил: Георги Станачков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Факултетен номер: 7MI0700275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София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175oh8mgi0w" w:id="1"/>
      <w:bookmarkEnd w:id="1"/>
      <w:r w:rsidDel="00000000" w:rsidR="00000000" w:rsidRPr="00000000">
        <w:rPr>
          <w:rtl w:val="0"/>
        </w:rPr>
        <w:t xml:space="preserve">Съдържание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175oh8mgi0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Съдържание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6cb3iw2zp0u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juv3t4zeem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Модел на класовете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rwtoldz5l28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Модел на състоянията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1yv8lk30ksj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Модел на взаимоотношенията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u w:val="none"/>
            </w:rPr>
          </w:pPr>
          <w:hyperlink w:anchor="_ezgy31qcs6e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u w:val="none"/>
                <w:rtl w:val="0"/>
              </w:rPr>
              <w:t xml:space="preserve">Диаграма на дейностите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cb3iw2zp0u1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Изпълнителна агенция по лекарствата (ИАЛ) предоставя административна услуга за издаване на уведомление за одобрение или разрешение за промяна тип ІБ в разрешението за употреба на лекарствен продукт. Услугата обхваща случаите, когато се извършват изменения в разрешението за употреба на лекарствен продукт, които не водят до съществени промени в неговите характеристики. Тези промени могат да бъдат свързани с условията за производство, качеството или други детайли, които не влияят на безопасността и ефикасността на продукта.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Процедурата включва подаване на заявление, предоставяне на необходимата документация, оценка на промените и издаване на разрешение за промяна. Целта е да се осигури ефективен контрол върху лекарствените продукти, както и тяхната безопасност и качество на пазара, в съответствие с българското и европейското законодателство.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Услугата се предоставя в рамките на 30 дни от подаването на валидно заявление, като зависи от своевременната поддръжка на всички необходими документи и заплащането на съответната такса.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juv3t4zeemyb" w:id="3"/>
      <w:bookmarkEnd w:id="3"/>
      <w:r w:rsidDel="00000000" w:rsidR="00000000" w:rsidRPr="00000000">
        <w:rPr>
          <w:rtl w:val="0"/>
        </w:rPr>
        <w:t xml:space="preserve">Модел на класовете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диаграмата на класовете процесът е разбит на единици - наречени класове, за да се унагледят структурата на система чрез показване на класовете и техните взаимовръзки.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Посочено е, че едно заявление може да има един или два индивидуални административни акта поради предположението, че при неодобрение на промяната и съответното последващо предоставяне на времеви срок, в рамките на който трябва да се променят данните в РУ, би следвало да се изготви повторно индивидуален административен акт, който да указва дали се одобрява промяната или не. 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за употреба би трябвало да не бъде предоставено, в случай че процесът бъде прекратен в резултат на липса на добавена документация в указания срок, когато това се наложи. Това предположение е направено на базата на това, че стъпките са последователни и разрешението като документ не се изготвя в самото начало на процедурата, а чак когато процесът е достигнал до съответния етап.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8410388" cy="6186487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0388" cy="6186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wtoldz5l284" w:id="4"/>
      <w:bookmarkEnd w:id="4"/>
      <w:r w:rsidDel="00000000" w:rsidR="00000000" w:rsidRPr="00000000">
        <w:rPr>
          <w:rtl w:val="0"/>
        </w:rPr>
        <w:t xml:space="preserve">Модел на състоянията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275691</wp:posOffset>
            </wp:positionH>
            <wp:positionV relativeFrom="paragraph">
              <wp:posOffset>390525</wp:posOffset>
            </wp:positionV>
            <wp:extent cx="5296434" cy="814387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434" cy="814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Моделът на състоянията описва стъпките, през които се минава при издаване на уведомление за одобряване/разрешаване на промяна тип IБ в разрешение за употреба на лекарствен продукт. Стъпките са следните: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на процеса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Получаване на заявление за промяна тип ІБ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Подаване на заявление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по образец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Наредба № 27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за платена такса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Валидиране на заявлението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за пълнота на документацията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Ако документацията е непълна: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за липсващи документи/такса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Спиране на срок за оценка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Изчакване на допълнителни документи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Ако документацията е пълна: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за валидност на заявлението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Започване на срок за оценка (30 дни)</w:t>
      </w:r>
    </w:p>
    <w:p w:rsidR="00000000" w:rsidDel="00000000" w:rsidP="00000000" w:rsidRDefault="00000000" w:rsidRPr="00000000" w14:paraId="0000006E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на документацията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ИАЛ проверява документите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Ако има несъответствия: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до заявителя за корекции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спира до предоставяне на коригирани документи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Ако няма несъответствия: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Продължава оценката</w:t>
      </w:r>
    </w:p>
    <w:p w:rsidR="00000000" w:rsidDel="00000000" w:rsidP="00000000" w:rsidRDefault="00000000" w:rsidRPr="00000000" w14:paraId="00000076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Изготвяне на индивидуален административен акт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Одобрение на промяната: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Издаване на "Уведомление за одобрение"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Ако е необходимо, промяна в разрешението за употреба (до 6 месеца)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на промяната: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Издаване на уведомление за отказ с мотиви</w:t>
      </w:r>
    </w:p>
    <w:p w:rsidR="00000000" w:rsidDel="00000000" w:rsidP="00000000" w:rsidRDefault="00000000" w:rsidRPr="00000000" w14:paraId="0000007D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Връчване на индивидуален административен акт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Документът се връчва на заявителя или упълномощено лице</w:t>
      </w:r>
    </w:p>
    <w:p w:rsidR="00000000" w:rsidDel="00000000" w:rsidP="00000000" w:rsidRDefault="00000000" w:rsidRPr="00000000" w14:paraId="0000008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Завършване на процеса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Завършване на процедурата, ако заявлението е успешно одобрено или отказано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1yv8lk30ksjr" w:id="5"/>
      <w:bookmarkEnd w:id="5"/>
      <w:r w:rsidDel="00000000" w:rsidR="00000000" w:rsidRPr="00000000">
        <w:rPr>
          <w:rtl w:val="0"/>
        </w:rPr>
        <w:t xml:space="preserve">Модел на взаимоотношенията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485775</wp:posOffset>
            </wp:positionV>
            <wp:extent cx="7977513" cy="615791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7513" cy="615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допълнение към стъпките, които се извършват в хода на процедурата, описани при Модела на състоянията, Моделът на взаимоотношенията описва и всички участници, които участват в процеса.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Подателят на заявление е главен и единствен инициатор в посочената задача. Той заплаща таксата за услугата, събира и предава нужните документи, подава заявлението и при нужда допълва неточности или отстранява несъответствия.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 актьори са: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Служител на гише - извършва плащането на таксата за услугата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Служител от деловодството на ИАЛ - при подаване на заявление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Служител на ИАЛ - следящ процеса при различните му етапи; информира ПРУ при съответни събития (нужда от поправка в документите, несъответствия и т.н.)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zgy31qcs6et" w:id="6"/>
      <w:bookmarkEnd w:id="6"/>
      <w:r w:rsidDel="00000000" w:rsidR="00000000" w:rsidRPr="00000000">
        <w:rPr>
          <w:rtl w:val="0"/>
        </w:rPr>
        <w:t xml:space="preserve">Диаграма на дейностите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428625</wp:posOffset>
            </wp:positionV>
            <wp:extent cx="8310563" cy="6552559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0563" cy="655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4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