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三个因素：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形状</w:t>
      </w:r>
    </w:p>
    <w:p>
      <w:pPr>
        <w:numPr>
          <w:ilvl w:val="1"/>
          <w:numId w:val="1002"/>
        </w:numPr>
      </w:pPr>
      <w:r>
        <w:t xml:space="preserve">矩形：截面突变层不发生，滞后几层</w:t>
      </w:r>
    </w:p>
    <w:p>
      <w:pPr>
        <w:numPr>
          <w:ilvl w:val="1"/>
          <w:numId w:val="1002"/>
        </w:numPr>
      </w:pPr>
      <w:r>
        <w:t xml:space="preserve">同心：发生，强</w:t>
      </w:r>
    </w:p>
    <w:p>
      <w:pPr>
        <w:numPr>
          <w:ilvl w:val="1"/>
          <w:numId w:val="1002"/>
        </w:numPr>
      </w:pPr>
      <w:r>
        <w:t xml:space="preserve">偏心：发生，弱一些，（偏心：30%，同心：87%）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数量</w:t>
      </w:r>
    </w:p>
    <w:p>
      <w:pPr>
        <w:numPr>
          <w:ilvl w:val="1"/>
          <w:numId w:val="1003"/>
        </w:numPr>
      </w:pPr>
      <w:r>
        <w:t xml:space="preserve">20个小截面：发生</w:t>
      </w:r>
    </w:p>
    <w:p>
      <w:pPr>
        <w:numPr>
          <w:ilvl w:val="1"/>
          <w:numId w:val="1003"/>
        </w:numPr>
      </w:pPr>
      <w:r>
        <w:t xml:space="preserve">1个大截面：不发生</w:t>
      </w:r>
    </w:p>
    <w:p>
      <w:pPr>
        <w:numPr>
          <w:ilvl w:val="1"/>
          <w:numId w:val="1003"/>
        </w:numPr>
      </w:pPr>
      <w:r>
        <w:t xml:space="preserve">2个大截面：不发生</w:t>
      </w:r>
    </w:p>
    <w:p>
      <w:pPr>
        <w:numPr>
          <w:ilvl w:val="1"/>
          <w:numId w:val="1003"/>
        </w:numPr>
      </w:pPr>
      <w:r>
        <w:t xml:space="preserve">和数量强相关，少量时不发生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上下限</w:t>
      </w:r>
    </w:p>
    <w:p>
      <w:pPr>
        <w:numPr>
          <w:ilvl w:val="1"/>
          <w:numId w:val="1004"/>
        </w:numPr>
      </w:pPr>
      <w:r>
        <w:t xml:space="preserve">上限：</w:t>
      </w:r>
    </w:p>
    <w:p>
      <w:pPr>
        <w:numPr>
          <w:ilvl w:val="2"/>
          <w:numId w:val="1005"/>
        </w:numPr>
      </w:pPr>
      <w:r>
        <w:t xml:space="preserve">（标准圆形：SF加支撑策略）未添加支撑：</w:t>
      </w:r>
      <m:oMath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r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Sup>
              <m:e>
                <m:r>
                  <m:t>r</m:t>
                </m:r>
              </m:e>
              <m:sub>
                <m:r>
                  <m:t>1</m:t>
                </m:r>
              </m:sub>
              <m:sup>
                <m:r>
                  <m:t>1</m:t>
                </m:r>
              </m:sup>
            </m:sSub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h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bSup>
              <m:e>
                <m:r>
                  <m:t>r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den>
        </m:f>
        <m:r>
          <m:rPr>
            <m:sty m:val="p"/>
          </m:rPr>
          <m:t>&lt;</m:t>
        </m:r>
        <m:r>
          <m:t>3</m:t>
        </m:r>
      </m:oMath>
      <w:r>
        <w:t xml:space="preserve">，即：</w:t>
      </w:r>
      <m:oMath>
        <m:r>
          <m:t>0</m:t>
        </m:r>
        <m:r>
          <m:rPr>
            <m:sty m:val="p"/>
          </m:rPr>
          <m:t>&lt;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&lt;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， 即</w:t>
      </w:r>
      <w:r>
        <w:t xml:space="preserve"> </w:t>
      </w:r>
      <m:oMath>
        <m:r>
          <m:t>h</m:t>
        </m:r>
        <m:r>
          <m:rPr>
            <m:sty m:val="p"/>
          </m:rPr>
          <m:t>&lt;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e>
        </m:d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0.732</m:t>
        </m:r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1</m:t>
            </m:r>
          </m:sub>
        </m:sSub>
      </m:oMath>
    </w:p>
    <w:p>
      <w:pPr>
        <w:numPr>
          <w:ilvl w:val="2"/>
          <w:numId w:val="1005"/>
        </w:numPr>
      </w:pPr>
      <w:r>
        <w:t xml:space="preserve">14个像素（4K上约14*0.0535=0.749mm）——发生；</w:t>
      </w:r>
    </w:p>
    <w:p>
      <w:pPr>
        <w:numPr>
          <w:ilvl w:val="1"/>
          <w:numId w:val="1004"/>
        </w:numPr>
      </w:pPr>
      <w:r>
        <w:t xml:space="preserve">下限：4个像素（4K上约4*0.0535=0.214mm）——20个不发生，120个发生；</w:t>
      </w:r>
    </w:p>
    <w:p>
      <w:pPr>
        <w:numPr>
          <w:ilvl w:val="1"/>
          <w:numId w:val="1004"/>
        </w:numPr>
      </w:pPr>
      <w:r>
        <w:t xml:space="preserve">其他情况：</w:t>
      </w:r>
    </w:p>
    <w:p>
      <w:pPr>
        <w:numPr>
          <w:ilvl w:val="2"/>
          <w:numId w:val="1006"/>
        </w:numPr>
      </w:pPr>
      <w:r>
        <w:t xml:space="preserve">从支撑到基牙底柱变化时识别情况：使用分类好的图片SectionMedium和SectionLittle，排除支撑影响</w:t>
      </w:r>
    </w:p>
    <w:p>
      <w:pPr>
        <w:numPr>
          <w:ilvl w:val="2"/>
          <w:numId w:val="1006"/>
        </w:numPr>
      </w:pPr>
      <w:r>
        <w:t xml:space="preserve">使用100um，200um不同切片层厚切时上下限像素：按上面确定的上下限识别</w:t>
      </w:r>
    </w:p>
    <w:p>
      <w:pPr>
        <w:pStyle w:val="FirstParagraph"/>
      </w:pPr>
      <w:r>
        <w:t xml:space="preserve">方案：</w:t>
      </w:r>
    </w:p>
    <w:p>
      <w:pPr>
        <w:numPr>
          <w:ilvl w:val="0"/>
          <w:numId w:val="1007"/>
        </w:numPr>
      </w:pPr>
      <w:r>
        <w:t xml:space="preserve">截面按</w:t>
      </w:r>
      <w:r>
        <w:rPr>
          <w:rStyle w:val="VerbatimChar"/>
        </w:rPr>
        <w:t xml:space="preserve">Section10</w:t>
      </w:r>
      <w:r>
        <w:t xml:space="preserve">，</w:t>
      </w:r>
      <w:r>
        <w:rPr>
          <w:rStyle w:val="VerbatimChar"/>
        </w:rPr>
        <w:t xml:space="preserve">SectionBig</w:t>
      </w:r>
      <w:r>
        <w:t xml:space="preserve">,</w:t>
      </w:r>
      <w:r>
        <w:t xml:space="preserve"> </w:t>
      </w:r>
      <w:r>
        <w:rPr>
          <w:rStyle w:val="VerbatimChar"/>
        </w:rPr>
        <w:t xml:space="preserve">SectionMedium</w:t>
      </w:r>
      <w:r>
        <w:t xml:space="preserve">,</w:t>
      </w:r>
      <w:r>
        <w:t xml:space="preserve"> </w:t>
      </w:r>
      <w:r>
        <w:rPr>
          <w:rStyle w:val="VerbatimChar"/>
        </w:rPr>
        <w:t xml:space="preserve">SectionLittle</w:t>
      </w:r>
      <w:r>
        <w:t xml:space="preserve">划分后；</w:t>
      </w:r>
    </w:p>
    <w:p>
      <w:pPr>
        <w:numPr>
          <w:ilvl w:val="0"/>
          <w:numId w:val="1007"/>
        </w:numPr>
      </w:pPr>
      <w:r>
        <w:t xml:space="preserve">对定义为</w:t>
      </w:r>
      <w:r>
        <w:rPr>
          <w:rStyle w:val="VerbatimChar"/>
        </w:rPr>
        <w:t xml:space="preserve">SectionMedium</w:t>
      </w:r>
      <w:r>
        <w:t xml:space="preserve">和</w:t>
      </w:r>
      <w:r>
        <w:rPr>
          <w:rStyle w:val="VerbatimChar"/>
        </w:rPr>
        <w:t xml:space="preserve">SectionLittle</w:t>
      </w:r>
      <w:r>
        <w:t xml:space="preserve">的截面，统计实体截面积</w:t>
      </w:r>
      <w:r>
        <w:t xml:space="preserve"> </w:t>
      </w:r>
      <m:oMath>
        <m:r>
          <m:t>S</m:t>
        </m:r>
        <m:r>
          <m:rPr>
            <m:sty m:val="p"/>
          </m:rPr>
          <m:t>&lt;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（现有基牙约</w:t>
      </w:r>
      <m:oMath>
        <m:r>
          <m:t>63</m:t>
        </m:r>
        <m:r>
          <m:t>m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）的截面的数量</w:t>
      </w:r>
      <m:oMath>
        <m:r>
          <m:t>N</m:t>
        </m:r>
      </m:oMath>
    </w:p>
    <w:p>
      <w:pPr>
        <w:numPr>
          <w:ilvl w:val="0"/>
          <w:numId w:val="1007"/>
        </w:numPr>
      </w:pPr>
      <w:r>
        <w:t xml:space="preserve">如果</w:t>
      </w:r>
      <m:oMath>
        <m:r>
          <m:t>N</m:t>
        </m:r>
        <m:r>
          <m:rPr>
            <m:sty m:val="p"/>
          </m:rPr>
          <m:t>&gt;</m:t>
        </m:r>
        <m:sSub>
          <m:e>
            <m:r>
              <m:t>N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20</m:t>
            </m:r>
          </m:e>
        </m:d>
      </m:oMath>
      <w:r>
        <w:t xml:space="preserve"> </w:t>
      </w:r>
      <w:r>
        <w:t xml:space="preserve">，则对截面积</w:t>
      </w:r>
      <m:oMath>
        <m:r>
          <m:t>S</m:t>
        </m:r>
        <m:r>
          <m:rPr>
            <m:sty m:val="p"/>
          </m:rPr>
          <m:t>&lt;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的实体识别外接矩形轮廓长</w:t>
      </w:r>
      <m:oMath>
        <m:r>
          <m:t>L</m:t>
        </m:r>
      </m:oMath>
      <w:r>
        <w:t xml:space="preserve">和宽</w:t>
      </w:r>
      <m:oMath>
        <m:r>
          <m:t>W</m:t>
        </m:r>
      </m:oMath>
      <w:r>
        <w:t xml:space="preserve">；</w:t>
      </w:r>
    </w:p>
    <w:p>
      <w:pPr>
        <w:numPr>
          <w:ilvl w:val="0"/>
          <w:numId w:val="1007"/>
        </w:numPr>
      </w:pPr>
      <w:r>
        <w:t xml:space="preserve">接着对下一张图片进行上述处理，若该张图片与下一张图片实体轮廓长</w:t>
      </w:r>
      <m:oMath>
        <m:r>
          <m:t>Δ</m:t>
        </m:r>
        <m:r>
          <m:t>L</m:t>
        </m:r>
      </m:oMath>
      <w:r>
        <w:t xml:space="preserve">和轮廓宽</w:t>
      </w:r>
      <m:oMath>
        <m:r>
          <m:t>Δ</m:t>
        </m:r>
        <m:r>
          <m:t>W</m:t>
        </m:r>
      </m:oMath>
      <w:r>
        <w:t xml:space="preserve">在</w:t>
      </w:r>
      <m:oMath>
        <m:r>
          <m:t>0.2</m:t>
        </m:r>
        <m:r>
          <m:t>m</m:t>
        </m:r>
        <m:r>
          <m:t>m</m:t>
        </m:r>
        <m:r>
          <m:rPr>
            <m:sty m:val="p"/>
          </m:rPr>
          <m:t>−</m:t>
        </m:r>
        <m:r>
          <m:t>0.732</m:t>
        </m:r>
        <m:r>
          <m:rPr>
            <m:sty m:val="p"/>
          </m:rPr>
          <m:t>*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m</m:t>
            </m:r>
          </m:e>
        </m:d>
      </m:oMath>
      <w:r>
        <w:t xml:space="preserve"> </w:t>
      </w:r>
      <w:r>
        <w:t xml:space="preserve">或者 (</w:t>
      </w:r>
      <m:oMath>
        <m:r>
          <m:t>0.2</m:t>
        </m:r>
        <m:r>
          <m:t>m</m:t>
        </m:r>
        <m:r>
          <m:t>m</m:t>
        </m:r>
        <m:r>
          <m:rPr>
            <m:sty m:val="p"/>
          </m:rPr>
          <m:t>−</m:t>
        </m:r>
        <m:r>
          <m:t>0.732</m:t>
        </m:r>
        <m:r>
          <m:rPr>
            <m:sty m:val="p"/>
          </m:rPr>
          <m:t>*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m</m:t>
            </m:r>
          </m:e>
        </m:d>
      </m:oMath>
      <w:r>
        <w:t xml:space="preserve">)，此时给该张图片的前后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张图片打上标签(</w:t>
      </w:r>
      <w:r>
        <w:rPr>
          <w:rStyle w:val="VerbatimChar"/>
        </w:rPr>
        <w:t xml:space="preserve">SectionJump = True</w:t>
      </w:r>
      <w:r>
        <w:t xml:space="preserve">，默认为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07"/>
        </w:numPr>
      </w:pPr>
      <w:r>
        <w:t xml:space="preserve">根据工艺包中的配置参数</w:t>
      </w:r>
      <w:r>
        <w:rPr>
          <w:rStyle w:val="VerbatimChar"/>
        </w:rPr>
        <w:t xml:space="preserve">SectionJumpVcompensation = xxx</w:t>
      </w:r>
      <w:r>
        <w:t xml:space="preserve">，在打印过程中当前切片层识别到</w:t>
      </w:r>
      <w:r>
        <w:rPr>
          <w:rStyle w:val="VerbatimChar"/>
        </w:rPr>
        <w:t xml:space="preserve">SectionJump = True</w:t>
      </w:r>
      <w:r>
        <w:t xml:space="preserve">时，对当前工艺包段中的运动速度使用</w:t>
      </w:r>
      <w:r>
        <w:rPr>
          <w:rStyle w:val="VerbatimChar"/>
        </w:rPr>
        <w:t xml:space="preserve">SectionJumpVcompensation = xxx</w:t>
      </w:r>
      <w:r>
        <w:t xml:space="preserve">降速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2022-05-24T06:57:33Z</dcterms:created>
  <dcterms:modified xsi:type="dcterms:W3CDTF">2022-05-24T06:57:33Z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