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5FF330D1"/>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30D1597A" w:rsidR="00B74AF1" w:rsidRPr="00B74AF1" w:rsidRDefault="00F50316" w:rsidP="00B74AF1">
      <w:pPr>
        <w:ind w:left="360"/>
        <w:jc w:val="center"/>
        <w:rPr>
          <w:rFonts w:ascii="Arial" w:eastAsia="Arial" w:hAnsi="Arial" w:cs="Arial"/>
          <w:b/>
          <w:sz w:val="40"/>
          <w:szCs w:val="40"/>
        </w:rPr>
      </w:pPr>
      <w:r>
        <w:rPr>
          <w:rFonts w:ascii="Arial" w:eastAsia="Arial" w:hAnsi="Arial" w:cs="Arial"/>
          <w:b/>
          <w:sz w:val="40"/>
          <w:szCs w:val="40"/>
        </w:rPr>
        <w:t>Análisis de Series Temporales</w:t>
      </w:r>
    </w:p>
    <w:p w14:paraId="5D329F7E" w14:textId="18C26B35"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937485">
        <w:rPr>
          <w:rFonts w:ascii="Arial" w:eastAsia="Arial" w:hAnsi="Arial" w:cs="Arial"/>
          <w:b/>
          <w:sz w:val="40"/>
          <w:szCs w:val="40"/>
        </w:rPr>
        <w:t xml:space="preserve"> </w:t>
      </w:r>
      <w:r w:rsidR="00D31A50">
        <w:rPr>
          <w:rFonts w:ascii="Arial" w:eastAsia="Arial" w:hAnsi="Arial" w:cs="Arial"/>
          <w:b/>
          <w:sz w:val="40"/>
          <w:szCs w:val="40"/>
        </w:rPr>
        <w:t xml:space="preserve">N° </w:t>
      </w:r>
      <w:r w:rsidR="00C365C8">
        <w:rPr>
          <w:rFonts w:ascii="Arial" w:eastAsia="Arial" w:hAnsi="Arial" w:cs="Arial"/>
          <w:b/>
          <w:sz w:val="40"/>
          <w:szCs w:val="40"/>
        </w:rPr>
        <w:t>2</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51286527" w14:textId="77777777" w:rsidR="00F50316" w:rsidRDefault="005E4CA8" w:rsidP="00FB35C9">
      <w:pPr>
        <w:pStyle w:val="Prrafodelista"/>
        <w:numPr>
          <w:ilvl w:val="0"/>
          <w:numId w:val="1"/>
        </w:numPr>
        <w:rPr>
          <w:rFonts w:ascii="Arial" w:eastAsia="Arial" w:hAnsi="Arial" w:cs="Arial"/>
          <w:sz w:val="24"/>
          <w:szCs w:val="24"/>
        </w:rPr>
      </w:pPr>
      <w:r w:rsidRPr="003C710F">
        <w:rPr>
          <w:rFonts w:ascii="Arial" w:eastAsia="Arial" w:hAnsi="Arial" w:cs="Arial"/>
          <w:sz w:val="24"/>
          <w:szCs w:val="24"/>
        </w:rPr>
        <w:t>Cancelas, Martín.</w:t>
      </w:r>
    </w:p>
    <w:p w14:paraId="3DC7DD98" w14:textId="3F99BA2E" w:rsidR="00F50316" w:rsidRDefault="00F50316" w:rsidP="00FB35C9">
      <w:pPr>
        <w:pStyle w:val="Prrafodelista"/>
        <w:numPr>
          <w:ilvl w:val="0"/>
          <w:numId w:val="1"/>
        </w:numPr>
        <w:rPr>
          <w:rFonts w:ascii="Arial" w:eastAsia="Arial" w:hAnsi="Arial" w:cs="Arial"/>
          <w:sz w:val="24"/>
          <w:szCs w:val="24"/>
        </w:rPr>
      </w:pPr>
      <w:r w:rsidRPr="76865BC2">
        <w:rPr>
          <w:rFonts w:ascii="Arial" w:eastAsia="Arial" w:hAnsi="Arial" w:cs="Arial"/>
          <w:sz w:val="24"/>
          <w:szCs w:val="24"/>
        </w:rPr>
        <w:t>Fi</w:t>
      </w:r>
      <w:r w:rsidR="6C0C0016" w:rsidRPr="76865BC2">
        <w:rPr>
          <w:rFonts w:ascii="Arial" w:eastAsia="Arial" w:hAnsi="Arial" w:cs="Arial"/>
          <w:sz w:val="24"/>
          <w:szCs w:val="24"/>
        </w:rPr>
        <w:t>l</w:t>
      </w:r>
      <w:r w:rsidRPr="76865BC2">
        <w:rPr>
          <w:rFonts w:ascii="Arial" w:eastAsia="Arial" w:hAnsi="Arial" w:cs="Arial"/>
          <w:sz w:val="24"/>
          <w:szCs w:val="24"/>
        </w:rPr>
        <w:t>ipuzzi</w:t>
      </w:r>
      <w:r>
        <w:rPr>
          <w:rFonts w:ascii="Arial" w:eastAsia="Arial" w:hAnsi="Arial" w:cs="Arial"/>
          <w:sz w:val="24"/>
          <w:szCs w:val="24"/>
        </w:rPr>
        <w:t>, Juan Manuel.</w:t>
      </w:r>
    </w:p>
    <w:p w14:paraId="6E487097" w14:textId="1EEEDD58" w:rsidR="005E4CA8" w:rsidRPr="003C710F" w:rsidRDefault="00F50316" w:rsidP="00FB35C9">
      <w:pPr>
        <w:pStyle w:val="Prrafodelista"/>
        <w:numPr>
          <w:ilvl w:val="0"/>
          <w:numId w:val="1"/>
        </w:numPr>
        <w:rPr>
          <w:rFonts w:ascii="Arial" w:eastAsia="Arial" w:hAnsi="Arial" w:cs="Arial"/>
          <w:sz w:val="24"/>
          <w:szCs w:val="24"/>
        </w:rPr>
      </w:pPr>
      <w:r>
        <w:rPr>
          <w:rFonts w:ascii="Arial" w:eastAsia="Arial" w:hAnsi="Arial" w:cs="Arial"/>
          <w:sz w:val="24"/>
          <w:szCs w:val="24"/>
        </w:rPr>
        <w:t>Gallardo, Ezequiel.</w:t>
      </w:r>
      <w:r w:rsidR="005E4CA8" w:rsidRPr="003C710F">
        <w:rPr>
          <w:rFonts w:ascii="Arial" w:eastAsia="Arial" w:hAnsi="Arial" w:cs="Arial"/>
          <w:sz w:val="24"/>
          <w:szCs w:val="24"/>
        </w:rPr>
        <w:t xml:space="preserve"> </w:t>
      </w:r>
    </w:p>
    <w:p w14:paraId="07E7DFE7" w14:textId="77777777" w:rsidR="00BA5EB2" w:rsidRDefault="005E4CA8" w:rsidP="00FB35C9">
      <w:pPr>
        <w:pStyle w:val="Prrafodelista"/>
        <w:numPr>
          <w:ilvl w:val="0"/>
          <w:numId w:val="1"/>
        </w:numPr>
        <w:rPr>
          <w:rFonts w:ascii="Arial" w:eastAsia="Arial" w:hAnsi="Arial" w:cs="Arial"/>
          <w:sz w:val="24"/>
          <w:szCs w:val="24"/>
        </w:rPr>
      </w:pPr>
      <w:r w:rsidRPr="003C710F">
        <w:rPr>
          <w:rFonts w:ascii="Arial" w:eastAsia="Arial" w:hAnsi="Arial" w:cs="Arial"/>
          <w:sz w:val="24"/>
          <w:szCs w:val="24"/>
        </w:rPr>
        <w:t xml:space="preserve">Nicolau, Jorge. </w:t>
      </w:r>
    </w:p>
    <w:p w14:paraId="4EBF54C6" w14:textId="77777777" w:rsidR="00BA5EB2" w:rsidRDefault="00BA5EB2" w:rsidP="00BA5EB2">
      <w:pPr>
        <w:rPr>
          <w:rFonts w:ascii="Arial" w:eastAsia="Arial" w:hAnsi="Arial" w:cs="Arial"/>
          <w:sz w:val="24"/>
          <w:szCs w:val="24"/>
        </w:rPr>
      </w:pPr>
    </w:p>
    <w:p w14:paraId="0C4A3400" w14:textId="77777777" w:rsidR="00BA5EB2" w:rsidRDefault="00BA5EB2" w:rsidP="00EE0273">
      <w:pPr>
        <w:pStyle w:val="Ttulo1"/>
        <w:spacing w:line="360" w:lineRule="auto"/>
      </w:pPr>
      <w:bookmarkStart w:id="0" w:name="_Toc205652110"/>
      <w:r w:rsidRPr="006E79EC">
        <w:rPr>
          <w:highlight w:val="yellow"/>
        </w:rPr>
        <w:lastRenderedPageBreak/>
        <w:t>Resumen Ejecutivo</w:t>
      </w:r>
      <w:bookmarkEnd w:id="0"/>
    </w:p>
    <w:p w14:paraId="5B33AFA4" w14:textId="77777777" w:rsidR="00DA767E" w:rsidRPr="00DA767E" w:rsidRDefault="00DA767E" w:rsidP="00DA767E">
      <w:pPr>
        <w:spacing w:line="360" w:lineRule="auto"/>
        <w:ind w:firstLine="720"/>
        <w:rPr>
          <w:rFonts w:ascii="Arial" w:eastAsia="Arial" w:hAnsi="Arial" w:cs="Arial"/>
          <w:highlight w:val="yellow"/>
        </w:rPr>
      </w:pPr>
      <w:r w:rsidRPr="00DA767E">
        <w:rPr>
          <w:rFonts w:ascii="Arial" w:eastAsia="Arial" w:hAnsi="Arial" w:cs="Arial"/>
          <w:highlight w:val="yellow"/>
        </w:rPr>
        <w:t>El presente trabajo aborda la necesidad del Banco Central de la República Argentina (BCRA) de contar con pronósticos robustos y confiables sobre la Circulación Monetaria, definida como el stock de billetes y monedas en poder del público y los bancos. Esta capacidad predictiva es fundamental para la óptima asignación de recursos públicos en la impresión y logística de billetes, buscando evitar tanto la escasez como el exceso de numerario y guiar la decisión de elaborar nuevas denominaciones. En el contexto económico argentino, marcado por períodos de inestabilidad económica y la influencia de variables como el crecimiento económico, la política monetaria y la inflación, la precisión de estos pronósticos es vital. Las demoras pasadas en la emisión de billetes de mayor denominación han generado ineficiencias y costos adicionales para las entidades financieras, subrayando la urgencia de estas predicciones.</w:t>
      </w:r>
    </w:p>
    <w:p w14:paraId="68E618EB" w14:textId="77777777" w:rsidR="00DA767E" w:rsidRPr="00DA767E" w:rsidRDefault="00DA767E" w:rsidP="00DA767E">
      <w:pPr>
        <w:spacing w:line="360" w:lineRule="auto"/>
        <w:ind w:firstLine="720"/>
        <w:rPr>
          <w:rFonts w:ascii="Arial" w:eastAsia="Arial" w:hAnsi="Arial" w:cs="Arial"/>
          <w:highlight w:val="yellow"/>
        </w:rPr>
      </w:pPr>
      <w:r w:rsidRPr="00DA767E">
        <w:rPr>
          <w:rFonts w:ascii="Arial" w:eastAsia="Arial" w:hAnsi="Arial" w:cs="Arial"/>
          <w:highlight w:val="yellow"/>
        </w:rPr>
        <w:t>Para lograr estos pronósticos, el estudio se centra en el Análisis de Series Temporales, dado que la Circulación Monetaria y otras variables económicas exhiben correlación e "inercia" que requieren métodos de inferencia específicos. Una propiedad fundamental es la estacionariedad, que se evalúa mediante Funciones de Autocovarianza (FAS), Autocorrelación (FAC) y Autocorrelación Parcial (FACP), y se somete a pruebas formales de raíces unitarias. Los análisis preliminares confirmaron que la Circulación Monetaria, la Tasa de Plazo Fijo y el IPC son series no estacionarias. Para la Circulación Monetaria, se aplicó una transformación logarítmica para estabilizar la varianza, seguida de una diferenciación integrada y estacional, logrando así que la serie transformada sea estacionaria y apta para el modelado SARIMA.</w:t>
      </w:r>
    </w:p>
    <w:p w14:paraId="63EFE679" w14:textId="5E56D040" w:rsidR="00804971" w:rsidRPr="001502EC" w:rsidRDefault="00DA767E" w:rsidP="00DA767E">
      <w:pPr>
        <w:spacing w:line="360" w:lineRule="auto"/>
        <w:ind w:firstLine="720"/>
        <w:rPr>
          <w:rFonts w:ascii="Arial" w:eastAsia="Arial" w:hAnsi="Arial" w:cs="Arial"/>
        </w:rPr>
      </w:pPr>
      <w:r w:rsidRPr="00DA767E">
        <w:rPr>
          <w:rFonts w:ascii="Arial" w:eastAsia="Arial" w:hAnsi="Arial" w:cs="Arial"/>
          <w:highlight w:val="yellow"/>
        </w:rPr>
        <w:t>En esta línea, se estimaron modelos SARIMA con estacionalidades de 6 y 12 meses para capturar patrones estacionales relevantes, evaluando el desempeño mediante métricas de error y criterios de información. Posteriormente, se avanzó hacia modelos SARIMA-X incorporando regresores exógenos, primero incluyendo todas las variables disponibles y luego restringiendo el modelo únicamente a la tasa de plazo fijo. Se mantuvo la comparación entre estacionalidades semestrales y anuales. Si bien el modelo con estacionalidad anual mostró mejores métricas de error, el análisis económico sugiere que la estacionalidad semestral (junio-diciembre) — coincidente con pagos de aguinaldos — refleja de forma más realista el comportamiento de la circulación monetaria. Por ello, se propone continuar refinando el modelo SARIMA-X (0,1,1)  (1,1,1,6) con tasa de interés como única regresora, buscando mayor precisión y parsimonia sin perder interpretabilidad.</w:t>
      </w:r>
      <w:r w:rsidR="00804971" w:rsidRPr="001502EC">
        <w:rPr>
          <w:rFonts w:ascii="Arial" w:eastAsia="Arial" w:hAnsi="Arial" w:cs="Arial"/>
        </w:rPr>
        <w:br w:type="page"/>
      </w:r>
    </w:p>
    <w:sdt>
      <w:sdtPr>
        <w:rPr>
          <w:rFonts w:eastAsiaTheme="minorEastAsia" w:cstheme="minorBidi"/>
          <w:color w:val="auto"/>
          <w:kern w:val="2"/>
          <w:sz w:val="24"/>
          <w:szCs w:val="24"/>
          <w:lang w:eastAsia="en-US"/>
          <w14:ligatures w14:val="standardContextual"/>
        </w:rPr>
        <w:id w:val="260222600"/>
        <w:docPartObj>
          <w:docPartGallery w:val="Table of Contents"/>
          <w:docPartUnique/>
        </w:docPartObj>
      </w:sdtPr>
      <w:sdtContent>
        <w:p w14:paraId="0441395D" w14:textId="012E6F71" w:rsidR="0086372F" w:rsidRDefault="0086372F" w:rsidP="00EE0273">
          <w:pPr>
            <w:pStyle w:val="TtuloTDC"/>
            <w:spacing w:line="360" w:lineRule="auto"/>
            <w:rPr>
              <w:lang w:val="es-ES"/>
            </w:rPr>
          </w:pPr>
          <w:r w:rsidRPr="4239133B">
            <w:rPr>
              <w:lang w:val="es-ES"/>
            </w:rPr>
            <w:t>Contenido</w:t>
          </w:r>
          <w:r w:rsidR="00261B5C">
            <w:rPr>
              <w:rStyle w:val="Refdenotaalpie"/>
              <w:lang w:val="es-ES"/>
            </w:rPr>
            <w:footnoteReference w:id="2"/>
          </w:r>
        </w:p>
        <w:p w14:paraId="06C50CB2" w14:textId="55A1DA2C" w:rsidR="002C4496" w:rsidRDefault="4871652E">
          <w:pPr>
            <w:pStyle w:val="TDC1"/>
            <w:tabs>
              <w:tab w:val="right" w:leader="dot" w:pos="9736"/>
            </w:tabs>
            <w:rPr>
              <w:rFonts w:asciiTheme="minorHAnsi" w:eastAsiaTheme="minorEastAsia" w:hAnsiTheme="minorHAnsi"/>
              <w:noProof/>
              <w:szCs w:val="24"/>
              <w:lang w:eastAsia="es-AR"/>
            </w:rPr>
          </w:pPr>
          <w:r>
            <w:fldChar w:fldCharType="begin"/>
          </w:r>
          <w:r w:rsidR="6D245EBC">
            <w:instrText>TOC \o "1-3" \z \u \h</w:instrText>
          </w:r>
          <w:r>
            <w:fldChar w:fldCharType="separate"/>
          </w:r>
          <w:hyperlink w:anchor="_Toc205652110" w:history="1">
            <w:r w:rsidR="002C4496" w:rsidRPr="00885FCE">
              <w:rPr>
                <w:rStyle w:val="Hipervnculo"/>
                <w:noProof/>
                <w:highlight w:val="yellow"/>
              </w:rPr>
              <w:t>Resumen Ejecutivo</w:t>
            </w:r>
            <w:r w:rsidR="002C4496">
              <w:rPr>
                <w:noProof/>
                <w:webHidden/>
              </w:rPr>
              <w:tab/>
            </w:r>
            <w:r w:rsidR="002C4496">
              <w:rPr>
                <w:noProof/>
                <w:webHidden/>
              </w:rPr>
              <w:fldChar w:fldCharType="begin"/>
            </w:r>
            <w:r w:rsidR="002C4496">
              <w:rPr>
                <w:noProof/>
                <w:webHidden/>
              </w:rPr>
              <w:instrText xml:space="preserve"> PAGEREF _Toc205652110 \h </w:instrText>
            </w:r>
            <w:r w:rsidR="002C4496">
              <w:rPr>
                <w:noProof/>
                <w:webHidden/>
              </w:rPr>
            </w:r>
            <w:r w:rsidR="002C4496">
              <w:rPr>
                <w:noProof/>
                <w:webHidden/>
              </w:rPr>
              <w:fldChar w:fldCharType="separate"/>
            </w:r>
            <w:r w:rsidR="002C4496">
              <w:rPr>
                <w:noProof/>
                <w:webHidden/>
              </w:rPr>
              <w:t>2</w:t>
            </w:r>
            <w:r w:rsidR="002C4496">
              <w:rPr>
                <w:noProof/>
                <w:webHidden/>
              </w:rPr>
              <w:fldChar w:fldCharType="end"/>
            </w:r>
          </w:hyperlink>
        </w:p>
        <w:p w14:paraId="5084C954" w14:textId="3408A753" w:rsidR="002C4496" w:rsidRDefault="002C4496">
          <w:pPr>
            <w:pStyle w:val="TDC1"/>
            <w:tabs>
              <w:tab w:val="right" w:leader="dot" w:pos="9736"/>
            </w:tabs>
            <w:rPr>
              <w:rFonts w:asciiTheme="minorHAnsi" w:eastAsiaTheme="minorEastAsia" w:hAnsiTheme="minorHAnsi"/>
              <w:noProof/>
              <w:szCs w:val="24"/>
              <w:lang w:eastAsia="es-AR"/>
            </w:rPr>
          </w:pPr>
          <w:hyperlink w:anchor="_Toc205652111" w:history="1">
            <w:r w:rsidRPr="00885FCE">
              <w:rPr>
                <w:rStyle w:val="Hipervnculo"/>
                <w:noProof/>
              </w:rPr>
              <w:t>Introducción</w:t>
            </w:r>
            <w:r>
              <w:rPr>
                <w:noProof/>
                <w:webHidden/>
              </w:rPr>
              <w:tab/>
            </w:r>
            <w:r>
              <w:rPr>
                <w:noProof/>
                <w:webHidden/>
              </w:rPr>
              <w:fldChar w:fldCharType="begin"/>
            </w:r>
            <w:r>
              <w:rPr>
                <w:noProof/>
                <w:webHidden/>
              </w:rPr>
              <w:instrText xml:space="preserve"> PAGEREF _Toc205652111 \h </w:instrText>
            </w:r>
            <w:r>
              <w:rPr>
                <w:noProof/>
                <w:webHidden/>
              </w:rPr>
            </w:r>
            <w:r>
              <w:rPr>
                <w:noProof/>
                <w:webHidden/>
              </w:rPr>
              <w:fldChar w:fldCharType="separate"/>
            </w:r>
            <w:r>
              <w:rPr>
                <w:noProof/>
                <w:webHidden/>
              </w:rPr>
              <w:t>4</w:t>
            </w:r>
            <w:r>
              <w:rPr>
                <w:noProof/>
                <w:webHidden/>
              </w:rPr>
              <w:fldChar w:fldCharType="end"/>
            </w:r>
          </w:hyperlink>
        </w:p>
        <w:p w14:paraId="112C6BFE" w14:textId="0B3D46BA" w:rsidR="002C4496" w:rsidRDefault="002C4496">
          <w:pPr>
            <w:pStyle w:val="TDC1"/>
            <w:tabs>
              <w:tab w:val="right" w:leader="dot" w:pos="9736"/>
            </w:tabs>
            <w:rPr>
              <w:rFonts w:asciiTheme="minorHAnsi" w:eastAsiaTheme="minorEastAsia" w:hAnsiTheme="minorHAnsi"/>
              <w:noProof/>
              <w:szCs w:val="24"/>
              <w:lang w:eastAsia="es-AR"/>
            </w:rPr>
          </w:pPr>
          <w:hyperlink w:anchor="_Toc205652112" w:history="1">
            <w:r w:rsidRPr="00885FCE">
              <w:rPr>
                <w:rStyle w:val="Hipervnculo"/>
                <w:noProof/>
                <w:highlight w:val="yellow"/>
              </w:rPr>
              <w:t>Marco Teórico</w:t>
            </w:r>
            <w:r>
              <w:rPr>
                <w:noProof/>
                <w:webHidden/>
              </w:rPr>
              <w:tab/>
            </w:r>
            <w:r>
              <w:rPr>
                <w:noProof/>
                <w:webHidden/>
              </w:rPr>
              <w:fldChar w:fldCharType="begin"/>
            </w:r>
            <w:r>
              <w:rPr>
                <w:noProof/>
                <w:webHidden/>
              </w:rPr>
              <w:instrText xml:space="preserve"> PAGEREF _Toc205652112 \h </w:instrText>
            </w:r>
            <w:r>
              <w:rPr>
                <w:noProof/>
                <w:webHidden/>
              </w:rPr>
            </w:r>
            <w:r>
              <w:rPr>
                <w:noProof/>
                <w:webHidden/>
              </w:rPr>
              <w:fldChar w:fldCharType="separate"/>
            </w:r>
            <w:r>
              <w:rPr>
                <w:noProof/>
                <w:webHidden/>
              </w:rPr>
              <w:t>6</w:t>
            </w:r>
            <w:r>
              <w:rPr>
                <w:noProof/>
                <w:webHidden/>
              </w:rPr>
              <w:fldChar w:fldCharType="end"/>
            </w:r>
          </w:hyperlink>
        </w:p>
        <w:p w14:paraId="7037A5E5" w14:textId="464B9358"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3" w:history="1">
            <w:r w:rsidRPr="00885FCE">
              <w:rPr>
                <w:rStyle w:val="Hipervnculo"/>
                <w:noProof/>
              </w:rPr>
              <w:t>Series Temporales</w:t>
            </w:r>
            <w:r>
              <w:rPr>
                <w:noProof/>
                <w:webHidden/>
              </w:rPr>
              <w:tab/>
            </w:r>
            <w:r>
              <w:rPr>
                <w:noProof/>
                <w:webHidden/>
              </w:rPr>
              <w:fldChar w:fldCharType="begin"/>
            </w:r>
            <w:r>
              <w:rPr>
                <w:noProof/>
                <w:webHidden/>
              </w:rPr>
              <w:instrText xml:space="preserve"> PAGEREF _Toc205652113 \h </w:instrText>
            </w:r>
            <w:r>
              <w:rPr>
                <w:noProof/>
                <w:webHidden/>
              </w:rPr>
            </w:r>
            <w:r>
              <w:rPr>
                <w:noProof/>
                <w:webHidden/>
              </w:rPr>
              <w:fldChar w:fldCharType="separate"/>
            </w:r>
            <w:r>
              <w:rPr>
                <w:noProof/>
                <w:webHidden/>
              </w:rPr>
              <w:t>6</w:t>
            </w:r>
            <w:r>
              <w:rPr>
                <w:noProof/>
                <w:webHidden/>
              </w:rPr>
              <w:fldChar w:fldCharType="end"/>
            </w:r>
          </w:hyperlink>
        </w:p>
        <w:p w14:paraId="21E42BFE" w14:textId="7BE2BAB6"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4" w:history="1">
            <w:r w:rsidRPr="00885FCE">
              <w:rPr>
                <w:rStyle w:val="Hipervnculo"/>
                <w:noProof/>
              </w:rPr>
              <w:t xml:space="preserve">Modelos de </w:t>
            </w:r>
            <w:r w:rsidRPr="00885FCE">
              <w:rPr>
                <w:rStyle w:val="Hipervnculo"/>
                <w:i/>
                <w:iCs/>
                <w:noProof/>
              </w:rPr>
              <w:t>Machine Learning</w:t>
            </w:r>
            <w:r>
              <w:rPr>
                <w:noProof/>
                <w:webHidden/>
              </w:rPr>
              <w:tab/>
            </w:r>
            <w:r>
              <w:rPr>
                <w:noProof/>
                <w:webHidden/>
              </w:rPr>
              <w:fldChar w:fldCharType="begin"/>
            </w:r>
            <w:r>
              <w:rPr>
                <w:noProof/>
                <w:webHidden/>
              </w:rPr>
              <w:instrText xml:space="preserve"> PAGEREF _Toc205652114 \h </w:instrText>
            </w:r>
            <w:r>
              <w:rPr>
                <w:noProof/>
                <w:webHidden/>
              </w:rPr>
            </w:r>
            <w:r>
              <w:rPr>
                <w:noProof/>
                <w:webHidden/>
              </w:rPr>
              <w:fldChar w:fldCharType="separate"/>
            </w:r>
            <w:r>
              <w:rPr>
                <w:noProof/>
                <w:webHidden/>
              </w:rPr>
              <w:t>7</w:t>
            </w:r>
            <w:r>
              <w:rPr>
                <w:noProof/>
                <w:webHidden/>
              </w:rPr>
              <w:fldChar w:fldCharType="end"/>
            </w:r>
          </w:hyperlink>
        </w:p>
        <w:p w14:paraId="49787508" w14:textId="60D39AC7"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5" w:history="1">
            <w:r w:rsidRPr="00885FCE">
              <w:rPr>
                <w:rStyle w:val="Hipervnculo"/>
                <w:noProof/>
                <w:highlight w:val="yellow"/>
              </w:rPr>
              <w:t xml:space="preserve">Modelo 1 – </w:t>
            </w:r>
            <w:r w:rsidRPr="00885FCE">
              <w:rPr>
                <w:rStyle w:val="Hipervnculo"/>
                <w:i/>
                <w:iCs/>
                <w:noProof/>
                <w:highlight w:val="yellow"/>
              </w:rPr>
              <w:t>Long Short-Term Memory</w:t>
            </w:r>
            <w:r w:rsidRPr="00885FCE">
              <w:rPr>
                <w:rStyle w:val="Hipervnculo"/>
                <w:noProof/>
                <w:highlight w:val="yellow"/>
              </w:rPr>
              <w:t xml:space="preserve"> (LSTM)</w:t>
            </w:r>
            <w:r>
              <w:rPr>
                <w:noProof/>
                <w:webHidden/>
              </w:rPr>
              <w:tab/>
            </w:r>
            <w:r>
              <w:rPr>
                <w:noProof/>
                <w:webHidden/>
              </w:rPr>
              <w:fldChar w:fldCharType="begin"/>
            </w:r>
            <w:r>
              <w:rPr>
                <w:noProof/>
                <w:webHidden/>
              </w:rPr>
              <w:instrText xml:space="preserve"> PAGEREF _Toc205652115 \h </w:instrText>
            </w:r>
            <w:r>
              <w:rPr>
                <w:noProof/>
                <w:webHidden/>
              </w:rPr>
            </w:r>
            <w:r>
              <w:rPr>
                <w:noProof/>
                <w:webHidden/>
              </w:rPr>
              <w:fldChar w:fldCharType="separate"/>
            </w:r>
            <w:r>
              <w:rPr>
                <w:noProof/>
                <w:webHidden/>
              </w:rPr>
              <w:t>9</w:t>
            </w:r>
            <w:r>
              <w:rPr>
                <w:noProof/>
                <w:webHidden/>
              </w:rPr>
              <w:fldChar w:fldCharType="end"/>
            </w:r>
          </w:hyperlink>
        </w:p>
        <w:p w14:paraId="2D2E91DE" w14:textId="750163BC"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6" w:history="1">
            <w:r w:rsidRPr="00885FCE">
              <w:rPr>
                <w:rStyle w:val="Hipervnculo"/>
                <w:noProof/>
                <w:highlight w:val="yellow"/>
              </w:rPr>
              <w:t xml:space="preserve">Modelo 2 – </w:t>
            </w:r>
            <w:r w:rsidRPr="00885FCE">
              <w:rPr>
                <w:rStyle w:val="Hipervnculo"/>
                <w:i/>
                <w:iCs/>
                <w:noProof/>
                <w:highlight w:val="yellow"/>
              </w:rPr>
              <w:t>Temporal Convolutional Networks</w:t>
            </w:r>
            <w:r w:rsidRPr="00885FCE">
              <w:rPr>
                <w:rStyle w:val="Hipervnculo"/>
                <w:noProof/>
                <w:highlight w:val="yellow"/>
              </w:rPr>
              <w:t xml:space="preserve"> (TCN)</w:t>
            </w:r>
            <w:r>
              <w:rPr>
                <w:noProof/>
                <w:webHidden/>
              </w:rPr>
              <w:tab/>
            </w:r>
            <w:r>
              <w:rPr>
                <w:noProof/>
                <w:webHidden/>
              </w:rPr>
              <w:fldChar w:fldCharType="begin"/>
            </w:r>
            <w:r>
              <w:rPr>
                <w:noProof/>
                <w:webHidden/>
              </w:rPr>
              <w:instrText xml:space="preserve"> PAGEREF _Toc205652116 \h </w:instrText>
            </w:r>
            <w:r>
              <w:rPr>
                <w:noProof/>
                <w:webHidden/>
              </w:rPr>
            </w:r>
            <w:r>
              <w:rPr>
                <w:noProof/>
                <w:webHidden/>
              </w:rPr>
              <w:fldChar w:fldCharType="separate"/>
            </w:r>
            <w:r>
              <w:rPr>
                <w:noProof/>
                <w:webHidden/>
              </w:rPr>
              <w:t>12</w:t>
            </w:r>
            <w:r>
              <w:rPr>
                <w:noProof/>
                <w:webHidden/>
              </w:rPr>
              <w:fldChar w:fldCharType="end"/>
            </w:r>
          </w:hyperlink>
        </w:p>
        <w:p w14:paraId="6E9EC2F1" w14:textId="558BA587"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7" w:history="1">
            <w:r w:rsidRPr="00885FCE">
              <w:rPr>
                <w:rStyle w:val="Hipervnculo"/>
                <w:noProof/>
                <w:highlight w:val="yellow"/>
              </w:rPr>
              <w:t xml:space="preserve">Modelo 3 – </w:t>
            </w:r>
            <w:r w:rsidRPr="00885FCE">
              <w:rPr>
                <w:rStyle w:val="Hipervnculo"/>
                <w:i/>
                <w:iCs/>
                <w:noProof/>
                <w:highlight w:val="yellow"/>
              </w:rPr>
              <w:t>Neural Basis Expansion Analysis for Time Series</w:t>
            </w:r>
            <w:r w:rsidRPr="00885FCE">
              <w:rPr>
                <w:rStyle w:val="Hipervnculo"/>
                <w:noProof/>
                <w:highlight w:val="yellow"/>
              </w:rPr>
              <w:t xml:space="preserve"> (</w:t>
            </w:r>
            <w:r w:rsidRPr="00885FCE">
              <w:rPr>
                <w:rStyle w:val="Hipervnculo"/>
                <w:i/>
                <w:iCs/>
                <w:noProof/>
                <w:highlight w:val="yellow"/>
              </w:rPr>
              <w:t>N-BEATS)</w:t>
            </w:r>
            <w:r>
              <w:rPr>
                <w:noProof/>
                <w:webHidden/>
              </w:rPr>
              <w:tab/>
            </w:r>
            <w:r>
              <w:rPr>
                <w:noProof/>
                <w:webHidden/>
              </w:rPr>
              <w:fldChar w:fldCharType="begin"/>
            </w:r>
            <w:r>
              <w:rPr>
                <w:noProof/>
                <w:webHidden/>
              </w:rPr>
              <w:instrText xml:space="preserve"> PAGEREF _Toc205652117 \h </w:instrText>
            </w:r>
            <w:r>
              <w:rPr>
                <w:noProof/>
                <w:webHidden/>
              </w:rPr>
            </w:r>
            <w:r>
              <w:rPr>
                <w:noProof/>
                <w:webHidden/>
              </w:rPr>
              <w:fldChar w:fldCharType="separate"/>
            </w:r>
            <w:r>
              <w:rPr>
                <w:noProof/>
                <w:webHidden/>
              </w:rPr>
              <w:t>12</w:t>
            </w:r>
            <w:r>
              <w:rPr>
                <w:noProof/>
                <w:webHidden/>
              </w:rPr>
              <w:fldChar w:fldCharType="end"/>
            </w:r>
          </w:hyperlink>
        </w:p>
        <w:p w14:paraId="5BA99AD3" w14:textId="3D1F2698"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8" w:history="1">
            <w:r w:rsidRPr="00885FCE">
              <w:rPr>
                <w:rStyle w:val="Hipervnculo"/>
                <w:noProof/>
                <w:highlight w:val="yellow"/>
              </w:rPr>
              <w:t xml:space="preserve">Modelo 4 – </w:t>
            </w:r>
            <w:r w:rsidRPr="00885FCE">
              <w:rPr>
                <w:rStyle w:val="Hipervnculo"/>
                <w:i/>
                <w:iCs/>
                <w:noProof/>
                <w:highlight w:val="yellow"/>
              </w:rPr>
              <w:t>Prophet</w:t>
            </w:r>
            <w:r>
              <w:rPr>
                <w:noProof/>
                <w:webHidden/>
              </w:rPr>
              <w:tab/>
            </w:r>
            <w:r>
              <w:rPr>
                <w:noProof/>
                <w:webHidden/>
              </w:rPr>
              <w:fldChar w:fldCharType="begin"/>
            </w:r>
            <w:r>
              <w:rPr>
                <w:noProof/>
                <w:webHidden/>
              </w:rPr>
              <w:instrText xml:space="preserve"> PAGEREF _Toc205652118 \h </w:instrText>
            </w:r>
            <w:r>
              <w:rPr>
                <w:noProof/>
                <w:webHidden/>
              </w:rPr>
            </w:r>
            <w:r>
              <w:rPr>
                <w:noProof/>
                <w:webHidden/>
              </w:rPr>
              <w:fldChar w:fldCharType="separate"/>
            </w:r>
            <w:r>
              <w:rPr>
                <w:noProof/>
                <w:webHidden/>
              </w:rPr>
              <w:t>16</w:t>
            </w:r>
            <w:r>
              <w:rPr>
                <w:noProof/>
                <w:webHidden/>
              </w:rPr>
              <w:fldChar w:fldCharType="end"/>
            </w:r>
          </w:hyperlink>
        </w:p>
        <w:p w14:paraId="14A5737C" w14:textId="1663CFE5"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19" w:history="1">
            <w:r w:rsidRPr="00885FCE">
              <w:rPr>
                <w:rStyle w:val="Hipervnculo"/>
                <w:noProof/>
                <w:highlight w:val="yellow"/>
              </w:rPr>
              <w:t xml:space="preserve">Modelo 5 – </w:t>
            </w:r>
            <w:r w:rsidRPr="00885FCE">
              <w:rPr>
                <w:rStyle w:val="Hipervnculo"/>
                <w:i/>
                <w:iCs/>
                <w:noProof/>
                <w:highlight w:val="yellow"/>
              </w:rPr>
              <w:t>Neural Prophet</w:t>
            </w:r>
            <w:r>
              <w:rPr>
                <w:noProof/>
                <w:webHidden/>
              </w:rPr>
              <w:tab/>
            </w:r>
            <w:r>
              <w:rPr>
                <w:noProof/>
                <w:webHidden/>
              </w:rPr>
              <w:fldChar w:fldCharType="begin"/>
            </w:r>
            <w:r>
              <w:rPr>
                <w:noProof/>
                <w:webHidden/>
              </w:rPr>
              <w:instrText xml:space="preserve"> PAGEREF _Toc205652119 \h </w:instrText>
            </w:r>
            <w:r>
              <w:rPr>
                <w:noProof/>
                <w:webHidden/>
              </w:rPr>
            </w:r>
            <w:r>
              <w:rPr>
                <w:noProof/>
                <w:webHidden/>
              </w:rPr>
              <w:fldChar w:fldCharType="separate"/>
            </w:r>
            <w:r>
              <w:rPr>
                <w:noProof/>
                <w:webHidden/>
              </w:rPr>
              <w:t>16</w:t>
            </w:r>
            <w:r>
              <w:rPr>
                <w:noProof/>
                <w:webHidden/>
              </w:rPr>
              <w:fldChar w:fldCharType="end"/>
            </w:r>
          </w:hyperlink>
        </w:p>
        <w:p w14:paraId="2A4C25EE" w14:textId="29AA7C50"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20" w:history="1">
            <w:r w:rsidRPr="00885FCE">
              <w:rPr>
                <w:rStyle w:val="Hipervnculo"/>
                <w:noProof/>
                <w:highlight w:val="yellow"/>
              </w:rPr>
              <w:t xml:space="preserve">Modelo 6 – </w:t>
            </w:r>
            <w:r w:rsidRPr="00885FCE">
              <w:rPr>
                <w:rStyle w:val="Hipervnculo"/>
                <w:i/>
                <w:iCs/>
                <w:noProof/>
                <w:highlight w:val="yellow"/>
              </w:rPr>
              <w:t>LightGBM</w:t>
            </w:r>
            <w:r>
              <w:rPr>
                <w:noProof/>
                <w:webHidden/>
              </w:rPr>
              <w:tab/>
            </w:r>
            <w:r>
              <w:rPr>
                <w:noProof/>
                <w:webHidden/>
              </w:rPr>
              <w:fldChar w:fldCharType="begin"/>
            </w:r>
            <w:r>
              <w:rPr>
                <w:noProof/>
                <w:webHidden/>
              </w:rPr>
              <w:instrText xml:space="preserve"> PAGEREF _Toc205652120 \h </w:instrText>
            </w:r>
            <w:r>
              <w:rPr>
                <w:noProof/>
                <w:webHidden/>
              </w:rPr>
            </w:r>
            <w:r>
              <w:rPr>
                <w:noProof/>
                <w:webHidden/>
              </w:rPr>
              <w:fldChar w:fldCharType="separate"/>
            </w:r>
            <w:r>
              <w:rPr>
                <w:noProof/>
                <w:webHidden/>
              </w:rPr>
              <w:t>17</w:t>
            </w:r>
            <w:r>
              <w:rPr>
                <w:noProof/>
                <w:webHidden/>
              </w:rPr>
              <w:fldChar w:fldCharType="end"/>
            </w:r>
          </w:hyperlink>
        </w:p>
        <w:p w14:paraId="4657D2AF" w14:textId="3AAE519C"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21" w:history="1">
            <w:r w:rsidRPr="00885FCE">
              <w:rPr>
                <w:rStyle w:val="Hipervnculo"/>
                <w:noProof/>
                <w:highlight w:val="yellow"/>
              </w:rPr>
              <w:t xml:space="preserve">Modelo 7 – </w:t>
            </w:r>
            <w:r w:rsidRPr="00885FCE">
              <w:rPr>
                <w:rStyle w:val="Hipervnculo"/>
                <w:i/>
                <w:iCs/>
                <w:noProof/>
                <w:highlight w:val="yellow"/>
              </w:rPr>
              <w:t>Time–series Dense Encoder</w:t>
            </w:r>
            <w:r w:rsidRPr="00885FCE">
              <w:rPr>
                <w:rStyle w:val="Hipervnculo"/>
                <w:noProof/>
                <w:highlight w:val="yellow"/>
              </w:rPr>
              <w:t xml:space="preserve"> (TiDE)</w:t>
            </w:r>
            <w:r>
              <w:rPr>
                <w:noProof/>
                <w:webHidden/>
              </w:rPr>
              <w:tab/>
            </w:r>
            <w:r>
              <w:rPr>
                <w:noProof/>
                <w:webHidden/>
              </w:rPr>
              <w:fldChar w:fldCharType="begin"/>
            </w:r>
            <w:r>
              <w:rPr>
                <w:noProof/>
                <w:webHidden/>
              </w:rPr>
              <w:instrText xml:space="preserve"> PAGEREF _Toc205652121 \h </w:instrText>
            </w:r>
            <w:r>
              <w:rPr>
                <w:noProof/>
                <w:webHidden/>
              </w:rPr>
            </w:r>
            <w:r>
              <w:rPr>
                <w:noProof/>
                <w:webHidden/>
              </w:rPr>
              <w:fldChar w:fldCharType="separate"/>
            </w:r>
            <w:r>
              <w:rPr>
                <w:noProof/>
                <w:webHidden/>
              </w:rPr>
              <w:t>19</w:t>
            </w:r>
            <w:r>
              <w:rPr>
                <w:noProof/>
                <w:webHidden/>
              </w:rPr>
              <w:fldChar w:fldCharType="end"/>
            </w:r>
          </w:hyperlink>
        </w:p>
        <w:p w14:paraId="323A5865" w14:textId="098AB58B"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22" w:history="1">
            <w:r w:rsidRPr="00885FCE">
              <w:rPr>
                <w:rStyle w:val="Hipervnculo"/>
                <w:noProof/>
                <w:highlight w:val="yellow"/>
              </w:rPr>
              <w:t>Modelo 8 - Herramienta AutoML</w:t>
            </w:r>
            <w:r>
              <w:rPr>
                <w:noProof/>
                <w:webHidden/>
              </w:rPr>
              <w:tab/>
            </w:r>
            <w:r>
              <w:rPr>
                <w:noProof/>
                <w:webHidden/>
              </w:rPr>
              <w:fldChar w:fldCharType="begin"/>
            </w:r>
            <w:r>
              <w:rPr>
                <w:noProof/>
                <w:webHidden/>
              </w:rPr>
              <w:instrText xml:space="preserve"> PAGEREF _Toc205652122 \h </w:instrText>
            </w:r>
            <w:r>
              <w:rPr>
                <w:noProof/>
                <w:webHidden/>
              </w:rPr>
            </w:r>
            <w:r>
              <w:rPr>
                <w:noProof/>
                <w:webHidden/>
              </w:rPr>
              <w:fldChar w:fldCharType="separate"/>
            </w:r>
            <w:r>
              <w:rPr>
                <w:noProof/>
                <w:webHidden/>
              </w:rPr>
              <w:t>21</w:t>
            </w:r>
            <w:r>
              <w:rPr>
                <w:noProof/>
                <w:webHidden/>
              </w:rPr>
              <w:fldChar w:fldCharType="end"/>
            </w:r>
          </w:hyperlink>
        </w:p>
        <w:p w14:paraId="035DE5D9" w14:textId="62D074A9" w:rsidR="002C4496" w:rsidRDefault="002C4496">
          <w:pPr>
            <w:pStyle w:val="TDC1"/>
            <w:tabs>
              <w:tab w:val="right" w:leader="dot" w:pos="9736"/>
            </w:tabs>
            <w:rPr>
              <w:rFonts w:asciiTheme="minorHAnsi" w:eastAsiaTheme="minorEastAsia" w:hAnsiTheme="minorHAnsi"/>
              <w:noProof/>
              <w:szCs w:val="24"/>
              <w:lang w:eastAsia="es-AR"/>
            </w:rPr>
          </w:pPr>
          <w:hyperlink w:anchor="_Toc205652123" w:history="1">
            <w:r w:rsidRPr="00885FCE">
              <w:rPr>
                <w:rStyle w:val="Hipervnculo"/>
                <w:noProof/>
                <w:highlight w:val="yellow"/>
              </w:rPr>
              <w:t>Análisis de Resultados</w:t>
            </w:r>
            <w:r>
              <w:rPr>
                <w:noProof/>
                <w:webHidden/>
              </w:rPr>
              <w:tab/>
            </w:r>
            <w:r>
              <w:rPr>
                <w:noProof/>
                <w:webHidden/>
              </w:rPr>
              <w:fldChar w:fldCharType="begin"/>
            </w:r>
            <w:r>
              <w:rPr>
                <w:noProof/>
                <w:webHidden/>
              </w:rPr>
              <w:instrText xml:space="preserve"> PAGEREF _Toc205652123 \h </w:instrText>
            </w:r>
            <w:r>
              <w:rPr>
                <w:noProof/>
                <w:webHidden/>
              </w:rPr>
            </w:r>
            <w:r>
              <w:rPr>
                <w:noProof/>
                <w:webHidden/>
              </w:rPr>
              <w:fldChar w:fldCharType="separate"/>
            </w:r>
            <w:r>
              <w:rPr>
                <w:noProof/>
                <w:webHidden/>
              </w:rPr>
              <w:t>22</w:t>
            </w:r>
            <w:r>
              <w:rPr>
                <w:noProof/>
                <w:webHidden/>
              </w:rPr>
              <w:fldChar w:fldCharType="end"/>
            </w:r>
          </w:hyperlink>
        </w:p>
        <w:p w14:paraId="4447706D" w14:textId="2AD73220"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24" w:history="1">
            <w:r w:rsidRPr="00885FCE">
              <w:rPr>
                <w:rStyle w:val="Hipervnculo"/>
                <w:noProof/>
                <w:highlight w:val="yellow"/>
              </w:rPr>
              <w:t>Resultados obtenidos de modelos de Series Temporales tradicionales</w:t>
            </w:r>
            <w:r>
              <w:rPr>
                <w:noProof/>
                <w:webHidden/>
              </w:rPr>
              <w:tab/>
            </w:r>
            <w:r>
              <w:rPr>
                <w:noProof/>
                <w:webHidden/>
              </w:rPr>
              <w:fldChar w:fldCharType="begin"/>
            </w:r>
            <w:r>
              <w:rPr>
                <w:noProof/>
                <w:webHidden/>
              </w:rPr>
              <w:instrText xml:space="preserve"> PAGEREF _Toc205652124 \h </w:instrText>
            </w:r>
            <w:r>
              <w:rPr>
                <w:noProof/>
                <w:webHidden/>
              </w:rPr>
            </w:r>
            <w:r>
              <w:rPr>
                <w:noProof/>
                <w:webHidden/>
              </w:rPr>
              <w:fldChar w:fldCharType="separate"/>
            </w:r>
            <w:r>
              <w:rPr>
                <w:noProof/>
                <w:webHidden/>
              </w:rPr>
              <w:t>22</w:t>
            </w:r>
            <w:r>
              <w:rPr>
                <w:noProof/>
                <w:webHidden/>
              </w:rPr>
              <w:fldChar w:fldCharType="end"/>
            </w:r>
          </w:hyperlink>
        </w:p>
        <w:p w14:paraId="03B0E117" w14:textId="5C7081BC" w:rsidR="002C4496" w:rsidRDefault="002C4496">
          <w:pPr>
            <w:pStyle w:val="TDC2"/>
            <w:tabs>
              <w:tab w:val="right" w:leader="dot" w:pos="9736"/>
            </w:tabs>
            <w:rPr>
              <w:rFonts w:asciiTheme="minorHAnsi" w:eastAsiaTheme="minorEastAsia" w:hAnsiTheme="minorHAnsi"/>
              <w:noProof/>
              <w:sz w:val="24"/>
              <w:szCs w:val="24"/>
              <w:lang w:eastAsia="es-AR"/>
            </w:rPr>
          </w:pPr>
          <w:hyperlink w:anchor="_Toc205652125" w:history="1">
            <w:r w:rsidRPr="00885FCE">
              <w:rPr>
                <w:rStyle w:val="Hipervnculo"/>
                <w:noProof/>
                <w:highlight w:val="yellow"/>
              </w:rPr>
              <w:t>Comparación de resultados de modelos para pronosticar la Circulación Monetaria</w:t>
            </w:r>
            <w:r>
              <w:rPr>
                <w:noProof/>
                <w:webHidden/>
              </w:rPr>
              <w:tab/>
            </w:r>
            <w:r>
              <w:rPr>
                <w:noProof/>
                <w:webHidden/>
              </w:rPr>
              <w:fldChar w:fldCharType="begin"/>
            </w:r>
            <w:r>
              <w:rPr>
                <w:noProof/>
                <w:webHidden/>
              </w:rPr>
              <w:instrText xml:space="preserve"> PAGEREF _Toc205652125 \h </w:instrText>
            </w:r>
            <w:r>
              <w:rPr>
                <w:noProof/>
                <w:webHidden/>
              </w:rPr>
            </w:r>
            <w:r>
              <w:rPr>
                <w:noProof/>
                <w:webHidden/>
              </w:rPr>
              <w:fldChar w:fldCharType="separate"/>
            </w:r>
            <w:r>
              <w:rPr>
                <w:noProof/>
                <w:webHidden/>
              </w:rPr>
              <w:t>23</w:t>
            </w:r>
            <w:r>
              <w:rPr>
                <w:noProof/>
                <w:webHidden/>
              </w:rPr>
              <w:fldChar w:fldCharType="end"/>
            </w:r>
          </w:hyperlink>
        </w:p>
        <w:p w14:paraId="33B7DA84" w14:textId="72DCC278" w:rsidR="002C4496" w:rsidRDefault="002C4496">
          <w:pPr>
            <w:pStyle w:val="TDC1"/>
            <w:tabs>
              <w:tab w:val="right" w:leader="dot" w:pos="9736"/>
            </w:tabs>
            <w:rPr>
              <w:rFonts w:asciiTheme="minorHAnsi" w:eastAsiaTheme="minorEastAsia" w:hAnsiTheme="minorHAnsi"/>
              <w:noProof/>
              <w:szCs w:val="24"/>
              <w:lang w:eastAsia="es-AR"/>
            </w:rPr>
          </w:pPr>
          <w:hyperlink w:anchor="_Toc205652126" w:history="1">
            <w:r w:rsidRPr="00885FCE">
              <w:rPr>
                <w:rStyle w:val="Hipervnculo"/>
                <w:noProof/>
                <w:highlight w:val="yellow"/>
              </w:rPr>
              <w:t>Conclusiones</w:t>
            </w:r>
            <w:r>
              <w:rPr>
                <w:noProof/>
                <w:webHidden/>
              </w:rPr>
              <w:tab/>
            </w:r>
            <w:r>
              <w:rPr>
                <w:noProof/>
                <w:webHidden/>
              </w:rPr>
              <w:fldChar w:fldCharType="begin"/>
            </w:r>
            <w:r>
              <w:rPr>
                <w:noProof/>
                <w:webHidden/>
              </w:rPr>
              <w:instrText xml:space="preserve"> PAGEREF _Toc205652126 \h </w:instrText>
            </w:r>
            <w:r>
              <w:rPr>
                <w:noProof/>
                <w:webHidden/>
              </w:rPr>
            </w:r>
            <w:r>
              <w:rPr>
                <w:noProof/>
                <w:webHidden/>
              </w:rPr>
              <w:fldChar w:fldCharType="separate"/>
            </w:r>
            <w:r>
              <w:rPr>
                <w:noProof/>
                <w:webHidden/>
              </w:rPr>
              <w:t>23</w:t>
            </w:r>
            <w:r>
              <w:rPr>
                <w:noProof/>
                <w:webHidden/>
              </w:rPr>
              <w:fldChar w:fldCharType="end"/>
            </w:r>
          </w:hyperlink>
        </w:p>
        <w:p w14:paraId="2F46C568" w14:textId="76B2EB10" w:rsidR="002C4496" w:rsidRDefault="002C4496">
          <w:pPr>
            <w:pStyle w:val="TDC1"/>
            <w:tabs>
              <w:tab w:val="right" w:leader="dot" w:pos="9736"/>
            </w:tabs>
            <w:rPr>
              <w:rFonts w:asciiTheme="minorHAnsi" w:eastAsiaTheme="minorEastAsia" w:hAnsiTheme="minorHAnsi"/>
              <w:noProof/>
              <w:szCs w:val="24"/>
              <w:lang w:eastAsia="es-AR"/>
            </w:rPr>
          </w:pPr>
          <w:hyperlink w:anchor="_Toc205652127" w:history="1">
            <w:r w:rsidRPr="00885FCE">
              <w:rPr>
                <w:rStyle w:val="Hipervnculo"/>
                <w:noProof/>
              </w:rPr>
              <w:t>Referencias</w:t>
            </w:r>
            <w:r>
              <w:rPr>
                <w:noProof/>
                <w:webHidden/>
              </w:rPr>
              <w:tab/>
            </w:r>
            <w:r>
              <w:rPr>
                <w:noProof/>
                <w:webHidden/>
              </w:rPr>
              <w:fldChar w:fldCharType="begin"/>
            </w:r>
            <w:r>
              <w:rPr>
                <w:noProof/>
                <w:webHidden/>
              </w:rPr>
              <w:instrText xml:space="preserve"> PAGEREF _Toc205652127 \h </w:instrText>
            </w:r>
            <w:r>
              <w:rPr>
                <w:noProof/>
                <w:webHidden/>
              </w:rPr>
            </w:r>
            <w:r>
              <w:rPr>
                <w:noProof/>
                <w:webHidden/>
              </w:rPr>
              <w:fldChar w:fldCharType="separate"/>
            </w:r>
            <w:r>
              <w:rPr>
                <w:noProof/>
                <w:webHidden/>
              </w:rPr>
              <w:t>24</w:t>
            </w:r>
            <w:r>
              <w:rPr>
                <w:noProof/>
                <w:webHidden/>
              </w:rPr>
              <w:fldChar w:fldCharType="end"/>
            </w:r>
          </w:hyperlink>
        </w:p>
        <w:p w14:paraId="490FFD40" w14:textId="53E348E4" w:rsidR="002C4496" w:rsidRDefault="002C4496">
          <w:pPr>
            <w:pStyle w:val="TDC1"/>
            <w:tabs>
              <w:tab w:val="right" w:leader="dot" w:pos="9736"/>
            </w:tabs>
            <w:rPr>
              <w:rFonts w:asciiTheme="minorHAnsi" w:eastAsiaTheme="minorEastAsia" w:hAnsiTheme="minorHAnsi"/>
              <w:noProof/>
              <w:szCs w:val="24"/>
              <w:lang w:eastAsia="es-AR"/>
            </w:rPr>
          </w:pPr>
          <w:hyperlink w:anchor="_Toc205652128" w:history="1">
            <w:r w:rsidRPr="00885FCE">
              <w:rPr>
                <w:rStyle w:val="Hipervnculo"/>
                <w:noProof/>
              </w:rPr>
              <w:t>Apéndice A. Variables obtenidas con las APIs del BCRA</w:t>
            </w:r>
            <w:r>
              <w:rPr>
                <w:noProof/>
                <w:webHidden/>
              </w:rPr>
              <w:tab/>
            </w:r>
            <w:r>
              <w:rPr>
                <w:noProof/>
                <w:webHidden/>
              </w:rPr>
              <w:fldChar w:fldCharType="begin"/>
            </w:r>
            <w:r>
              <w:rPr>
                <w:noProof/>
                <w:webHidden/>
              </w:rPr>
              <w:instrText xml:space="preserve"> PAGEREF _Toc205652128 \h </w:instrText>
            </w:r>
            <w:r>
              <w:rPr>
                <w:noProof/>
                <w:webHidden/>
              </w:rPr>
            </w:r>
            <w:r>
              <w:rPr>
                <w:noProof/>
                <w:webHidden/>
              </w:rPr>
              <w:fldChar w:fldCharType="separate"/>
            </w:r>
            <w:r>
              <w:rPr>
                <w:noProof/>
                <w:webHidden/>
              </w:rPr>
              <w:t>27</w:t>
            </w:r>
            <w:r>
              <w:rPr>
                <w:noProof/>
                <w:webHidden/>
              </w:rPr>
              <w:fldChar w:fldCharType="end"/>
            </w:r>
          </w:hyperlink>
        </w:p>
        <w:p w14:paraId="5A16D742" w14:textId="05734B42" w:rsidR="000C4CB7" w:rsidRDefault="4871652E" w:rsidP="00BA5EB2">
          <w:pPr>
            <w:pStyle w:val="TDC1"/>
            <w:tabs>
              <w:tab w:val="right" w:leader="dot" w:pos="9735"/>
            </w:tabs>
            <w:spacing w:line="360" w:lineRule="auto"/>
            <w:ind w:firstLine="720"/>
            <w:rPr>
              <w:rStyle w:val="Hipervnculo"/>
              <w:noProof/>
              <w:lang w:eastAsia="es-AR"/>
            </w:rPr>
          </w:pPr>
          <w:r>
            <w:fldChar w:fldCharType="end"/>
          </w:r>
        </w:p>
      </w:sdtContent>
    </w:sdt>
    <w:p w14:paraId="12545E66" w14:textId="575416FF" w:rsidR="0013301B" w:rsidRDefault="0013301B" w:rsidP="00BA5EB2">
      <w:pPr>
        <w:pStyle w:val="TDC1"/>
        <w:tabs>
          <w:tab w:val="right" w:leader="dot" w:pos="9735"/>
        </w:tabs>
        <w:spacing w:line="360" w:lineRule="auto"/>
        <w:ind w:firstLine="720"/>
        <w:rPr>
          <w:rStyle w:val="Hipervnculo"/>
          <w:noProof/>
          <w:lang w:eastAsia="es-AR"/>
        </w:rPr>
      </w:pPr>
    </w:p>
    <w:p w14:paraId="554266A5" w14:textId="49B61B0A" w:rsidR="0086372F" w:rsidRDefault="0086372F" w:rsidP="00BA5EB2">
      <w:pPr>
        <w:spacing w:line="360" w:lineRule="auto"/>
        <w:ind w:firstLine="720"/>
      </w:pPr>
    </w:p>
    <w:p w14:paraId="429708FA" w14:textId="7BB1B995" w:rsidR="47F6B4CB" w:rsidRDefault="47F6B4CB" w:rsidP="00BA5EB2">
      <w:pPr>
        <w:pStyle w:val="TDC1"/>
        <w:tabs>
          <w:tab w:val="right" w:leader="dot" w:pos="9015"/>
        </w:tabs>
        <w:spacing w:line="360" w:lineRule="auto"/>
        <w:ind w:firstLine="720"/>
        <w:rPr>
          <w:rStyle w:val="Hipervnculo"/>
        </w:rPr>
      </w:pPr>
    </w:p>
    <w:p w14:paraId="6C29639E" w14:textId="7247DDA1" w:rsidR="000A5270" w:rsidRPr="00754A62" w:rsidRDefault="000A5270" w:rsidP="00BA5EB2">
      <w:pPr>
        <w:spacing w:line="360" w:lineRule="auto"/>
        <w:ind w:firstLine="720"/>
        <w:rPr>
          <w:rFonts w:ascii="Arial" w:hAnsi="Arial" w:cs="Arial"/>
          <w:sz w:val="28"/>
          <w:szCs w:val="28"/>
        </w:rPr>
      </w:pPr>
    </w:p>
    <w:p w14:paraId="3C59318F" w14:textId="77777777" w:rsidR="00C20F2D" w:rsidRPr="00754A62" w:rsidRDefault="00C20F2D" w:rsidP="00BA5EB2">
      <w:pPr>
        <w:spacing w:line="360" w:lineRule="auto"/>
        <w:ind w:firstLine="720"/>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EED48BE" w:rsidR="002D3E93" w:rsidRPr="00BC3342" w:rsidRDefault="00376E83" w:rsidP="00EE0273">
      <w:pPr>
        <w:pStyle w:val="Ttulo1"/>
        <w:spacing w:line="360" w:lineRule="auto"/>
      </w:pPr>
      <w:bookmarkStart w:id="1" w:name="_Toc205652111"/>
      <w:r w:rsidRPr="00BC3342">
        <w:lastRenderedPageBreak/>
        <w:t>Introducción</w:t>
      </w:r>
      <w:bookmarkEnd w:id="1"/>
    </w:p>
    <w:p w14:paraId="2B9CC2DA" w14:textId="77777777" w:rsidR="0062328E" w:rsidRPr="00A265C2" w:rsidRDefault="00CA0FD9" w:rsidP="005A64E2">
      <w:pPr>
        <w:spacing w:line="360" w:lineRule="auto"/>
        <w:ind w:firstLine="720"/>
        <w:jc w:val="both"/>
        <w:rPr>
          <w:rFonts w:ascii="Arial" w:hAnsi="Arial" w:cs="Arial"/>
        </w:rPr>
      </w:pPr>
      <w:bookmarkStart w:id="2" w:name="_Toc197590485"/>
      <w:r w:rsidRPr="00A265C2">
        <w:rPr>
          <w:rFonts w:ascii="Arial" w:hAnsi="Arial" w:cs="Arial"/>
        </w:rPr>
        <w:t xml:space="preserve">El Banco Central de la República Argentina (BCRA), a través de su carta orgánica, </w:t>
      </w:r>
      <w:r w:rsidR="00E0653C" w:rsidRPr="00A265C2">
        <w:rPr>
          <w:rFonts w:ascii="Arial" w:hAnsi="Arial" w:cs="Arial"/>
        </w:rPr>
        <w:t xml:space="preserve">en su </w:t>
      </w:r>
      <w:r w:rsidR="00AA523F" w:rsidRPr="00A265C2">
        <w:rPr>
          <w:rFonts w:ascii="Arial" w:hAnsi="Arial" w:cs="Arial"/>
        </w:rPr>
        <w:t>A</w:t>
      </w:r>
      <w:r w:rsidR="00E0653C" w:rsidRPr="00A265C2">
        <w:rPr>
          <w:rFonts w:ascii="Arial" w:hAnsi="Arial" w:cs="Arial"/>
        </w:rPr>
        <w:t xml:space="preserve">rtículo 17, establece que es el único ente facultado para la emisión de billetes y monedas. Asimismo, atribuye a su directorio, en el </w:t>
      </w:r>
      <w:r w:rsidR="00AA523F" w:rsidRPr="00A265C2">
        <w:rPr>
          <w:rFonts w:ascii="Arial" w:hAnsi="Arial" w:cs="Arial"/>
        </w:rPr>
        <w:t>A</w:t>
      </w:r>
      <w:r w:rsidR="00E0653C" w:rsidRPr="00A265C2">
        <w:rPr>
          <w:rFonts w:ascii="Arial" w:hAnsi="Arial" w:cs="Arial"/>
        </w:rPr>
        <w:t xml:space="preserve">rtículo 14, </w:t>
      </w:r>
      <w:r w:rsidR="00A900A1" w:rsidRPr="00A265C2">
        <w:rPr>
          <w:rFonts w:ascii="Arial" w:hAnsi="Arial" w:cs="Arial"/>
        </w:rPr>
        <w:t>establecer las denominaciones y características de los billetes y monedas.</w:t>
      </w:r>
      <w:r w:rsidR="002B498A" w:rsidRPr="00A265C2">
        <w:rPr>
          <w:rFonts w:ascii="Arial" w:hAnsi="Arial" w:cs="Arial"/>
        </w:rPr>
        <w:t xml:space="preserve"> </w:t>
      </w:r>
      <w:r w:rsidR="00B11CE4" w:rsidRPr="00A265C2">
        <w:rPr>
          <w:rFonts w:ascii="Arial" w:hAnsi="Arial" w:cs="Arial"/>
        </w:rPr>
        <w:t xml:space="preserve">En la actualidad se cuenta con </w:t>
      </w:r>
      <w:r w:rsidR="00AA523F" w:rsidRPr="00A265C2">
        <w:rPr>
          <w:rFonts w:ascii="Arial" w:hAnsi="Arial" w:cs="Arial"/>
        </w:rPr>
        <w:t>10 (diez) denominaciones distintas</w:t>
      </w:r>
      <w:r w:rsidR="00742289" w:rsidRPr="00A265C2">
        <w:rPr>
          <w:rFonts w:ascii="Arial" w:hAnsi="Arial" w:cs="Arial"/>
        </w:rPr>
        <w:t xml:space="preserve">, las cuales conforman el </w:t>
      </w:r>
      <w:r w:rsidR="00742289" w:rsidRPr="00A265C2">
        <w:rPr>
          <w:rFonts w:ascii="Arial" w:hAnsi="Arial" w:cs="Arial"/>
          <w:i/>
          <w:iCs/>
        </w:rPr>
        <w:t>stock</w:t>
      </w:r>
      <w:r w:rsidR="00742289" w:rsidRPr="00A265C2">
        <w:rPr>
          <w:rFonts w:ascii="Arial" w:hAnsi="Arial" w:cs="Arial"/>
        </w:rPr>
        <w:t xml:space="preserve"> de billetes y monedas en poder del público y los bancos. Formalmente, a es</w:t>
      </w:r>
      <w:r w:rsidR="00AA5415" w:rsidRPr="00A265C2">
        <w:rPr>
          <w:rFonts w:ascii="Arial" w:hAnsi="Arial" w:cs="Arial"/>
        </w:rPr>
        <w:t>ta cantidad de numerario, también representada en su valor nominal, se la denomina Circulación Monetaria, y es una de las dos variables que conforman la Base Monetaria (</w:t>
      </w:r>
      <w:r w:rsidR="00994C9B" w:rsidRPr="00A265C2">
        <w:rPr>
          <w:rFonts w:ascii="Arial" w:hAnsi="Arial" w:cs="Arial"/>
        </w:rPr>
        <w:t xml:space="preserve">económicamente </w:t>
      </w:r>
      <w:r w:rsidR="00AA5415" w:rsidRPr="00A265C2">
        <w:rPr>
          <w:rFonts w:ascii="Arial" w:hAnsi="Arial" w:cs="Arial"/>
        </w:rPr>
        <w:t>M0)</w:t>
      </w:r>
      <w:r w:rsidR="00994C9B" w:rsidRPr="00A265C2">
        <w:rPr>
          <w:rFonts w:ascii="Arial" w:hAnsi="Arial" w:cs="Arial"/>
        </w:rPr>
        <w:t xml:space="preserve"> junto con el dinero en cuentas corrientes de las entidades financieras.</w:t>
      </w:r>
    </w:p>
    <w:p w14:paraId="665A3495" w14:textId="0C833F55" w:rsidR="00A24F19" w:rsidRPr="00A265C2" w:rsidRDefault="0062328E" w:rsidP="005A64E2">
      <w:pPr>
        <w:spacing w:line="360" w:lineRule="auto"/>
        <w:ind w:firstLine="720"/>
        <w:jc w:val="both"/>
        <w:rPr>
          <w:rFonts w:ascii="Arial" w:hAnsi="Arial" w:cs="Arial"/>
        </w:rPr>
      </w:pPr>
      <w:r w:rsidRPr="00A265C2">
        <w:rPr>
          <w:rFonts w:ascii="Arial" w:hAnsi="Arial" w:cs="Arial"/>
        </w:rPr>
        <w:t>El BCRA realiza un seguimiento periódico de la evolución de esta variable,</w:t>
      </w:r>
      <w:r w:rsidR="00446D19" w:rsidRPr="00A265C2">
        <w:rPr>
          <w:rFonts w:ascii="Arial" w:hAnsi="Arial" w:cs="Arial"/>
        </w:rPr>
        <w:t xml:space="preserve"> así como también distintos pronósticos sobre su evolución a futuro, tanto en valor nominal como en cantidades por denominación,</w:t>
      </w:r>
      <w:r w:rsidRPr="00A265C2">
        <w:rPr>
          <w:rFonts w:ascii="Arial" w:hAnsi="Arial" w:cs="Arial"/>
        </w:rPr>
        <w:t xml:space="preserve"> principalmente por </w:t>
      </w:r>
      <w:r w:rsidR="00446D19" w:rsidRPr="00A265C2">
        <w:rPr>
          <w:rFonts w:ascii="Arial" w:hAnsi="Arial" w:cs="Arial"/>
        </w:rPr>
        <w:t>dos motivos que confluyen en un tercero. E</w:t>
      </w:r>
      <w:r w:rsidR="00CF3BAE" w:rsidRPr="00A265C2">
        <w:rPr>
          <w:rFonts w:ascii="Arial" w:hAnsi="Arial" w:cs="Arial"/>
        </w:rPr>
        <w:t>ste último mencionado, que es aquel de mayor importancia, refiere a la necesidad de numerario en efectivo por parte de las personas, intermediadas por las entidades financieras</w:t>
      </w:r>
      <w:r w:rsidR="00761AE2" w:rsidRPr="00A265C2">
        <w:rPr>
          <w:rFonts w:ascii="Arial" w:hAnsi="Arial" w:cs="Arial"/>
        </w:rPr>
        <w:t>.</w:t>
      </w:r>
      <w:r w:rsidR="00CF3BAE" w:rsidRPr="00A265C2">
        <w:rPr>
          <w:rFonts w:ascii="Arial" w:hAnsi="Arial" w:cs="Arial"/>
        </w:rPr>
        <w:t xml:space="preserve"> </w:t>
      </w:r>
      <w:r w:rsidR="00761AE2" w:rsidRPr="00A265C2">
        <w:rPr>
          <w:rFonts w:ascii="Arial" w:hAnsi="Arial" w:cs="Arial"/>
        </w:rPr>
        <w:t>P</w:t>
      </w:r>
      <w:r w:rsidR="00CF3BAE" w:rsidRPr="00A265C2">
        <w:rPr>
          <w:rFonts w:ascii="Arial" w:hAnsi="Arial" w:cs="Arial"/>
        </w:rPr>
        <w:t>or lo que</w:t>
      </w:r>
      <w:r w:rsidR="00053366" w:rsidRPr="00A265C2">
        <w:rPr>
          <w:rFonts w:ascii="Arial" w:hAnsi="Arial" w:cs="Arial"/>
        </w:rPr>
        <w:t xml:space="preserve">, los dos primeros motivos, la contratación de distintas instituciones que se dedican a la impresión de billetes para la compra de </w:t>
      </w:r>
      <w:r w:rsidR="00387B22" w:rsidRPr="00A265C2">
        <w:rPr>
          <w:rFonts w:ascii="Arial" w:hAnsi="Arial" w:cs="Arial"/>
        </w:rPr>
        <w:t xml:space="preserve">aquellas cantidades que el regulador considere necesarias, y la logística por parte de esa institución a lo largo y ancho del país, </w:t>
      </w:r>
      <w:r w:rsidR="00A24A3A" w:rsidRPr="00A265C2">
        <w:rPr>
          <w:rFonts w:ascii="Arial" w:hAnsi="Arial" w:cs="Arial"/>
        </w:rPr>
        <w:t>para atesorar en distintas ciudades a la espera de la demanda por parte de los bancos,</w:t>
      </w:r>
      <w:r w:rsidR="00761AE2" w:rsidRPr="00A265C2">
        <w:rPr>
          <w:rFonts w:ascii="Arial" w:hAnsi="Arial" w:cs="Arial"/>
        </w:rPr>
        <w:t xml:space="preserve"> sirven de soluciones previas para </w:t>
      </w:r>
      <w:r w:rsidR="009352D5" w:rsidRPr="00A265C2">
        <w:rPr>
          <w:rFonts w:ascii="Arial" w:hAnsi="Arial" w:cs="Arial"/>
        </w:rPr>
        <w:t>la atención de estas necesidades de numerario, principalmente en épocas de pico de pago importantes, como ser los dos períodos del Sueldo Anual Complementario</w:t>
      </w:r>
      <w:r w:rsidR="00FD70F1" w:rsidRPr="00A265C2">
        <w:rPr>
          <w:rFonts w:ascii="Arial" w:hAnsi="Arial" w:cs="Arial"/>
        </w:rPr>
        <w:t xml:space="preserve"> (SAC)</w:t>
      </w:r>
      <w:r w:rsidR="009352D5" w:rsidRPr="00A265C2">
        <w:rPr>
          <w:rFonts w:ascii="Arial" w:hAnsi="Arial" w:cs="Arial"/>
        </w:rPr>
        <w:t xml:space="preserve"> en cada año.</w:t>
      </w:r>
    </w:p>
    <w:p w14:paraId="60F51851" w14:textId="77777777" w:rsidR="000A1498" w:rsidRPr="00E33AC1" w:rsidRDefault="000A1498" w:rsidP="000A1498">
      <w:pPr>
        <w:spacing w:line="360" w:lineRule="auto"/>
        <w:ind w:firstLine="720"/>
        <w:jc w:val="both"/>
        <w:rPr>
          <w:rFonts w:ascii="Arial" w:hAnsi="Arial" w:cs="Arial"/>
        </w:rPr>
      </w:pPr>
      <w:r w:rsidRPr="00E33AC1">
        <w:rPr>
          <w:rFonts w:ascii="Arial" w:hAnsi="Arial" w:cs="Arial"/>
        </w:rPr>
        <w:t>Atento a lo expuesto anteriormente, se destaca la importancia de realizar pronósticos de forma correcta debido a la optimización de los recursos públicos a la hora de realizar contratos sobre grandes compras de billetes y la contratación de todos los medios necesarios para la logística de estos. Asimismo, el seguimiento de esta variable permite alertar al directorio del organismo acerca de la necesidad de elaboración de una nueva denominación. Dado el contexto histórico argentino, en los últimos años, la conclusión ha sido la necesidad de denominaciones mayores a las existentes. Sin embargo, tal como destaca Diamante (2024), la postergación en la emisión e impresión de billetes de denominaciones mayores a las existentes en distintos momentos del tiempo implicó que la variación nominal de la Circulación Monetaria se deba cubrir con mayor cantidad de billetes de denominaciones menores. Como consecuencia de lo previo, las entidades financieras aumentan sus costos, tanto de almacenamiento como de procesamiento de los billetes, así como también, una reducción significativa en la duración de billetes dentro de los cajeros automáticos, lo que implica recursos para su reposición constante y un desarrollo ineficiente de las tareas relacionadas.</w:t>
      </w:r>
    </w:p>
    <w:p w14:paraId="35B2D795" w14:textId="77777777" w:rsidR="000A1498" w:rsidRPr="00E33AC1" w:rsidRDefault="000A1498" w:rsidP="000A1498">
      <w:pPr>
        <w:spacing w:line="360" w:lineRule="auto"/>
        <w:ind w:firstLine="720"/>
        <w:jc w:val="both"/>
        <w:rPr>
          <w:rFonts w:ascii="Arial" w:hAnsi="Arial" w:cs="Arial"/>
        </w:rPr>
      </w:pPr>
      <w:r w:rsidRPr="00E33AC1">
        <w:rPr>
          <w:rFonts w:ascii="Arial" w:hAnsi="Arial" w:cs="Arial"/>
        </w:rPr>
        <w:t xml:space="preserve">En el último tiempo, la decisión del BCRA de incorporar dos nuevas denominaciones, de $ 10.000.- y $ 20.000.-, sirven de paliativos al retirar numerario de menores denominaciones en </w:t>
      </w:r>
      <w:r w:rsidRPr="00E33AC1">
        <w:rPr>
          <w:rFonts w:ascii="Arial" w:hAnsi="Arial" w:cs="Arial"/>
        </w:rPr>
        <w:lastRenderedPageBreak/>
        <w:t xml:space="preserve">reemplazo de estas. Como se menciona en Filas (2025), el volumen de billetes en circulación se redujo alrededor del 24%. Sin embargo, en la actualidad continúa habiendo un exceso de billetes que no permite un desarrollo normal de las transacciones de los agentes. </w:t>
      </w:r>
    </w:p>
    <w:p w14:paraId="29054825" w14:textId="751E391B" w:rsidR="000A1498" w:rsidRDefault="000A1498" w:rsidP="000A1498">
      <w:pPr>
        <w:spacing w:line="360" w:lineRule="auto"/>
        <w:ind w:firstLine="720"/>
        <w:jc w:val="both"/>
        <w:rPr>
          <w:rFonts w:ascii="Arial" w:hAnsi="Arial" w:cs="Arial"/>
        </w:rPr>
      </w:pPr>
      <w:r w:rsidRPr="004176BB">
        <w:rPr>
          <w:rFonts w:ascii="Arial" w:hAnsi="Arial" w:cs="Arial"/>
        </w:rPr>
        <w:t xml:space="preserve">En función de lo expuesto, surge la necesidad de contar con pronósticos robustos y confiables sobre la Circulación Monetaria, pues ello implica una correcta asignación de recursos, evita una potencial escasez de numerario o, como sucede en la actualidad y destacan las notas periodísticas, un exceso de este que deriva en costos innecesarios para la sociedad en su conjunto. Asimismo, un pronóstico correcto del valor nominal esperado permitirá, en una segunda instancia, determinar qué cantidad de billetes de cada denominación es la óptima. Por lo tanto, el interés de este trabajo radica en el uso de las distintas herramientas disponibles para lograr pronósticos confiables sobre el monto en moneda nacional de los billetes y monedas que se encontrarán en el público, empresas y entidades financieras en determinados momentos del tiempo. </w:t>
      </w:r>
      <w:r w:rsidRPr="000D46AB">
        <w:rPr>
          <w:rFonts w:ascii="Arial" w:hAnsi="Arial" w:cs="Arial"/>
        </w:rPr>
        <w:t xml:space="preserve">Sobre ello, es menester comentar la incidencia que pueden tener el crecimiento económico y la política monetaria, así como la inflación. El primero de ellos implica un cambio, en igual sentido que su variación, en la demanda de dinero, ya sea este electrónico o físico. Lo mismo sucede con el aumento generalizado de los precios de la economía, lo que se traduce en una mayor necesidad de numerario para transacciones. Por su parte, la política monetaria, a través de la tasa de interés, impacta de forma contraria contra la demanda de dinero y de efectivo. </w:t>
      </w:r>
      <w:r w:rsidRPr="00F16B39">
        <w:rPr>
          <w:rFonts w:ascii="Arial" w:hAnsi="Arial" w:cs="Arial"/>
        </w:rPr>
        <w:t xml:space="preserve">Por lo tanto, se propone la incorporación de variables que representen lo mencionado, como el Estimador Mensual de Actividad Económica (EMAE), como un proxy del Producto Bruto Interno (PBI) para el crecimiento, </w:t>
      </w:r>
      <w:r w:rsidR="00AE33C7" w:rsidRPr="00F16B39">
        <w:rPr>
          <w:rFonts w:ascii="Arial" w:hAnsi="Arial" w:cs="Arial"/>
        </w:rPr>
        <w:t xml:space="preserve">las distintas tasas </w:t>
      </w:r>
      <w:r w:rsidR="00E82D17" w:rsidRPr="00F16B39">
        <w:rPr>
          <w:rFonts w:ascii="Arial" w:hAnsi="Arial" w:cs="Arial"/>
        </w:rPr>
        <w:t xml:space="preserve">de instrumentos </w:t>
      </w:r>
      <w:r w:rsidR="00AE33C7" w:rsidRPr="00F16B39">
        <w:rPr>
          <w:rFonts w:ascii="Arial" w:hAnsi="Arial" w:cs="Arial"/>
        </w:rPr>
        <w:t>que releva el propio BCRA</w:t>
      </w:r>
      <w:r w:rsidRPr="00F16B39">
        <w:rPr>
          <w:rFonts w:ascii="Arial" w:hAnsi="Arial" w:cs="Arial"/>
        </w:rPr>
        <w:t xml:space="preserve">, como asociación a la política monetaria y el Índice de Precios al Consumidor (IPC) </w:t>
      </w:r>
      <w:r w:rsidR="00E82D17" w:rsidRPr="00F16B39">
        <w:rPr>
          <w:rFonts w:ascii="Arial" w:hAnsi="Arial" w:cs="Arial"/>
        </w:rPr>
        <w:t xml:space="preserve">y el Coeficiente de Estabilización de Referencia (CER) </w:t>
      </w:r>
      <w:r w:rsidRPr="00F16B39">
        <w:rPr>
          <w:rFonts w:ascii="Arial" w:hAnsi="Arial" w:cs="Arial"/>
        </w:rPr>
        <w:t xml:space="preserve">para representar a la inflación. </w:t>
      </w:r>
      <w:r w:rsidR="00E82D17" w:rsidRPr="00F16B39">
        <w:rPr>
          <w:rFonts w:ascii="Arial" w:hAnsi="Arial" w:cs="Arial"/>
        </w:rPr>
        <w:t xml:space="preserve">Además, se propone incorporar una mayor cantidad de variables debido a que se utilizarán algoritmos de </w:t>
      </w:r>
      <w:r w:rsidR="00E82D17" w:rsidRPr="00F16B39">
        <w:rPr>
          <w:rFonts w:ascii="Arial" w:hAnsi="Arial" w:cs="Arial"/>
          <w:i/>
          <w:iCs/>
        </w:rPr>
        <w:t>machine learning</w:t>
      </w:r>
      <w:r w:rsidR="005157D1" w:rsidRPr="00F16B39">
        <w:rPr>
          <w:rFonts w:ascii="Arial" w:hAnsi="Arial" w:cs="Arial"/>
        </w:rPr>
        <w:t>, los cuales permiten la utilización de una gran cantidad de dimensiones sin perder su funcionalidad y eficacia, por lo que, en función de ello, se propone incorporar</w:t>
      </w:r>
      <w:r w:rsidR="009546BB" w:rsidRPr="00F16B39">
        <w:rPr>
          <w:rFonts w:ascii="Arial" w:hAnsi="Arial" w:cs="Arial"/>
        </w:rPr>
        <w:t xml:space="preserve"> cotizaciones de distintas divisas que releva el BCRA, así como también la cotización del dólar paralelo en Argentina</w:t>
      </w:r>
      <w:r w:rsidR="004433B3" w:rsidRPr="00F16B39">
        <w:rPr>
          <w:rFonts w:ascii="Arial" w:hAnsi="Arial" w:cs="Arial"/>
        </w:rPr>
        <w:t xml:space="preserve"> y los precios de cierre de distintos activos financieras, más precisamente el índice MERVAL, representando </w:t>
      </w:r>
      <w:r w:rsidR="00FE5989" w:rsidRPr="00F16B39">
        <w:rPr>
          <w:rFonts w:ascii="Arial" w:hAnsi="Arial" w:cs="Arial"/>
        </w:rPr>
        <w:t xml:space="preserve">a la bolsa de valores argentina, el índice </w:t>
      </w:r>
      <w:r w:rsidR="00FE5989" w:rsidRPr="00F16B39">
        <w:rPr>
          <w:rFonts w:ascii="Arial" w:hAnsi="Arial" w:cs="Arial"/>
          <w:i/>
          <w:iCs/>
        </w:rPr>
        <w:t>Standard and Poors 500</w:t>
      </w:r>
      <w:r w:rsidR="00FE5989" w:rsidRPr="00F16B39">
        <w:rPr>
          <w:rFonts w:ascii="Arial" w:hAnsi="Arial" w:cs="Arial"/>
        </w:rPr>
        <w:t>, representando la bolsa estadounidense</w:t>
      </w:r>
      <w:r w:rsidR="00426582">
        <w:rPr>
          <w:rFonts w:ascii="Arial" w:hAnsi="Arial" w:cs="Arial"/>
        </w:rPr>
        <w:t>,</w:t>
      </w:r>
      <w:r w:rsidR="00FE5989" w:rsidRPr="00F16B39">
        <w:rPr>
          <w:rFonts w:ascii="Arial" w:hAnsi="Arial" w:cs="Arial"/>
        </w:rPr>
        <w:t xml:space="preserve"> el índice del dólar (DXY) para </w:t>
      </w:r>
      <w:r w:rsidR="00CC3E65" w:rsidRPr="00F16B39">
        <w:rPr>
          <w:rFonts w:ascii="Arial" w:hAnsi="Arial" w:cs="Arial"/>
        </w:rPr>
        <w:t>conocer la valorización de esa moneda frente a otras del mundo</w:t>
      </w:r>
      <w:r w:rsidR="00426582">
        <w:rPr>
          <w:rFonts w:ascii="Arial" w:hAnsi="Arial" w:cs="Arial"/>
        </w:rPr>
        <w:t xml:space="preserve">, y distintos </w:t>
      </w:r>
      <w:r w:rsidR="00360881">
        <w:rPr>
          <w:rFonts w:ascii="Arial" w:hAnsi="Arial" w:cs="Arial"/>
        </w:rPr>
        <w:t>activos que agrupan rendimientos ponderados de bolsas de países en desarrollo, bonos de estos países y bonos del tesoro de Estados Unidos.</w:t>
      </w:r>
      <w:r w:rsidR="001D1F24">
        <w:rPr>
          <w:rFonts w:ascii="Arial" w:hAnsi="Arial" w:cs="Arial"/>
        </w:rPr>
        <w:t xml:space="preserve"> Asimismo, se incorporan, también del BCRA, datos de distintas transacciones realizadas por </w:t>
      </w:r>
      <w:r w:rsidR="00BC3342">
        <w:rPr>
          <w:rFonts w:ascii="Arial" w:hAnsi="Arial" w:cs="Arial"/>
        </w:rPr>
        <w:t>pagos electrónicos y movimientos de pagos minoriistas.</w:t>
      </w:r>
      <w:r w:rsidR="00E82D17" w:rsidRPr="00F16B39">
        <w:rPr>
          <w:rFonts w:ascii="Arial" w:hAnsi="Arial" w:cs="Arial"/>
        </w:rPr>
        <w:t xml:space="preserve"> </w:t>
      </w:r>
      <w:r w:rsidR="003F4D88">
        <w:rPr>
          <w:rFonts w:ascii="Arial" w:hAnsi="Arial" w:cs="Arial"/>
        </w:rPr>
        <w:t>Además</w:t>
      </w:r>
      <w:r w:rsidRPr="00F16B39">
        <w:rPr>
          <w:rFonts w:ascii="Arial" w:hAnsi="Arial" w:cs="Arial"/>
        </w:rPr>
        <w:t>,</w:t>
      </w:r>
      <w:r w:rsidR="003F4D88">
        <w:rPr>
          <w:rFonts w:ascii="Arial" w:hAnsi="Arial" w:cs="Arial"/>
        </w:rPr>
        <w:t xml:space="preserve"> es importante mencionar que</w:t>
      </w:r>
      <w:r w:rsidRPr="00F16B39">
        <w:rPr>
          <w:rFonts w:ascii="Arial" w:hAnsi="Arial" w:cs="Arial"/>
        </w:rPr>
        <w:t xml:space="preserve"> </w:t>
      </w:r>
      <w:r w:rsidR="00CC3E65" w:rsidRPr="00F16B39">
        <w:rPr>
          <w:rFonts w:ascii="Arial" w:hAnsi="Arial" w:cs="Arial"/>
        </w:rPr>
        <w:t>s</w:t>
      </w:r>
      <w:r w:rsidRPr="00F16B39">
        <w:rPr>
          <w:rFonts w:ascii="Arial" w:hAnsi="Arial" w:cs="Arial"/>
        </w:rPr>
        <w:t>e utilizarán todos</w:t>
      </w:r>
      <w:r w:rsidR="00CC3E65" w:rsidRPr="00F16B39">
        <w:rPr>
          <w:rFonts w:ascii="Arial" w:hAnsi="Arial" w:cs="Arial"/>
        </w:rPr>
        <w:t xml:space="preserve"> los datos que puedan encontrarse disponibles</w:t>
      </w:r>
      <w:r w:rsidRPr="00F16B39">
        <w:rPr>
          <w:rFonts w:ascii="Arial" w:hAnsi="Arial" w:cs="Arial"/>
        </w:rPr>
        <w:t xml:space="preserve"> del mes de enero de 20</w:t>
      </w:r>
      <w:r w:rsidR="00F16B39" w:rsidRPr="00F16B39">
        <w:rPr>
          <w:rFonts w:ascii="Arial" w:hAnsi="Arial" w:cs="Arial"/>
        </w:rPr>
        <w:t>03</w:t>
      </w:r>
      <w:r w:rsidRPr="00F16B39">
        <w:rPr>
          <w:rFonts w:ascii="Arial" w:hAnsi="Arial" w:cs="Arial"/>
        </w:rPr>
        <w:t xml:space="preserve"> hasta junio de 2025.</w:t>
      </w:r>
      <w:r w:rsidR="00413468">
        <w:rPr>
          <w:rFonts w:ascii="Arial" w:hAnsi="Arial" w:cs="Arial"/>
        </w:rPr>
        <w:t xml:space="preserve"> </w:t>
      </w:r>
      <w:r w:rsidR="00870DD0">
        <w:rPr>
          <w:rFonts w:ascii="Arial" w:hAnsi="Arial" w:cs="Arial"/>
        </w:rPr>
        <w:t>También, resulta menester comentar que se utilizarán 8 (ocho) modelos de aprendizaje automático para realizar los pronósticos.</w:t>
      </w:r>
    </w:p>
    <w:p w14:paraId="5A37E93B" w14:textId="7D869E23" w:rsidR="008E7A0F" w:rsidRPr="000A1498" w:rsidRDefault="008E7A0F" w:rsidP="000A1498">
      <w:pPr>
        <w:spacing w:line="360" w:lineRule="auto"/>
        <w:ind w:firstLine="720"/>
        <w:jc w:val="both"/>
        <w:rPr>
          <w:rFonts w:ascii="Arial" w:hAnsi="Arial" w:cs="Arial"/>
          <w:highlight w:val="yellow"/>
        </w:rPr>
      </w:pPr>
      <w:r>
        <w:rPr>
          <w:rFonts w:ascii="Arial" w:hAnsi="Arial" w:cs="Arial"/>
        </w:rPr>
        <w:lastRenderedPageBreak/>
        <w:t xml:space="preserve">Para finalizar, </w:t>
      </w:r>
      <w:r w:rsidR="001105E7">
        <w:rPr>
          <w:rFonts w:ascii="Arial" w:hAnsi="Arial" w:cs="Arial"/>
        </w:rPr>
        <w:t xml:space="preserve">se compararán los resultados de todos los modelos aplicados para realizar los pronósticos a través de sus métricas y se incorporarán los resultados de trabajos anteriores </w:t>
      </w:r>
      <w:r w:rsidR="00A75A98">
        <w:rPr>
          <w:rFonts w:ascii="Arial" w:hAnsi="Arial" w:cs="Arial"/>
        </w:rPr>
        <w:t>que desarrollaron</w:t>
      </w:r>
      <w:r w:rsidR="001105E7">
        <w:rPr>
          <w:rFonts w:ascii="Arial" w:hAnsi="Arial" w:cs="Arial"/>
        </w:rPr>
        <w:t xml:space="preserve"> Cancelas</w:t>
      </w:r>
      <w:r w:rsidR="00A75A98">
        <w:rPr>
          <w:rFonts w:ascii="Arial" w:hAnsi="Arial" w:cs="Arial"/>
        </w:rPr>
        <w:t>, Filipuzzi, Gallardo y Nicolau en Cancelas</w:t>
      </w:r>
      <w:r w:rsidR="001105E7">
        <w:rPr>
          <w:rFonts w:ascii="Arial" w:hAnsi="Arial" w:cs="Arial"/>
        </w:rPr>
        <w:t xml:space="preserve"> et al (2025a)</w:t>
      </w:r>
      <w:r w:rsidR="00A75A98">
        <w:rPr>
          <w:rFonts w:ascii="Arial" w:hAnsi="Arial" w:cs="Arial"/>
        </w:rPr>
        <w:t>, donde</w:t>
      </w:r>
      <w:r w:rsidR="001D23A1">
        <w:rPr>
          <w:rFonts w:ascii="Arial" w:hAnsi="Arial" w:cs="Arial"/>
        </w:rPr>
        <w:t xml:space="preserve"> se realizaron modelos tradicionales de series temporales para los pronósticos de la variable de interés, con sus matices respecto del presente.</w:t>
      </w:r>
    </w:p>
    <w:p w14:paraId="3B5FEFC6" w14:textId="230EA62B" w:rsidR="00C915E9" w:rsidRDefault="000A1498" w:rsidP="000A1498">
      <w:pPr>
        <w:spacing w:line="360" w:lineRule="auto"/>
        <w:ind w:firstLine="720"/>
        <w:jc w:val="both"/>
        <w:rPr>
          <w:rFonts w:ascii="Arial" w:hAnsi="Arial" w:cs="Arial"/>
        </w:rPr>
      </w:pPr>
      <w:r w:rsidRPr="000A1498">
        <w:rPr>
          <w:rFonts w:ascii="Arial" w:hAnsi="Arial" w:cs="Arial"/>
        </w:rPr>
        <w:t xml:space="preserve">Por último, todo el código aplicado para el presente trabajo se encuentra dispuesto en </w:t>
      </w:r>
      <w:r w:rsidR="00F744E7" w:rsidRPr="00F744E7">
        <w:rPr>
          <w:rFonts w:ascii="Arial" w:hAnsi="Arial" w:cs="Arial"/>
        </w:rPr>
        <w:t>https://colab.research.google.com/drive/11MgUN05C-FFwQDxayr1YNqSSFsAteAx8?usp=sharing</w:t>
      </w:r>
      <w:r w:rsidRPr="000A1498">
        <w:rPr>
          <w:rFonts w:ascii="Arial" w:hAnsi="Arial" w:cs="Arial"/>
        </w:rPr>
        <w:t>.</w:t>
      </w:r>
    </w:p>
    <w:p w14:paraId="76863723" w14:textId="77777777" w:rsidR="000A1498" w:rsidRDefault="000A1498" w:rsidP="000A1498">
      <w:pPr>
        <w:spacing w:line="360" w:lineRule="auto"/>
        <w:ind w:firstLine="720"/>
        <w:jc w:val="both"/>
      </w:pPr>
    </w:p>
    <w:p w14:paraId="3789C70B" w14:textId="234016DE" w:rsidR="00006F16" w:rsidRPr="00F33C54" w:rsidRDefault="00376E83" w:rsidP="00EE0273">
      <w:pPr>
        <w:pStyle w:val="Ttulo1"/>
        <w:spacing w:line="360" w:lineRule="auto"/>
      </w:pPr>
      <w:bookmarkStart w:id="3" w:name="_Toc205652112"/>
      <w:bookmarkEnd w:id="2"/>
      <w:r w:rsidRPr="00677378">
        <w:rPr>
          <w:highlight w:val="yellow"/>
        </w:rPr>
        <w:t>Marco Teórico</w:t>
      </w:r>
      <w:bookmarkEnd w:id="3"/>
    </w:p>
    <w:p w14:paraId="3B70EDBB" w14:textId="5EF731F1" w:rsidR="00522C4B" w:rsidRPr="002A76BA" w:rsidRDefault="00FF5404" w:rsidP="00EE0273">
      <w:pPr>
        <w:pStyle w:val="Ttulo2"/>
        <w:spacing w:line="360" w:lineRule="auto"/>
      </w:pPr>
      <w:bookmarkStart w:id="4" w:name="_Toc205652113"/>
      <w:r w:rsidRPr="002A76BA">
        <w:t>Series Temporales</w:t>
      </w:r>
      <w:bookmarkEnd w:id="4"/>
    </w:p>
    <w:p w14:paraId="07286ABB" w14:textId="5E5E513D" w:rsidR="003015DA" w:rsidRPr="00FF433C" w:rsidRDefault="00D22EE2" w:rsidP="00EA4DBF">
      <w:pPr>
        <w:spacing w:line="360" w:lineRule="auto"/>
        <w:ind w:firstLine="720"/>
        <w:jc w:val="both"/>
        <w:rPr>
          <w:rFonts w:ascii="Arial" w:hAnsi="Arial" w:cs="Arial"/>
        </w:rPr>
      </w:pPr>
      <w:r w:rsidRPr="00FF433C">
        <w:rPr>
          <w:rFonts w:ascii="Arial" w:hAnsi="Arial" w:cs="Arial"/>
        </w:rPr>
        <w:t>A partir de lo expresado en Gujarati</w:t>
      </w:r>
      <w:r w:rsidR="0063521A" w:rsidRPr="00FF433C">
        <w:rPr>
          <w:rFonts w:ascii="Arial" w:hAnsi="Arial" w:cs="Arial"/>
        </w:rPr>
        <w:t xml:space="preserve"> y Porter</w:t>
      </w:r>
      <w:r w:rsidRPr="00FF433C">
        <w:rPr>
          <w:rFonts w:ascii="Arial" w:hAnsi="Arial" w:cs="Arial"/>
        </w:rPr>
        <w:t xml:space="preserve"> (</w:t>
      </w:r>
      <w:r w:rsidR="00A54968" w:rsidRPr="00FF433C">
        <w:rPr>
          <w:rFonts w:ascii="Arial" w:hAnsi="Arial" w:cs="Arial"/>
        </w:rPr>
        <w:t>2010</w:t>
      </w:r>
      <w:r w:rsidRPr="00FF433C">
        <w:rPr>
          <w:rFonts w:ascii="Arial" w:hAnsi="Arial" w:cs="Arial"/>
        </w:rPr>
        <w:t>) y Mauricio (</w:t>
      </w:r>
      <w:r w:rsidR="00384E12" w:rsidRPr="00FF433C">
        <w:rPr>
          <w:rFonts w:ascii="Arial" w:hAnsi="Arial" w:cs="Arial"/>
        </w:rPr>
        <w:t>2007</w:t>
      </w:r>
      <w:r w:rsidRPr="00FF433C">
        <w:rPr>
          <w:rFonts w:ascii="Arial" w:hAnsi="Arial" w:cs="Arial"/>
        </w:rPr>
        <w:t xml:space="preserve">), es posible definir a una Serie Temporal como </w:t>
      </w:r>
      <w:r w:rsidR="00FE5218" w:rsidRPr="00FF433C">
        <w:rPr>
          <w:rFonts w:ascii="Arial" w:hAnsi="Arial" w:cs="Arial"/>
        </w:rPr>
        <w:t xml:space="preserve">un conjunto de observaciones sobre los valores de una variable en diferentes momentos temporales, las cuales se recopilan </w:t>
      </w:r>
      <w:r w:rsidR="00114BE4" w:rsidRPr="00FF433C">
        <w:rPr>
          <w:rFonts w:ascii="Arial" w:hAnsi="Arial" w:cs="Arial"/>
        </w:rPr>
        <w:t xml:space="preserve">en intervalos regulares, son equidistantes y se encuentran ordenadas cronológicamente. </w:t>
      </w:r>
      <w:r w:rsidR="00384E12" w:rsidRPr="00FF433C">
        <w:rPr>
          <w:rFonts w:ascii="Arial" w:hAnsi="Arial" w:cs="Arial"/>
        </w:rPr>
        <w:t>Con intervalos regulares se refiere a períodos de tiempo como pueden ser días, semanas, trimestres, años, o, inclusive, datos en tiempo real por segundo.</w:t>
      </w:r>
      <w:r w:rsidR="00114BE4" w:rsidRPr="00FF433C">
        <w:rPr>
          <w:rFonts w:ascii="Arial" w:hAnsi="Arial" w:cs="Arial"/>
        </w:rPr>
        <w:t xml:space="preserve"> </w:t>
      </w:r>
      <w:r w:rsidR="00EB6CBA" w:rsidRPr="00FF433C">
        <w:rPr>
          <w:rFonts w:ascii="Arial" w:hAnsi="Arial" w:cs="Arial"/>
        </w:rPr>
        <w:t>En esencia,</w:t>
      </w:r>
      <w:r w:rsidR="00DD2FB8" w:rsidRPr="00FF433C">
        <w:rPr>
          <w:rFonts w:ascii="Arial" w:hAnsi="Arial" w:cs="Arial"/>
        </w:rPr>
        <w:t xml:space="preserve"> como menciona Del Rosso (</w:t>
      </w:r>
      <w:r w:rsidR="007A4C41" w:rsidRPr="00FF433C">
        <w:rPr>
          <w:rFonts w:ascii="Arial" w:hAnsi="Arial" w:cs="Arial"/>
        </w:rPr>
        <w:t>2025</w:t>
      </w:r>
      <w:r w:rsidR="00BC2E38" w:rsidRPr="00FF433C">
        <w:rPr>
          <w:rFonts w:ascii="Arial" w:hAnsi="Arial" w:cs="Arial"/>
        </w:rPr>
        <w:t>a</w:t>
      </w:r>
      <w:r w:rsidR="00DD2FB8" w:rsidRPr="00FF433C">
        <w:rPr>
          <w:rFonts w:ascii="Arial" w:hAnsi="Arial" w:cs="Arial"/>
        </w:rPr>
        <w:t>),</w:t>
      </w:r>
      <w:r w:rsidR="00EB6CBA" w:rsidRPr="00FF433C">
        <w:rPr>
          <w:rFonts w:ascii="Arial" w:hAnsi="Arial" w:cs="Arial"/>
        </w:rPr>
        <w:t xml:space="preserve"> una serie temporal es una realización particular finita de un proceso estocástico, lo que puede entenderse como una secuencia de variables aleatorias ordenadas en el tiempo.</w:t>
      </w:r>
      <w:r w:rsidR="00B47721" w:rsidRPr="00FF433C">
        <w:rPr>
          <w:rFonts w:ascii="Arial" w:hAnsi="Arial" w:cs="Arial"/>
        </w:rPr>
        <w:t xml:space="preserve"> </w:t>
      </w:r>
    </w:p>
    <w:p w14:paraId="42CA967B" w14:textId="77777777" w:rsidR="00B35103" w:rsidRPr="00FF433C" w:rsidRDefault="00206E16" w:rsidP="00EA4DBF">
      <w:pPr>
        <w:spacing w:line="360" w:lineRule="auto"/>
        <w:ind w:firstLine="720"/>
        <w:jc w:val="both"/>
        <w:rPr>
          <w:rFonts w:ascii="Arial" w:hAnsi="Arial" w:cs="Arial"/>
        </w:rPr>
      </w:pPr>
      <w:r w:rsidRPr="00FF433C">
        <w:rPr>
          <w:rFonts w:ascii="Arial" w:hAnsi="Arial" w:cs="Arial"/>
        </w:rPr>
        <w:t xml:space="preserve">Se destaca la importancia de entender que los distintos datos de una serie temporal </w:t>
      </w:r>
      <w:r w:rsidR="005861D9" w:rsidRPr="00FF433C">
        <w:rPr>
          <w:rFonts w:ascii="Arial" w:hAnsi="Arial" w:cs="Arial"/>
        </w:rPr>
        <w:t>tienen un orden natural respecto del tiempo</w:t>
      </w:r>
      <w:r w:rsidR="00D83DF5" w:rsidRPr="00FF433C">
        <w:rPr>
          <w:rFonts w:ascii="Arial" w:hAnsi="Arial" w:cs="Arial"/>
        </w:rPr>
        <w:t xml:space="preserve">, </w:t>
      </w:r>
      <w:r w:rsidR="0057792B" w:rsidRPr="00FF433C">
        <w:rPr>
          <w:rFonts w:ascii="Arial" w:hAnsi="Arial" w:cs="Arial"/>
        </w:rPr>
        <w:t xml:space="preserve">lo que permite </w:t>
      </w:r>
      <w:r w:rsidR="00714F62" w:rsidRPr="00FF433C">
        <w:rPr>
          <w:rFonts w:ascii="Arial" w:hAnsi="Arial" w:cs="Arial"/>
        </w:rPr>
        <w:t>abordar preguntas de causalidad, tendencias y la probabilidad de resultados futuros según Nielsen</w:t>
      </w:r>
      <w:r w:rsidR="00050EEB" w:rsidRPr="00FF433C">
        <w:rPr>
          <w:rFonts w:ascii="Arial" w:hAnsi="Arial" w:cs="Arial"/>
        </w:rPr>
        <w:t xml:space="preserve"> (2020)</w:t>
      </w:r>
      <w:r w:rsidR="00714F62" w:rsidRPr="00FF433C">
        <w:rPr>
          <w:rFonts w:ascii="Arial" w:hAnsi="Arial" w:cs="Arial"/>
        </w:rPr>
        <w:t>,</w:t>
      </w:r>
      <w:r w:rsidR="005861D9" w:rsidRPr="00FF433C">
        <w:rPr>
          <w:rFonts w:ascii="Arial" w:hAnsi="Arial" w:cs="Arial"/>
        </w:rPr>
        <w:t xml:space="preserve"> y que las sucesivas observaciones suelen tener algún tipo de correlación</w:t>
      </w:r>
      <w:r w:rsidR="003F71B7" w:rsidRPr="00FF433C">
        <w:rPr>
          <w:rFonts w:ascii="Arial" w:hAnsi="Arial" w:cs="Arial"/>
        </w:rPr>
        <w:t>, en especial cuando se mide en intervalos cada vez más cortos de tiempo</w:t>
      </w:r>
      <w:r w:rsidR="00663CD9" w:rsidRPr="00FF433C">
        <w:rPr>
          <w:rFonts w:ascii="Arial" w:hAnsi="Arial" w:cs="Arial"/>
        </w:rPr>
        <w:t>, lo que invalida la inferencia clásica</w:t>
      </w:r>
      <w:r w:rsidR="00F74C76" w:rsidRPr="00FF433C">
        <w:rPr>
          <w:rFonts w:ascii="Arial" w:hAnsi="Arial" w:cs="Arial"/>
        </w:rPr>
        <w:t xml:space="preserve">, ya que los </w:t>
      </w:r>
      <w:r w:rsidR="000B7776" w:rsidRPr="00FF433C">
        <w:rPr>
          <w:rFonts w:ascii="Arial" w:hAnsi="Arial" w:cs="Arial"/>
        </w:rPr>
        <w:t>supuestos del modelo clásico de regresión lineal, como la ausencia de autocorrelación de los residuos, no suelen cumplirse en las series temporales,</w:t>
      </w:r>
      <w:r w:rsidR="00663CD9" w:rsidRPr="00FF433C">
        <w:rPr>
          <w:rFonts w:ascii="Arial" w:hAnsi="Arial" w:cs="Arial"/>
        </w:rPr>
        <w:t xml:space="preserve"> </w:t>
      </w:r>
      <w:r w:rsidR="000B7776" w:rsidRPr="00FF433C">
        <w:rPr>
          <w:rFonts w:ascii="Arial" w:hAnsi="Arial" w:cs="Arial"/>
        </w:rPr>
        <w:t>por lo que se</w:t>
      </w:r>
      <w:r w:rsidR="00663CD9" w:rsidRPr="00FF433C">
        <w:rPr>
          <w:rFonts w:ascii="Arial" w:hAnsi="Arial" w:cs="Arial"/>
        </w:rPr>
        <w:t xml:space="preserve"> requiere </w:t>
      </w:r>
      <w:r w:rsidR="00FF5404" w:rsidRPr="00FF433C">
        <w:rPr>
          <w:rFonts w:ascii="Arial" w:hAnsi="Arial" w:cs="Arial"/>
        </w:rPr>
        <w:t>d</w:t>
      </w:r>
      <w:r w:rsidR="00663CD9" w:rsidRPr="00FF433C">
        <w:rPr>
          <w:rFonts w:ascii="Arial" w:hAnsi="Arial" w:cs="Arial"/>
        </w:rPr>
        <w:t>el desarrollo de nuevos métodos de inferencia</w:t>
      </w:r>
      <w:r w:rsidR="003F71B7" w:rsidRPr="00FF433C">
        <w:rPr>
          <w:rFonts w:ascii="Arial" w:hAnsi="Arial" w:cs="Arial"/>
        </w:rPr>
        <w:t>. Los autores enfatizan en la existencia de cierta ‘inercia’</w:t>
      </w:r>
      <w:r w:rsidR="00DA3A79" w:rsidRPr="00FF433C">
        <w:rPr>
          <w:rFonts w:ascii="Arial" w:hAnsi="Arial" w:cs="Arial"/>
        </w:rPr>
        <w:t xml:space="preserve">, principalmente en series económicas, donde el valor de una serie en un punto del tiempo está influenciado por sus valores anteriores. A diferencia de esto, por ejemplo, los datos de corte transversal </w:t>
      </w:r>
      <w:r w:rsidR="009A5887" w:rsidRPr="00FF433C">
        <w:rPr>
          <w:rFonts w:ascii="Arial" w:hAnsi="Arial" w:cs="Arial"/>
        </w:rPr>
        <w:t xml:space="preserve">consisten en información recopilada en un momento determinado para diferentes unidades, individuos, </w:t>
      </w:r>
      <w:r w:rsidR="00FB019D" w:rsidRPr="00FF433C">
        <w:rPr>
          <w:rFonts w:ascii="Arial" w:hAnsi="Arial" w:cs="Arial"/>
        </w:rPr>
        <w:t xml:space="preserve">empresas, </w:t>
      </w:r>
      <w:r w:rsidR="009A5887" w:rsidRPr="00FF433C">
        <w:rPr>
          <w:rFonts w:ascii="Arial" w:hAnsi="Arial" w:cs="Arial"/>
        </w:rPr>
        <w:t xml:space="preserve">estados, </w:t>
      </w:r>
      <w:r w:rsidR="00FB019D" w:rsidRPr="00FF433C">
        <w:rPr>
          <w:rFonts w:ascii="Arial" w:hAnsi="Arial" w:cs="Arial"/>
        </w:rPr>
        <w:t>entre otros.</w:t>
      </w:r>
      <w:r w:rsidR="004E6B37" w:rsidRPr="00FF433C">
        <w:rPr>
          <w:rFonts w:ascii="Arial" w:hAnsi="Arial" w:cs="Arial"/>
        </w:rPr>
        <w:t xml:space="preserve"> Asimismo, </w:t>
      </w:r>
      <w:r w:rsidR="00D70174" w:rsidRPr="00FF433C">
        <w:rPr>
          <w:rFonts w:ascii="Arial" w:hAnsi="Arial" w:cs="Arial"/>
        </w:rPr>
        <w:t>el principal objetivo del análisis de series temporales es elaborar un modelo estadístico que describa adecuadamente la procedencia de la serie</w:t>
      </w:r>
      <w:r w:rsidR="000F1A93" w:rsidRPr="00FF433C">
        <w:rPr>
          <w:rFonts w:ascii="Arial" w:hAnsi="Arial" w:cs="Arial"/>
        </w:rPr>
        <w:t xml:space="preserve"> y poder describir la evolución observada de la serie </w:t>
      </w:r>
      <w:r w:rsidR="00F9102A" w:rsidRPr="00FF433C">
        <w:rPr>
          <w:rFonts w:ascii="Arial" w:hAnsi="Arial" w:cs="Arial"/>
        </w:rPr>
        <w:t xml:space="preserve">y las relaciones entre sus componentes </w:t>
      </w:r>
      <w:r w:rsidR="000F1A93" w:rsidRPr="00FF433C">
        <w:rPr>
          <w:rFonts w:ascii="Arial" w:hAnsi="Arial" w:cs="Arial"/>
        </w:rPr>
        <w:t>por un lado, así como prever la evolución futura de esta</w:t>
      </w:r>
      <w:r w:rsidR="003B3A0D" w:rsidRPr="00FF433C">
        <w:rPr>
          <w:rFonts w:ascii="Arial" w:hAnsi="Arial" w:cs="Arial"/>
        </w:rPr>
        <w:t xml:space="preserve">, tal como mencionan Chatfield y </w:t>
      </w:r>
      <w:r w:rsidR="003B0141" w:rsidRPr="00FF433C">
        <w:rPr>
          <w:rFonts w:ascii="Arial" w:hAnsi="Arial" w:cs="Arial"/>
        </w:rPr>
        <w:t>Xing (</w:t>
      </w:r>
      <w:r w:rsidR="005144A6" w:rsidRPr="00FF433C">
        <w:rPr>
          <w:rFonts w:ascii="Arial" w:hAnsi="Arial" w:cs="Arial"/>
        </w:rPr>
        <w:t>2019</w:t>
      </w:r>
      <w:r w:rsidR="003B0141" w:rsidRPr="00FF433C">
        <w:rPr>
          <w:rFonts w:ascii="Arial" w:hAnsi="Arial" w:cs="Arial"/>
        </w:rPr>
        <w:t xml:space="preserve">), las series temporales pueden predecirse, </w:t>
      </w:r>
      <w:r w:rsidR="00D57C1A" w:rsidRPr="00FF433C">
        <w:rPr>
          <w:rFonts w:ascii="Arial" w:hAnsi="Arial" w:cs="Arial"/>
        </w:rPr>
        <w:t>parcialmente</w:t>
      </w:r>
      <w:r w:rsidR="003B0141" w:rsidRPr="00FF433C">
        <w:rPr>
          <w:rFonts w:ascii="Arial" w:hAnsi="Arial" w:cs="Arial"/>
        </w:rPr>
        <w:t xml:space="preserve">, </w:t>
      </w:r>
      <w:r w:rsidR="00D57C1A" w:rsidRPr="00FF433C">
        <w:rPr>
          <w:rFonts w:ascii="Arial" w:hAnsi="Arial" w:cs="Arial"/>
        </w:rPr>
        <w:t xml:space="preserve">en </w:t>
      </w:r>
      <w:r w:rsidR="00D57C1A" w:rsidRPr="00FF433C">
        <w:rPr>
          <w:rFonts w:ascii="Arial" w:hAnsi="Arial" w:cs="Arial"/>
        </w:rPr>
        <w:lastRenderedPageBreak/>
        <w:t xml:space="preserve">función </w:t>
      </w:r>
      <w:r w:rsidR="00D4162A" w:rsidRPr="00FF433C">
        <w:rPr>
          <w:rFonts w:ascii="Arial" w:hAnsi="Arial" w:cs="Arial"/>
        </w:rPr>
        <w:t>de sus valores pasados, los cuales condicionan a la distribución de probabilidad de estas a futuro</w:t>
      </w:r>
      <w:r w:rsidR="000F1A93" w:rsidRPr="00FF433C">
        <w:rPr>
          <w:rFonts w:ascii="Arial" w:hAnsi="Arial" w:cs="Arial"/>
        </w:rPr>
        <w:t xml:space="preserve">. </w:t>
      </w:r>
    </w:p>
    <w:p w14:paraId="35B0838C" w14:textId="22EFE719" w:rsidR="008642AD" w:rsidRPr="00AF4927" w:rsidRDefault="004B43D2" w:rsidP="0095736B">
      <w:pPr>
        <w:spacing w:line="360" w:lineRule="auto"/>
        <w:ind w:firstLine="720"/>
        <w:jc w:val="both"/>
        <w:rPr>
          <w:rFonts w:ascii="Arial" w:hAnsi="Arial" w:cs="Arial"/>
          <w:highlight w:val="yellow"/>
        </w:rPr>
      </w:pPr>
      <w:r w:rsidRPr="0095736B">
        <w:rPr>
          <w:rFonts w:ascii="Arial" w:hAnsi="Arial" w:cs="Arial"/>
        </w:rPr>
        <w:t>Durante</w:t>
      </w:r>
      <w:r w:rsidR="00352BC3" w:rsidRPr="0095736B">
        <w:rPr>
          <w:rFonts w:ascii="Arial" w:hAnsi="Arial" w:cs="Arial"/>
        </w:rPr>
        <w:t xml:space="preserve"> el presente trabajo</w:t>
      </w:r>
      <w:r w:rsidR="00F82805" w:rsidRPr="0095736B">
        <w:rPr>
          <w:rFonts w:ascii="Arial" w:hAnsi="Arial" w:cs="Arial"/>
        </w:rPr>
        <w:t xml:space="preserve">, </w:t>
      </w:r>
      <w:r w:rsidRPr="0095736B">
        <w:rPr>
          <w:rFonts w:ascii="Arial" w:hAnsi="Arial" w:cs="Arial"/>
        </w:rPr>
        <w:t>para la recolección d</w:t>
      </w:r>
      <w:r w:rsidR="00024C30" w:rsidRPr="0095736B">
        <w:rPr>
          <w:rFonts w:ascii="Arial" w:hAnsi="Arial" w:cs="Arial"/>
        </w:rPr>
        <w:t>e los datos de las series de interés, se utilizar</w:t>
      </w:r>
      <w:r w:rsidR="00847860">
        <w:rPr>
          <w:rFonts w:ascii="Arial" w:hAnsi="Arial" w:cs="Arial"/>
        </w:rPr>
        <w:t>o</w:t>
      </w:r>
      <w:r w:rsidR="00024C30" w:rsidRPr="0095736B">
        <w:rPr>
          <w:rFonts w:ascii="Arial" w:hAnsi="Arial" w:cs="Arial"/>
        </w:rPr>
        <w:t xml:space="preserve">n las APIs del BCRA para </w:t>
      </w:r>
      <w:r w:rsidR="001731BC" w:rsidRPr="0095736B">
        <w:rPr>
          <w:rFonts w:ascii="Arial" w:hAnsi="Arial" w:cs="Arial"/>
        </w:rPr>
        <w:t xml:space="preserve">todas </w:t>
      </w:r>
      <w:r w:rsidR="001731BC" w:rsidRPr="00575D23">
        <w:rPr>
          <w:rFonts w:ascii="Arial" w:hAnsi="Arial" w:cs="Arial"/>
        </w:rPr>
        <w:t>las variables que se encuentra</w:t>
      </w:r>
      <w:r w:rsidR="00663AB3" w:rsidRPr="00575D23">
        <w:rPr>
          <w:rFonts w:ascii="Arial" w:hAnsi="Arial" w:cs="Arial"/>
        </w:rPr>
        <w:t>n</w:t>
      </w:r>
      <w:r w:rsidR="001731BC" w:rsidRPr="00575D23">
        <w:rPr>
          <w:rFonts w:ascii="Arial" w:hAnsi="Arial" w:cs="Arial"/>
        </w:rPr>
        <w:t xml:space="preserve"> en </w:t>
      </w:r>
      <w:r w:rsidR="00034DCE">
        <w:rPr>
          <w:rFonts w:ascii="Arial" w:hAnsi="Arial" w:cs="Arial"/>
        </w:rPr>
        <w:t>las Tablas A1 y A2</w:t>
      </w:r>
      <w:r w:rsidR="00663AB3" w:rsidRPr="00575D23">
        <w:rPr>
          <w:rFonts w:ascii="Arial" w:hAnsi="Arial" w:cs="Arial"/>
        </w:rPr>
        <w:t>,</w:t>
      </w:r>
      <w:r w:rsidR="00663AB3" w:rsidRPr="0095736B">
        <w:rPr>
          <w:rFonts w:ascii="Arial" w:hAnsi="Arial" w:cs="Arial"/>
        </w:rPr>
        <w:t xml:space="preserve"> </w:t>
      </w:r>
      <w:r w:rsidR="006024DE" w:rsidRPr="0095736B">
        <w:rPr>
          <w:rFonts w:ascii="Arial" w:hAnsi="Arial" w:cs="Arial"/>
          <w:i/>
          <w:iCs/>
        </w:rPr>
        <w:t>datasets</w:t>
      </w:r>
      <w:r w:rsidR="006024DE" w:rsidRPr="0095736B">
        <w:rPr>
          <w:rFonts w:ascii="Arial" w:hAnsi="Arial" w:cs="Arial"/>
        </w:rPr>
        <w:t xml:space="preserve"> </w:t>
      </w:r>
      <w:r w:rsidR="00EF5B16" w:rsidRPr="0095736B">
        <w:rPr>
          <w:rFonts w:ascii="Arial" w:hAnsi="Arial" w:cs="Arial"/>
        </w:rPr>
        <w:t xml:space="preserve">del Instituto Nacional de Estadísticas y Censos (INDEC) de Argentina para </w:t>
      </w:r>
      <w:r w:rsidR="008D70D7" w:rsidRPr="0095736B">
        <w:rPr>
          <w:rFonts w:ascii="Arial" w:hAnsi="Arial" w:cs="Arial"/>
        </w:rPr>
        <w:t>el EMAE</w:t>
      </w:r>
      <w:r w:rsidR="0098413F">
        <w:rPr>
          <w:rFonts w:ascii="Arial" w:hAnsi="Arial" w:cs="Arial"/>
        </w:rPr>
        <w:t xml:space="preserve"> y</w:t>
      </w:r>
      <w:r w:rsidR="008D70D7" w:rsidRPr="0095736B">
        <w:rPr>
          <w:rFonts w:ascii="Arial" w:hAnsi="Arial" w:cs="Arial"/>
        </w:rPr>
        <w:t xml:space="preserve"> el IPC</w:t>
      </w:r>
      <w:r w:rsidR="0098413F">
        <w:rPr>
          <w:rFonts w:ascii="Arial" w:hAnsi="Arial" w:cs="Arial"/>
        </w:rPr>
        <w:t xml:space="preserve">, y, también, </w:t>
      </w:r>
      <w:r w:rsidR="0098413F">
        <w:rPr>
          <w:rFonts w:ascii="Arial" w:hAnsi="Arial" w:cs="Arial"/>
          <w:i/>
          <w:iCs/>
        </w:rPr>
        <w:t>datasets</w:t>
      </w:r>
      <w:r w:rsidR="0098413F">
        <w:rPr>
          <w:rFonts w:ascii="Arial" w:hAnsi="Arial" w:cs="Arial"/>
        </w:rPr>
        <w:t xml:space="preserve"> p</w:t>
      </w:r>
      <w:r w:rsidR="0098413F" w:rsidRPr="00A747D0">
        <w:rPr>
          <w:rFonts w:ascii="Arial" w:hAnsi="Arial" w:cs="Arial"/>
        </w:rPr>
        <w:t>ara precios de dólar paralelo</w:t>
      </w:r>
      <w:r w:rsidR="00847860">
        <w:rPr>
          <w:rFonts w:ascii="Arial" w:hAnsi="Arial" w:cs="Arial"/>
        </w:rPr>
        <w:t xml:space="preserve">, </w:t>
      </w:r>
      <w:r w:rsidR="004835C0" w:rsidRPr="00A747D0">
        <w:rPr>
          <w:rFonts w:ascii="Arial" w:hAnsi="Arial" w:cs="Arial"/>
        </w:rPr>
        <w:t>índices</w:t>
      </w:r>
      <w:r w:rsidR="00847860">
        <w:rPr>
          <w:rFonts w:ascii="Arial" w:hAnsi="Arial" w:cs="Arial"/>
        </w:rPr>
        <w:t xml:space="preserve"> y ETFs</w:t>
      </w:r>
      <w:r w:rsidR="004835C0" w:rsidRPr="00A747D0">
        <w:rPr>
          <w:rFonts w:ascii="Arial" w:hAnsi="Arial" w:cs="Arial"/>
        </w:rPr>
        <w:t xml:space="preserve"> bursátiles</w:t>
      </w:r>
      <w:r w:rsidR="00333DCE">
        <w:rPr>
          <w:rFonts w:ascii="Arial" w:hAnsi="Arial" w:cs="Arial"/>
        </w:rPr>
        <w:t>, y datos del sistema de pagos minoristas</w:t>
      </w:r>
      <w:r w:rsidR="006024DE" w:rsidRPr="00A747D0">
        <w:rPr>
          <w:rFonts w:ascii="Arial" w:hAnsi="Arial" w:cs="Arial"/>
        </w:rPr>
        <w:t xml:space="preserve">. </w:t>
      </w:r>
      <w:r w:rsidR="008D70D7" w:rsidRPr="00A747D0">
        <w:rPr>
          <w:rFonts w:ascii="Arial" w:hAnsi="Arial" w:cs="Arial"/>
        </w:rPr>
        <w:t>Debido a que la</w:t>
      </w:r>
      <w:r w:rsidR="004835C0" w:rsidRPr="00A747D0">
        <w:rPr>
          <w:rFonts w:ascii="Arial" w:hAnsi="Arial" w:cs="Arial"/>
        </w:rPr>
        <w:t xml:space="preserve"> mayoría de las</w:t>
      </w:r>
      <w:r w:rsidR="008D70D7" w:rsidRPr="00A747D0">
        <w:rPr>
          <w:rFonts w:ascii="Arial" w:hAnsi="Arial" w:cs="Arial"/>
        </w:rPr>
        <w:t xml:space="preserve"> variables mencionadas son diarias y </w:t>
      </w:r>
      <w:r w:rsidR="004835C0" w:rsidRPr="00A747D0">
        <w:rPr>
          <w:rFonts w:ascii="Arial" w:hAnsi="Arial" w:cs="Arial"/>
        </w:rPr>
        <w:t xml:space="preserve">solo algunas pocas </w:t>
      </w:r>
      <w:r w:rsidR="008D70D7" w:rsidRPr="00A747D0">
        <w:rPr>
          <w:rFonts w:ascii="Arial" w:hAnsi="Arial" w:cs="Arial"/>
        </w:rPr>
        <w:t>son mensuales, se</w:t>
      </w:r>
      <w:r w:rsidR="0080519C" w:rsidRPr="00A747D0">
        <w:rPr>
          <w:rFonts w:ascii="Arial" w:hAnsi="Arial" w:cs="Arial"/>
        </w:rPr>
        <w:t xml:space="preserve"> unificarán los registros temporales y se utilizarán datos diarios. </w:t>
      </w:r>
      <w:r w:rsidR="00A747D0" w:rsidRPr="00A747D0">
        <w:rPr>
          <w:rFonts w:ascii="Arial" w:hAnsi="Arial" w:cs="Arial"/>
        </w:rPr>
        <w:t>Sobre ello, a aquellas variables con valores mensuales se les imputarán diariamente el mismo valor que el dato mensual haya arrojado con fecha el primer día de cada mes</w:t>
      </w:r>
      <w:r w:rsidR="00413A9E" w:rsidRPr="00A747D0">
        <w:rPr>
          <w:rFonts w:ascii="Arial" w:hAnsi="Arial" w:cs="Arial"/>
        </w:rPr>
        <w:t>.</w:t>
      </w:r>
      <w:r w:rsidR="00333DCE">
        <w:rPr>
          <w:rFonts w:ascii="Arial" w:hAnsi="Arial" w:cs="Arial"/>
        </w:rPr>
        <w:t xml:space="preserve"> En aquellos casos donde</w:t>
      </w:r>
      <w:r w:rsidR="00E45C50">
        <w:rPr>
          <w:rFonts w:ascii="Arial" w:hAnsi="Arial" w:cs="Arial"/>
        </w:rPr>
        <w:t xml:space="preserve"> los registros de una fecha superen un umbral de nulidad, se optó por la eliminación del registro completo, no así </w:t>
      </w:r>
      <w:r w:rsidR="00C0096C">
        <w:rPr>
          <w:rFonts w:ascii="Arial" w:hAnsi="Arial" w:cs="Arial"/>
        </w:rPr>
        <w:t>la eliminación de variables completas.</w:t>
      </w:r>
    </w:p>
    <w:p w14:paraId="09170E02" w14:textId="12FF159D" w:rsidR="00F87CB6" w:rsidRDefault="00372F96" w:rsidP="00EA4DBF">
      <w:pPr>
        <w:spacing w:line="360" w:lineRule="auto"/>
        <w:ind w:firstLine="720"/>
        <w:jc w:val="both"/>
        <w:rPr>
          <w:rFonts w:ascii="Arial" w:hAnsi="Arial" w:cs="Arial"/>
        </w:rPr>
      </w:pPr>
      <w:r w:rsidRPr="0095736B">
        <w:rPr>
          <w:rFonts w:ascii="Arial" w:hAnsi="Arial" w:cs="Arial"/>
        </w:rPr>
        <w:t>En</w:t>
      </w:r>
      <w:r w:rsidR="004241BE" w:rsidRPr="0095736B">
        <w:rPr>
          <w:rFonts w:ascii="Arial" w:hAnsi="Arial" w:cs="Arial"/>
        </w:rPr>
        <w:t xml:space="preserve"> la Figura 1</w:t>
      </w:r>
      <w:r w:rsidR="00B35103" w:rsidRPr="0095736B">
        <w:rPr>
          <w:rFonts w:ascii="Arial" w:hAnsi="Arial" w:cs="Arial"/>
        </w:rPr>
        <w:t xml:space="preserve"> se presenta </w:t>
      </w:r>
      <w:r w:rsidR="00324977" w:rsidRPr="0095736B">
        <w:rPr>
          <w:rFonts w:ascii="Arial" w:hAnsi="Arial" w:cs="Arial"/>
        </w:rPr>
        <w:t xml:space="preserve">el recorrido de las variable de interés recolectada a lo largo del período de tiempo </w:t>
      </w:r>
      <w:r w:rsidR="004241BE" w:rsidRPr="0095736B">
        <w:rPr>
          <w:rFonts w:ascii="Arial" w:hAnsi="Arial" w:cs="Arial"/>
        </w:rPr>
        <w:t>mencionado anteriormente</w:t>
      </w:r>
      <w:r w:rsidR="00324977" w:rsidRPr="0095736B">
        <w:rPr>
          <w:rFonts w:ascii="Arial" w:hAnsi="Arial" w:cs="Arial"/>
        </w:rPr>
        <w:t>:</w:t>
      </w:r>
    </w:p>
    <w:p w14:paraId="6FC7C837" w14:textId="1F7FA472" w:rsidR="00662F63" w:rsidRDefault="00C761CF" w:rsidP="00C761CF">
      <w:pPr>
        <w:spacing w:line="360" w:lineRule="auto"/>
        <w:jc w:val="center"/>
        <w:rPr>
          <w:rFonts w:ascii="Arial" w:hAnsi="Arial" w:cs="Arial"/>
        </w:rPr>
      </w:pPr>
      <w:r>
        <w:rPr>
          <w:noProof/>
        </w:rPr>
        <w:drawing>
          <wp:inline distT="0" distB="0" distL="0" distR="0" wp14:anchorId="3E0B675B" wp14:editId="3161D513">
            <wp:extent cx="6188710" cy="3105785"/>
            <wp:effectExtent l="0" t="0" r="2540" b="0"/>
            <wp:docPr id="45290887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8870" name="Imagen 1" descr="Gráfic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3105785"/>
                    </a:xfrm>
                    <a:prstGeom prst="rect">
                      <a:avLst/>
                    </a:prstGeom>
                    <a:noFill/>
                    <a:ln>
                      <a:noFill/>
                    </a:ln>
                  </pic:spPr>
                </pic:pic>
              </a:graphicData>
            </a:graphic>
          </wp:inline>
        </w:drawing>
      </w:r>
    </w:p>
    <w:p w14:paraId="317FAB66" w14:textId="77777777" w:rsidR="006F0E98" w:rsidRDefault="006F0E98" w:rsidP="006F0E98">
      <w:pPr>
        <w:spacing w:line="360" w:lineRule="auto"/>
        <w:ind w:firstLine="720"/>
        <w:jc w:val="both"/>
        <w:rPr>
          <w:rFonts w:ascii="Arial" w:hAnsi="Arial" w:cs="Arial"/>
        </w:rPr>
      </w:pPr>
    </w:p>
    <w:p w14:paraId="291FA92D" w14:textId="55038E7D" w:rsidR="00133247" w:rsidRPr="00E05FE3" w:rsidRDefault="00133247" w:rsidP="00133247">
      <w:pPr>
        <w:pStyle w:val="Ttulo2"/>
      </w:pPr>
      <w:bookmarkStart w:id="5" w:name="_Toc205652114"/>
      <w:r w:rsidRPr="00E05FE3">
        <w:t xml:space="preserve">Modelos de </w:t>
      </w:r>
      <w:r w:rsidRPr="00E05FE3">
        <w:rPr>
          <w:i/>
          <w:iCs/>
        </w:rPr>
        <w:t>Machine Learning</w:t>
      </w:r>
      <w:bookmarkEnd w:id="5"/>
    </w:p>
    <w:p w14:paraId="401915CE" w14:textId="575A5766" w:rsidR="00967BE7" w:rsidRDefault="00967BE7" w:rsidP="00133247">
      <w:pPr>
        <w:spacing w:line="360" w:lineRule="auto"/>
        <w:ind w:firstLine="720"/>
        <w:jc w:val="both"/>
        <w:rPr>
          <w:rFonts w:ascii="Arial" w:hAnsi="Arial" w:cs="Arial"/>
        </w:rPr>
      </w:pPr>
      <w:r w:rsidRPr="00967BE7">
        <w:rPr>
          <w:rFonts w:ascii="Arial" w:hAnsi="Arial" w:cs="Arial"/>
        </w:rPr>
        <w:t>Los</w:t>
      </w:r>
      <w:r>
        <w:rPr>
          <w:rFonts w:ascii="Arial" w:hAnsi="Arial" w:cs="Arial"/>
        </w:rPr>
        <w:t xml:space="preserve"> modelos de aprendizaje automático son </w:t>
      </w:r>
      <w:r w:rsidR="00067F4E">
        <w:rPr>
          <w:rFonts w:ascii="Arial" w:hAnsi="Arial" w:cs="Arial"/>
        </w:rPr>
        <w:t xml:space="preserve">un subconjunto de la inteligencia artificial. </w:t>
      </w:r>
      <w:r w:rsidR="00845D1E">
        <w:rPr>
          <w:rFonts w:ascii="Arial" w:hAnsi="Arial" w:cs="Arial"/>
        </w:rPr>
        <w:t xml:space="preserve">IBM (2021) </w:t>
      </w:r>
      <w:r w:rsidR="00974771">
        <w:rPr>
          <w:rFonts w:ascii="Arial" w:hAnsi="Arial" w:cs="Arial"/>
        </w:rPr>
        <w:t xml:space="preserve">define que esta rama </w:t>
      </w:r>
      <w:r w:rsidR="00221595">
        <w:rPr>
          <w:rFonts w:ascii="Arial" w:hAnsi="Arial" w:cs="Arial"/>
        </w:rPr>
        <w:t>se centra en la mejora del rendimiento y precisión de las máquinas y computadoras</w:t>
      </w:r>
      <w:r w:rsidR="00B601AD">
        <w:rPr>
          <w:rFonts w:ascii="Arial" w:hAnsi="Arial" w:cs="Arial"/>
        </w:rPr>
        <w:t>, y que estas realicen tareas de forma autónoma</w:t>
      </w:r>
      <w:r w:rsidR="009D63FE">
        <w:rPr>
          <w:rFonts w:ascii="Arial" w:hAnsi="Arial" w:cs="Arial"/>
        </w:rPr>
        <w:t>, a través de la experiencia y exposición a más datos, imitando la forma en la que aprenden los humanos</w:t>
      </w:r>
      <w:r w:rsidR="00B601AD">
        <w:rPr>
          <w:rFonts w:ascii="Arial" w:hAnsi="Arial" w:cs="Arial"/>
        </w:rPr>
        <w:t xml:space="preserve">. </w:t>
      </w:r>
      <w:r w:rsidR="005C1F0D">
        <w:rPr>
          <w:rFonts w:ascii="Arial" w:hAnsi="Arial" w:cs="Arial"/>
        </w:rPr>
        <w:t xml:space="preserve">En igual sentido, </w:t>
      </w:r>
      <w:r w:rsidR="005C1F0D" w:rsidRPr="003969A0">
        <w:rPr>
          <w:rFonts w:ascii="Arial" w:hAnsi="Arial" w:cs="Arial"/>
          <w:i/>
          <w:iCs/>
        </w:rPr>
        <w:t>Syracuse University</w:t>
      </w:r>
      <w:r w:rsidR="005C1F0D">
        <w:rPr>
          <w:rFonts w:ascii="Arial" w:hAnsi="Arial" w:cs="Arial"/>
        </w:rPr>
        <w:t xml:space="preserve"> (</w:t>
      </w:r>
      <w:r w:rsidR="003969A0">
        <w:rPr>
          <w:rFonts w:ascii="Arial" w:hAnsi="Arial" w:cs="Arial"/>
        </w:rPr>
        <w:t>2025</w:t>
      </w:r>
      <w:r w:rsidR="005C1F0D">
        <w:rPr>
          <w:rFonts w:ascii="Arial" w:hAnsi="Arial" w:cs="Arial"/>
        </w:rPr>
        <w:t xml:space="preserve">) </w:t>
      </w:r>
      <w:r w:rsidR="00F03E45">
        <w:rPr>
          <w:rFonts w:ascii="Arial" w:hAnsi="Arial" w:cs="Arial"/>
        </w:rPr>
        <w:t xml:space="preserve">lo define como el proceso mediante el cual las computadoras pueden </w:t>
      </w:r>
      <w:r w:rsidR="00F03E45">
        <w:rPr>
          <w:rFonts w:ascii="Arial" w:hAnsi="Arial" w:cs="Arial"/>
        </w:rPr>
        <w:lastRenderedPageBreak/>
        <w:t xml:space="preserve">reconocer patrones y mejorar su rendimiento en el tiempo sin necesidad de ser </w:t>
      </w:r>
      <w:r w:rsidR="008D2E63">
        <w:rPr>
          <w:rFonts w:ascii="Arial" w:hAnsi="Arial" w:cs="Arial"/>
        </w:rPr>
        <w:t>programadas para cada escenario posible.</w:t>
      </w:r>
      <w:r w:rsidR="003B4EDC">
        <w:rPr>
          <w:rFonts w:ascii="Arial" w:hAnsi="Arial" w:cs="Arial"/>
        </w:rPr>
        <w:t xml:space="preserve"> En definitiva, </w:t>
      </w:r>
      <w:r w:rsidR="00944831">
        <w:rPr>
          <w:rFonts w:ascii="Arial" w:hAnsi="Arial" w:cs="Arial"/>
        </w:rPr>
        <w:t>se busca una mejora continua de los modelos a través del aprendizaje en exposición a una gran cantidad de datos.</w:t>
      </w:r>
    </w:p>
    <w:p w14:paraId="5506D00F" w14:textId="4D8229B5" w:rsidR="00944831" w:rsidRDefault="00E27F2D" w:rsidP="00133247">
      <w:pPr>
        <w:spacing w:line="360" w:lineRule="auto"/>
        <w:ind w:firstLine="720"/>
        <w:jc w:val="both"/>
        <w:rPr>
          <w:rFonts w:ascii="Arial" w:hAnsi="Arial" w:cs="Arial"/>
        </w:rPr>
      </w:pPr>
      <w:r>
        <w:rPr>
          <w:rFonts w:ascii="Arial" w:hAnsi="Arial" w:cs="Arial"/>
        </w:rPr>
        <w:t xml:space="preserve">Los modelos de aprendizaje automático </w:t>
      </w:r>
      <w:r w:rsidRPr="00E27F2D">
        <w:rPr>
          <w:rFonts w:ascii="Arial" w:hAnsi="Arial" w:cs="Arial"/>
        </w:rPr>
        <w:t>introducen formas innovadoras de abordar los problemas de predicción, modelando las relaciones entre las variables</w:t>
      </w:r>
      <w:r w:rsidR="00801F5E">
        <w:rPr>
          <w:rFonts w:ascii="Arial" w:hAnsi="Arial" w:cs="Arial"/>
        </w:rPr>
        <w:t xml:space="preserve">. </w:t>
      </w:r>
      <w:r w:rsidR="00B25DDB">
        <w:rPr>
          <w:rFonts w:ascii="Arial" w:hAnsi="Arial" w:cs="Arial"/>
        </w:rPr>
        <w:t xml:space="preserve">Estos modelos </w:t>
      </w:r>
      <w:r w:rsidR="00B25DDB" w:rsidRPr="00B25DDB">
        <w:rPr>
          <w:rFonts w:ascii="Arial" w:hAnsi="Arial" w:cs="Arial"/>
        </w:rPr>
        <w:t>son capaces de identificar estructuras y patrones complejos en los datos de series temporales, incluyendo la no linealidad</w:t>
      </w:r>
      <w:r w:rsidR="00B25DDB">
        <w:rPr>
          <w:rFonts w:ascii="Arial" w:hAnsi="Arial" w:cs="Arial"/>
        </w:rPr>
        <w:t>.</w:t>
      </w:r>
      <w:r w:rsidR="005810E3">
        <w:rPr>
          <w:rFonts w:ascii="Arial" w:hAnsi="Arial" w:cs="Arial"/>
        </w:rPr>
        <w:t xml:space="preserve"> Tal como describe</w:t>
      </w:r>
      <w:r w:rsidR="009F2A7D">
        <w:rPr>
          <w:rFonts w:ascii="Arial" w:hAnsi="Arial" w:cs="Arial"/>
        </w:rPr>
        <w:t>n Siami-Namini y Siami Namin</w:t>
      </w:r>
      <w:r w:rsidR="00833ED8">
        <w:rPr>
          <w:rFonts w:ascii="Arial" w:hAnsi="Arial" w:cs="Arial"/>
        </w:rPr>
        <w:t xml:space="preserve"> (2018), </w:t>
      </w:r>
      <w:r w:rsidR="00833ED8" w:rsidRPr="00833ED8">
        <w:rPr>
          <w:rFonts w:ascii="Arial" w:hAnsi="Arial" w:cs="Arial"/>
        </w:rPr>
        <w:t>los algoritmos de aprendizaje profundo</w:t>
      </w:r>
      <w:r w:rsidR="00833ED8">
        <w:rPr>
          <w:rFonts w:ascii="Arial" w:hAnsi="Arial" w:cs="Arial"/>
        </w:rPr>
        <w:t xml:space="preserve">, es decir, modelos </w:t>
      </w:r>
      <w:r w:rsidR="00345226">
        <w:rPr>
          <w:rFonts w:ascii="Arial" w:hAnsi="Arial" w:cs="Arial"/>
        </w:rPr>
        <w:t>de aprendizaje automático,</w:t>
      </w:r>
      <w:r w:rsidR="00833ED8" w:rsidRPr="00833ED8">
        <w:rPr>
          <w:rFonts w:ascii="Arial" w:hAnsi="Arial" w:cs="Arial"/>
        </w:rPr>
        <w:t xml:space="preserve"> han introducido nuevos enfoques para los problemas de predicción, donde las relaciones entre variables se modelan en una jerarquía profunda y estratificada</w:t>
      </w:r>
      <w:r w:rsidR="0095015B">
        <w:rPr>
          <w:rFonts w:ascii="Arial" w:hAnsi="Arial" w:cs="Arial"/>
        </w:rPr>
        <w:t xml:space="preserve">, ya que la </w:t>
      </w:r>
      <w:r w:rsidR="0095015B" w:rsidRPr="0095015B">
        <w:rPr>
          <w:rFonts w:ascii="Arial" w:hAnsi="Arial" w:cs="Arial"/>
        </w:rPr>
        <w:t>predicción de datos de series temporales económicas y financieras es una tarea compleja, principalmente debido a los cambios sin precedentes en las tendencias y condiciones económicas, por un lado, y a la información incompleta, por otro.</w:t>
      </w:r>
    </w:p>
    <w:p w14:paraId="52BBF9FD" w14:textId="5A974821" w:rsidR="002C6758" w:rsidRDefault="00ED4C4C" w:rsidP="00133247">
      <w:pPr>
        <w:spacing w:line="360" w:lineRule="auto"/>
        <w:ind w:firstLine="720"/>
        <w:jc w:val="both"/>
        <w:rPr>
          <w:rFonts w:ascii="Arial" w:hAnsi="Arial" w:cs="Arial"/>
        </w:rPr>
      </w:pPr>
      <w:r>
        <w:rPr>
          <w:rFonts w:ascii="Arial" w:hAnsi="Arial" w:cs="Arial"/>
        </w:rPr>
        <w:t xml:space="preserve">A la hora de comparar </w:t>
      </w:r>
      <w:r w:rsidR="009A412D">
        <w:rPr>
          <w:rFonts w:ascii="Arial" w:hAnsi="Arial" w:cs="Arial"/>
        </w:rPr>
        <w:t xml:space="preserve">ambos enfoques, </w:t>
      </w:r>
      <w:r w:rsidR="00032129">
        <w:rPr>
          <w:rFonts w:ascii="Arial" w:hAnsi="Arial" w:cs="Arial"/>
        </w:rPr>
        <w:t xml:space="preserve">y de acuerdo con lo expresado en Kakkos et al (2023), los modelos de </w:t>
      </w:r>
      <w:r w:rsidR="00032129">
        <w:rPr>
          <w:rFonts w:ascii="Arial" w:hAnsi="Arial" w:cs="Arial"/>
          <w:i/>
          <w:iCs/>
        </w:rPr>
        <w:t>machine learning</w:t>
      </w:r>
      <w:r w:rsidR="004443DE">
        <w:rPr>
          <w:rFonts w:ascii="Arial" w:hAnsi="Arial" w:cs="Arial"/>
        </w:rPr>
        <w:t xml:space="preserve"> </w:t>
      </w:r>
      <w:r w:rsidR="00D605B0" w:rsidRPr="00D605B0">
        <w:rPr>
          <w:rFonts w:ascii="Arial" w:hAnsi="Arial" w:cs="Arial"/>
        </w:rPr>
        <w:t>muestran un rendimiento de predicción superior en la mayoría de las aplicaciones</w:t>
      </w:r>
      <w:r w:rsidR="00D605B0">
        <w:rPr>
          <w:rFonts w:ascii="Arial" w:hAnsi="Arial" w:cs="Arial"/>
        </w:rPr>
        <w:t xml:space="preserve"> allí investigadas.</w:t>
      </w:r>
      <w:r w:rsidR="00105830">
        <w:rPr>
          <w:rFonts w:ascii="Arial" w:hAnsi="Arial" w:cs="Arial"/>
        </w:rPr>
        <w:t xml:space="preserve"> Sin embargo, también </w:t>
      </w:r>
      <w:r w:rsidR="0072246B">
        <w:rPr>
          <w:rFonts w:ascii="Arial" w:hAnsi="Arial" w:cs="Arial"/>
        </w:rPr>
        <w:t xml:space="preserve">determinan que </w:t>
      </w:r>
      <w:r w:rsidR="0072246B" w:rsidRPr="0072246B">
        <w:rPr>
          <w:rFonts w:ascii="Arial" w:hAnsi="Arial" w:cs="Arial"/>
        </w:rPr>
        <w:t>ARIMA tiende a ser más robusto y eficiente cuando los datos son predominantemente lineales</w:t>
      </w:r>
      <w:r w:rsidR="0072246B">
        <w:rPr>
          <w:rFonts w:ascii="Arial" w:hAnsi="Arial" w:cs="Arial"/>
        </w:rPr>
        <w:t xml:space="preserve">, y </w:t>
      </w:r>
      <w:r w:rsidR="00D61640" w:rsidRPr="00D61640">
        <w:rPr>
          <w:rFonts w:ascii="Arial" w:hAnsi="Arial" w:cs="Arial"/>
        </w:rPr>
        <w:t xml:space="preserve">puede tener ventaja en el pronóstico a corto plazo o con conjuntos de datos pequeños, ya que los modelos de </w:t>
      </w:r>
      <w:r w:rsidR="00D61640">
        <w:rPr>
          <w:rFonts w:ascii="Arial" w:hAnsi="Arial" w:cs="Arial"/>
        </w:rPr>
        <w:t>aprendizaje automático</w:t>
      </w:r>
      <w:r w:rsidR="00D61640" w:rsidRPr="00D61640">
        <w:rPr>
          <w:rFonts w:ascii="Arial" w:hAnsi="Arial" w:cs="Arial"/>
        </w:rPr>
        <w:t>, y especialmente los de aprendizaje profundo, requieren una gran cantidad de datos para entrenarse eficazmente</w:t>
      </w:r>
      <w:r w:rsidR="00CA48E2">
        <w:rPr>
          <w:rFonts w:ascii="Arial" w:hAnsi="Arial" w:cs="Arial"/>
        </w:rPr>
        <w:t xml:space="preserve">. </w:t>
      </w:r>
      <w:r w:rsidR="00A55AC0">
        <w:rPr>
          <w:rFonts w:ascii="Arial" w:hAnsi="Arial" w:cs="Arial"/>
        </w:rPr>
        <w:t xml:space="preserve">Por su parte, </w:t>
      </w:r>
      <w:r w:rsidR="00C36B11">
        <w:rPr>
          <w:rFonts w:ascii="Arial" w:hAnsi="Arial" w:cs="Arial"/>
        </w:rPr>
        <w:t xml:space="preserve">Lolea, Petrariu y Giurgiu (2021) encontraron que, para </w:t>
      </w:r>
      <w:r w:rsidR="006C5DD9">
        <w:rPr>
          <w:rFonts w:ascii="Arial" w:hAnsi="Arial" w:cs="Arial"/>
        </w:rPr>
        <w:t>experimentos empíricos sobre pronósticos de precios de acciones del mercado financiero, modelos de redes neuronales resultaron superiores a modelos ARIMA, aunque es</w:t>
      </w:r>
      <w:r w:rsidR="000C6726">
        <w:rPr>
          <w:rFonts w:ascii="Arial" w:hAnsi="Arial" w:cs="Arial"/>
        </w:rPr>
        <w:t xml:space="preserve">tos se ubicaron en segunda posición, superando a modelos de vecinos más cercanos y </w:t>
      </w:r>
      <w:r w:rsidR="000C6726">
        <w:rPr>
          <w:rFonts w:ascii="Arial" w:hAnsi="Arial" w:cs="Arial"/>
          <w:i/>
          <w:iCs/>
        </w:rPr>
        <w:t>Prophet</w:t>
      </w:r>
      <w:r w:rsidR="000C6726">
        <w:rPr>
          <w:rFonts w:ascii="Arial" w:hAnsi="Arial" w:cs="Arial"/>
        </w:rPr>
        <w:t xml:space="preserve">, desarrollado por </w:t>
      </w:r>
      <w:r w:rsidR="000C6726">
        <w:rPr>
          <w:rFonts w:ascii="Arial" w:hAnsi="Arial" w:cs="Arial"/>
          <w:i/>
          <w:iCs/>
        </w:rPr>
        <w:t>Facebook</w:t>
      </w:r>
      <w:r w:rsidR="000C6726">
        <w:rPr>
          <w:rFonts w:ascii="Arial" w:hAnsi="Arial" w:cs="Arial"/>
        </w:rPr>
        <w:t xml:space="preserve">. </w:t>
      </w:r>
      <w:r w:rsidR="00CA0C36">
        <w:rPr>
          <w:rFonts w:ascii="Arial" w:hAnsi="Arial" w:cs="Arial"/>
        </w:rPr>
        <w:t xml:space="preserve">En igual sentido, Siami-Namini y Siami Namin (2018) en sus pronósticos para series económicas y financieras, demostraron </w:t>
      </w:r>
      <w:r w:rsidR="00BD7A3A">
        <w:rPr>
          <w:rFonts w:ascii="Arial" w:hAnsi="Arial" w:cs="Arial"/>
        </w:rPr>
        <w:t xml:space="preserve">que los modelos de redes </w:t>
      </w:r>
      <w:r w:rsidR="00B30CC3">
        <w:rPr>
          <w:rFonts w:ascii="Arial" w:hAnsi="Arial" w:cs="Arial"/>
        </w:rPr>
        <w:t xml:space="preserve">neuronales recurrentes de memoria a corto y largo plazo (LSTM por sus siglas en inglés) </w:t>
      </w:r>
      <w:r w:rsidR="00FC7C07">
        <w:rPr>
          <w:rFonts w:ascii="Arial" w:hAnsi="Arial" w:cs="Arial"/>
        </w:rPr>
        <w:t xml:space="preserve">han tenido un promedio de reducción de las tasas de error de entre 84% y 87% </w:t>
      </w:r>
      <w:r w:rsidR="00DA3B40">
        <w:rPr>
          <w:rFonts w:ascii="Arial" w:hAnsi="Arial" w:cs="Arial"/>
        </w:rPr>
        <w:t xml:space="preserve">por sobre los ARIMA tradicionales. </w:t>
      </w:r>
    </w:p>
    <w:p w14:paraId="05F24899" w14:textId="01D31A1B" w:rsidR="0078792A" w:rsidRDefault="0012528F" w:rsidP="00133247">
      <w:pPr>
        <w:spacing w:line="360" w:lineRule="auto"/>
        <w:ind w:firstLine="720"/>
        <w:jc w:val="both"/>
        <w:rPr>
          <w:rFonts w:ascii="Arial" w:hAnsi="Arial" w:cs="Arial"/>
        </w:rPr>
      </w:pPr>
      <w:r w:rsidRPr="0012528F">
        <w:rPr>
          <w:rFonts w:ascii="Arial" w:hAnsi="Arial" w:cs="Arial"/>
        </w:rPr>
        <w:t xml:space="preserve">ARIMA se enfoca principalmente en series univariadas, mientras que los modelos de </w:t>
      </w:r>
      <w:r>
        <w:rPr>
          <w:rFonts w:ascii="Arial" w:hAnsi="Arial" w:cs="Arial"/>
          <w:i/>
          <w:iCs/>
        </w:rPr>
        <w:t>machine learning</w:t>
      </w:r>
      <w:r w:rsidRPr="0012528F">
        <w:rPr>
          <w:rFonts w:ascii="Arial" w:hAnsi="Arial" w:cs="Arial"/>
        </w:rPr>
        <w:t xml:space="preserve"> pueden manejar conjuntos de datos multivariados</w:t>
      </w:r>
      <w:r>
        <w:rPr>
          <w:rFonts w:ascii="Arial" w:hAnsi="Arial" w:cs="Arial"/>
        </w:rPr>
        <w:t xml:space="preserve">. </w:t>
      </w:r>
      <w:r w:rsidR="00C37B59">
        <w:rPr>
          <w:rFonts w:ascii="Arial" w:hAnsi="Arial" w:cs="Arial"/>
        </w:rPr>
        <w:t>Asimismo, la estacionariedad considerada por los modelos tradicionales, donde se asumen media y varianza constante, entre otros, no siempre se cumple en la práctica.</w:t>
      </w:r>
      <w:r w:rsidR="001807F0">
        <w:rPr>
          <w:rFonts w:ascii="Arial" w:hAnsi="Arial" w:cs="Arial"/>
        </w:rPr>
        <w:t xml:space="preserve"> Asimismo, </w:t>
      </w:r>
      <w:r w:rsidR="003E42A9">
        <w:rPr>
          <w:rFonts w:ascii="Arial" w:hAnsi="Arial" w:cs="Arial"/>
        </w:rPr>
        <w:t xml:space="preserve">Kakkos et al (2023) destacan que los modelos ARIMA </w:t>
      </w:r>
      <w:r w:rsidR="009A064F">
        <w:rPr>
          <w:rFonts w:ascii="Arial" w:hAnsi="Arial" w:cs="Arial"/>
        </w:rPr>
        <w:t xml:space="preserve">se caracterizan por </w:t>
      </w:r>
      <w:r w:rsidR="009A064F" w:rsidRPr="009A064F">
        <w:rPr>
          <w:rFonts w:ascii="Arial" w:hAnsi="Arial" w:cs="Arial"/>
        </w:rPr>
        <w:t>su baja complejidad temporal y menores requisitos computacionales</w:t>
      </w:r>
      <w:r w:rsidR="009A064F">
        <w:rPr>
          <w:rFonts w:ascii="Arial" w:hAnsi="Arial" w:cs="Arial"/>
        </w:rPr>
        <w:t xml:space="preserve">, y que </w:t>
      </w:r>
      <w:r w:rsidR="00520642">
        <w:rPr>
          <w:rFonts w:ascii="Arial" w:hAnsi="Arial" w:cs="Arial"/>
        </w:rPr>
        <w:t xml:space="preserve">el </w:t>
      </w:r>
      <w:r w:rsidR="00520642" w:rsidRPr="00520642">
        <w:rPr>
          <w:rFonts w:ascii="Arial" w:hAnsi="Arial" w:cs="Arial"/>
        </w:rPr>
        <w:t>entrenamiento de redes neuronales y algoritmos de aprendizaje profundo puede ser muy complejo y exige mayores demandas de hardware y computacionales</w:t>
      </w:r>
      <w:r w:rsidR="00520642">
        <w:rPr>
          <w:rFonts w:ascii="Arial" w:hAnsi="Arial" w:cs="Arial"/>
        </w:rPr>
        <w:t xml:space="preserve">. </w:t>
      </w:r>
      <w:r w:rsidR="0046112A">
        <w:rPr>
          <w:rFonts w:ascii="Arial" w:hAnsi="Arial" w:cs="Arial"/>
        </w:rPr>
        <w:t xml:space="preserve">Además, los mismos autores mencionan que, en </w:t>
      </w:r>
      <w:r w:rsidR="0046112A" w:rsidRPr="0046112A">
        <w:rPr>
          <w:rFonts w:ascii="Arial" w:hAnsi="Arial" w:cs="Arial"/>
        </w:rPr>
        <w:t xml:space="preserve">comparación con los modelos complejos de aprendizaje automático, ARIMA es un enfoque relativamente explicable e intuitivo, ampliamente utilizado debido a su flexibilidad y </w:t>
      </w:r>
      <w:r w:rsidR="0046112A" w:rsidRPr="0046112A">
        <w:rPr>
          <w:rFonts w:ascii="Arial" w:hAnsi="Arial" w:cs="Arial"/>
        </w:rPr>
        <w:lastRenderedPageBreak/>
        <w:t>fiabilidad</w:t>
      </w:r>
      <w:r w:rsidR="002861AE">
        <w:rPr>
          <w:rFonts w:ascii="Arial" w:hAnsi="Arial" w:cs="Arial"/>
        </w:rPr>
        <w:t xml:space="preserve">, y que, los segundos, </w:t>
      </w:r>
      <w:r w:rsidR="00642468">
        <w:rPr>
          <w:rFonts w:ascii="Arial" w:hAnsi="Arial" w:cs="Arial"/>
        </w:rPr>
        <w:t>suelen ser considerados ‘cajas negras’ y pueden ser menos interpretables.</w:t>
      </w:r>
    </w:p>
    <w:p w14:paraId="6B036BF6" w14:textId="5E270C12" w:rsidR="009A412D" w:rsidRDefault="009A412D" w:rsidP="00133247">
      <w:pPr>
        <w:spacing w:line="360" w:lineRule="auto"/>
        <w:ind w:firstLine="720"/>
        <w:jc w:val="both"/>
        <w:rPr>
          <w:rFonts w:ascii="Arial" w:hAnsi="Arial" w:cs="Arial"/>
        </w:rPr>
      </w:pPr>
      <w:r>
        <w:rPr>
          <w:rFonts w:ascii="Arial" w:hAnsi="Arial" w:cs="Arial"/>
        </w:rPr>
        <w:t xml:space="preserve">A pesar de lo expuesto precedentemente, </w:t>
      </w:r>
      <w:r w:rsidR="00B77650">
        <w:rPr>
          <w:rFonts w:ascii="Arial" w:hAnsi="Arial" w:cs="Arial"/>
        </w:rPr>
        <w:t xml:space="preserve">los </w:t>
      </w:r>
      <w:r w:rsidR="00642468">
        <w:rPr>
          <w:rFonts w:ascii="Arial" w:hAnsi="Arial" w:cs="Arial"/>
        </w:rPr>
        <w:t xml:space="preserve">últimos </w:t>
      </w:r>
      <w:r w:rsidR="00B77650">
        <w:rPr>
          <w:rFonts w:ascii="Arial" w:hAnsi="Arial" w:cs="Arial"/>
        </w:rPr>
        <w:t>autores</w:t>
      </w:r>
      <w:r w:rsidR="00642468">
        <w:rPr>
          <w:rFonts w:ascii="Arial" w:hAnsi="Arial" w:cs="Arial"/>
        </w:rPr>
        <w:t xml:space="preserve"> mencionados</w:t>
      </w:r>
      <w:r w:rsidR="00B77650">
        <w:rPr>
          <w:rFonts w:ascii="Arial" w:hAnsi="Arial" w:cs="Arial"/>
        </w:rPr>
        <w:t xml:space="preserve"> concluyen que, si bien como fuera desarrollado, los modelos de aprendizaje automático </w:t>
      </w:r>
      <w:r w:rsidR="00AB330A">
        <w:rPr>
          <w:rFonts w:ascii="Arial" w:hAnsi="Arial" w:cs="Arial"/>
        </w:rPr>
        <w:t>son superiores a los estadísticos en la mayoría de los casos, ambos casos son superados por la utilización de modelos híbridos, es decir, aquellos que combinan modelos tradicionales y de inteligencia artificial</w:t>
      </w:r>
      <w:r w:rsidR="0078792A">
        <w:rPr>
          <w:rFonts w:ascii="Arial" w:hAnsi="Arial" w:cs="Arial"/>
        </w:rPr>
        <w:t xml:space="preserve">, ya que se aprovechan </w:t>
      </w:r>
      <w:r w:rsidR="0078792A" w:rsidRPr="0078792A">
        <w:rPr>
          <w:rFonts w:ascii="Arial" w:hAnsi="Arial" w:cs="Arial"/>
        </w:rPr>
        <w:t>las mejores características algorítmicas de ambos mundos.</w:t>
      </w:r>
    </w:p>
    <w:p w14:paraId="434633E9" w14:textId="7E9873B0" w:rsidR="00335F8E" w:rsidRDefault="00335F8E" w:rsidP="00133247">
      <w:pPr>
        <w:spacing w:line="360" w:lineRule="auto"/>
        <w:ind w:firstLine="720"/>
        <w:jc w:val="both"/>
        <w:rPr>
          <w:rFonts w:ascii="Arial" w:hAnsi="Arial" w:cs="Arial"/>
        </w:rPr>
      </w:pPr>
      <w:r>
        <w:rPr>
          <w:rFonts w:ascii="Arial" w:hAnsi="Arial" w:cs="Arial"/>
        </w:rPr>
        <w:t xml:space="preserve">Por último, es importante mencionar que, para la </w:t>
      </w:r>
      <w:r w:rsidR="005320FE">
        <w:rPr>
          <w:rFonts w:ascii="Arial" w:hAnsi="Arial" w:cs="Arial"/>
        </w:rPr>
        <w:t>utilización de los modelos de aprendizaje automático, se</w:t>
      </w:r>
      <w:r w:rsidR="006A01A0">
        <w:rPr>
          <w:rFonts w:ascii="Arial" w:hAnsi="Arial" w:cs="Arial"/>
        </w:rPr>
        <w:t xml:space="preserve"> optimizó el conjunto de datos</w:t>
      </w:r>
      <w:r w:rsidR="005320FE">
        <w:rPr>
          <w:rFonts w:ascii="Arial" w:hAnsi="Arial" w:cs="Arial"/>
        </w:rPr>
        <w:t xml:space="preserve"> elimin</w:t>
      </w:r>
      <w:r w:rsidR="007B4077">
        <w:rPr>
          <w:rFonts w:ascii="Arial" w:hAnsi="Arial" w:cs="Arial"/>
        </w:rPr>
        <w:t>ando</w:t>
      </w:r>
      <w:r w:rsidR="005320FE">
        <w:rPr>
          <w:rFonts w:ascii="Arial" w:hAnsi="Arial" w:cs="Arial"/>
        </w:rPr>
        <w:t xml:space="preserve"> registros con más del 80% de valores nulos</w:t>
      </w:r>
      <w:r w:rsidR="0088713E">
        <w:rPr>
          <w:rFonts w:ascii="Arial" w:hAnsi="Arial" w:cs="Arial"/>
        </w:rPr>
        <w:t>, con el objetivo de reducir los días no laborables, debido a que, la variable objetivo</w:t>
      </w:r>
      <w:r w:rsidR="006A01A0">
        <w:rPr>
          <w:rFonts w:ascii="Arial" w:hAnsi="Arial" w:cs="Arial"/>
        </w:rPr>
        <w:t>, solo tiene movimientos los días hábiles.</w:t>
      </w:r>
    </w:p>
    <w:p w14:paraId="37C2FF7A" w14:textId="77777777" w:rsidR="00133247" w:rsidRDefault="00133247" w:rsidP="00133247">
      <w:pPr>
        <w:spacing w:line="360" w:lineRule="auto"/>
        <w:jc w:val="both"/>
        <w:rPr>
          <w:rFonts w:ascii="Arial" w:hAnsi="Arial" w:cs="Arial"/>
        </w:rPr>
      </w:pPr>
    </w:p>
    <w:p w14:paraId="4E082751" w14:textId="03E72925" w:rsidR="003359F0" w:rsidRPr="00E04678" w:rsidRDefault="003359F0" w:rsidP="6E7BA5FB">
      <w:pPr>
        <w:pStyle w:val="Ttulo2"/>
      </w:pPr>
      <w:bookmarkStart w:id="6" w:name="_Toc205652115"/>
      <w:r>
        <w:t xml:space="preserve">Modelo 1 – </w:t>
      </w:r>
      <w:r w:rsidR="00E04678" w:rsidRPr="6E7BA5FB">
        <w:rPr>
          <w:i/>
          <w:iCs/>
        </w:rPr>
        <w:t>Long Short-Term Memory</w:t>
      </w:r>
      <w:r w:rsidR="00E04678">
        <w:t xml:space="preserve"> (LSTM)</w:t>
      </w:r>
      <w:bookmarkEnd w:id="6"/>
    </w:p>
    <w:p w14:paraId="29D92891" w14:textId="69C426AF" w:rsidR="003359F0" w:rsidRDefault="003359F0" w:rsidP="003359F0">
      <w:pPr>
        <w:spacing w:line="360" w:lineRule="auto"/>
        <w:ind w:firstLine="720"/>
        <w:jc w:val="both"/>
        <w:rPr>
          <w:rFonts w:ascii="Arial" w:hAnsi="Arial" w:cs="Arial"/>
        </w:rPr>
      </w:pPr>
      <w:r w:rsidRPr="6E7BA5FB">
        <w:rPr>
          <w:rFonts w:ascii="Arial" w:hAnsi="Arial" w:cs="Arial"/>
        </w:rPr>
        <w:t xml:space="preserve">Introducidas por Hochreiter y Schmidhuber en 1997, las </w:t>
      </w:r>
      <w:r w:rsidR="4338AD02" w:rsidRPr="6E7BA5FB">
        <w:rPr>
          <w:rFonts w:ascii="Arial" w:hAnsi="Arial" w:cs="Arial"/>
        </w:rPr>
        <w:t>Long Short-Term Memory networks (</w:t>
      </w:r>
      <w:r w:rsidRPr="6E7BA5FB">
        <w:rPr>
          <w:rFonts w:ascii="Arial" w:hAnsi="Arial" w:cs="Arial"/>
        </w:rPr>
        <w:t>LSTM</w:t>
      </w:r>
      <w:r w:rsidR="1533B8DF" w:rsidRPr="6E7BA5FB">
        <w:rPr>
          <w:rFonts w:ascii="Arial" w:hAnsi="Arial" w:cs="Arial"/>
        </w:rPr>
        <w:t>)</w:t>
      </w:r>
      <w:r w:rsidRPr="6E7BA5FB">
        <w:rPr>
          <w:rFonts w:ascii="Arial" w:hAnsi="Arial" w:cs="Arial"/>
        </w:rPr>
        <w:t xml:space="preserve"> fueron diseñadas para superar los problemas de desvanecimiento y explosión del gradiente que afectaban a las RNN tradicionales, lo que limitaba su capacidad para capturar relaciones temporales extensas. A través de una arquitectura especializada que incluye compuertas de entrada, olvido y salida, las LSTM pueden conservar información relevante a lo largo de muchas etapas temporales, </w:t>
      </w:r>
      <w:bookmarkStart w:id="7" w:name="_Int_ZQN0G67y"/>
      <w:r w:rsidRPr="6E7BA5FB">
        <w:rPr>
          <w:rFonts w:ascii="Arial" w:hAnsi="Arial" w:cs="Arial"/>
        </w:rPr>
        <w:t>resultando útiles</w:t>
      </w:r>
      <w:bookmarkEnd w:id="7"/>
      <w:r w:rsidRPr="6E7BA5FB">
        <w:rPr>
          <w:rFonts w:ascii="Arial" w:hAnsi="Arial" w:cs="Arial"/>
        </w:rPr>
        <w:t xml:space="preserve"> para tareas de predicción, clasificación y generación de secuencias en dominios tan diversos como el procesamiento del lenguaje natural, la robótica y la economía.</w:t>
      </w:r>
    </w:p>
    <w:p w14:paraId="0AF609DC" w14:textId="77777777" w:rsidR="003359F0" w:rsidRDefault="003359F0" w:rsidP="003359F0">
      <w:pPr>
        <w:spacing w:line="360" w:lineRule="auto"/>
        <w:ind w:firstLine="720"/>
        <w:jc w:val="both"/>
      </w:pPr>
      <w:r w:rsidRPr="61FA198A">
        <w:rPr>
          <w:rFonts w:ascii="Arial" w:hAnsi="Arial" w:cs="Arial"/>
        </w:rPr>
        <w:t>En el contexto de series temporales económicas como la circulación monetaria en Argentina, donde existen fuertes dependencias secuenciales, estacionalidades y posibles shocks, las LSTM ofrecen una alternativa potente a los modelos estadísticos clásicos. A diferencia de modelos lineales como ARIMA, las LSTM no requieren supuestos de estacionariedad y pueden capturar relaciones no lineales complejas entre observaciones pasadas y futuras.</w:t>
      </w:r>
    </w:p>
    <w:p w14:paraId="1BE505D4" w14:textId="77777777" w:rsidR="003359F0" w:rsidRDefault="003359F0" w:rsidP="003359F0">
      <w:pPr>
        <w:spacing w:line="360" w:lineRule="auto"/>
        <w:ind w:firstLine="720"/>
        <w:jc w:val="both"/>
      </w:pPr>
      <w:r w:rsidRPr="61FA198A">
        <w:rPr>
          <w:rFonts w:ascii="Arial" w:hAnsi="Arial" w:cs="Arial"/>
        </w:rPr>
        <w:t>Sin embargo, las LSTM también presentan desafíos. Requieren grandes volúmenes de datos para entrenar correctamente, son sensibles a la elección de hiperparámetros, y su interpretación resulta más opaca en comparación con modelos estadísticos. Además, su entrenamiento puede ser computacionalmente costoso y propenso al sobreajuste, especialmente en contextos con alta autocorrelación o con estructuras de datos mal definidas.</w:t>
      </w:r>
    </w:p>
    <w:p w14:paraId="3C1D65BD" w14:textId="77777777" w:rsidR="003359F0" w:rsidRDefault="003359F0" w:rsidP="003359F0">
      <w:pPr>
        <w:spacing w:line="360" w:lineRule="auto"/>
        <w:ind w:firstLine="720"/>
        <w:jc w:val="both"/>
        <w:rPr>
          <w:rFonts w:ascii="Arial" w:hAnsi="Arial" w:cs="Arial"/>
        </w:rPr>
      </w:pPr>
      <w:r w:rsidRPr="61FA198A">
        <w:rPr>
          <w:rFonts w:ascii="Arial" w:hAnsi="Arial" w:cs="Arial"/>
        </w:rPr>
        <w:t xml:space="preserve">Para la creación de este algoritmo se implementó un modelo secuencial simple utilizando Keras con una capa LSTM de 50 unidades y una capa de salida densa de una sola neurona, que produce la predicción puntual. Se utilizó la función de activación tanh, comúnmente recomendada para las unidades LSTM, y se definió una forma de entrada de (n_lags, 1), lo que indica que el modelo </w:t>
      </w:r>
      <w:r w:rsidRPr="61FA198A">
        <w:rPr>
          <w:rFonts w:ascii="Arial" w:hAnsi="Arial" w:cs="Arial"/>
        </w:rPr>
        <w:lastRenderedPageBreak/>
        <w:t>recibe n_lags observaciones pasadas de la serie como secuencia univariada. El optimizador seleccionado fue Adam, ampliamente utilizado por su eficiencia y adaptabilidad, y se minimizó la pérdida de error cuadrático medio. El entrenamiento se llevó a cabo durante 50 épocas con un tamaño de batch de 16 muestras. Los resultados métricos reportados fueron notablemente bajos: RMSE: 120.299, MAE: 93.223, MAPE: 0,51 %.</w:t>
      </w:r>
    </w:p>
    <w:p w14:paraId="4ED4E7B0" w14:textId="77777777" w:rsidR="003359F0" w:rsidRDefault="003359F0" w:rsidP="003359F0">
      <w:pPr>
        <w:spacing w:line="360" w:lineRule="auto"/>
        <w:jc w:val="both"/>
      </w:pPr>
      <w:r>
        <w:rPr>
          <w:noProof/>
        </w:rPr>
        <w:drawing>
          <wp:inline distT="0" distB="0" distL="0" distR="0" wp14:anchorId="36A14A28" wp14:editId="634E1FB0">
            <wp:extent cx="6181725" cy="3057525"/>
            <wp:effectExtent l="0" t="0" r="0" b="0"/>
            <wp:docPr id="1170908877" name="drawing"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08877" name="drawing" descr="Gráfico, Gráfico de líneas&#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1725" cy="3057525"/>
                    </a:xfrm>
                    <a:prstGeom prst="rect">
                      <a:avLst/>
                    </a:prstGeom>
                  </pic:spPr>
                </pic:pic>
              </a:graphicData>
            </a:graphic>
          </wp:inline>
        </w:drawing>
      </w:r>
    </w:p>
    <w:p w14:paraId="58C93795" w14:textId="1B21C0E5" w:rsidR="003359F0" w:rsidRDefault="003359F0" w:rsidP="6E7BA5FB">
      <w:pPr>
        <w:spacing w:line="360" w:lineRule="auto"/>
        <w:ind w:firstLine="720"/>
        <w:jc w:val="both"/>
        <w:rPr>
          <w:rFonts w:ascii="Arial" w:hAnsi="Arial" w:cs="Arial"/>
        </w:rPr>
      </w:pPr>
      <w:r w:rsidRPr="6E7BA5FB">
        <w:rPr>
          <w:rFonts w:ascii="Arial" w:hAnsi="Arial" w:cs="Arial"/>
        </w:rPr>
        <w:t>Estos valores sugieren una predicción extremadamente precisa sobre los datos de test. Sin embargo, esta aparente exactitud es engañosa. El motivo de esta concordancia casi perfecta entre predicción y valor real se debe a un error metodológico común en modelos de series temporales: durante la creación de las secuencias de entrada</w:t>
      </w:r>
      <w:r w:rsidR="613F29B4" w:rsidRPr="6E7BA5FB">
        <w:rPr>
          <w:rFonts w:ascii="Arial" w:hAnsi="Arial" w:cs="Arial"/>
        </w:rPr>
        <w:t xml:space="preserve"> para la predicción</w:t>
      </w:r>
      <w:r w:rsidRPr="6E7BA5FB">
        <w:rPr>
          <w:rFonts w:ascii="Arial" w:hAnsi="Arial" w:cs="Arial"/>
        </w:rPr>
        <w:t>, se incluyeron ventanas de datos que abarcaban el período de test completo. Como resultado, el modelo no está realmente prediciendo a futuro, sino que está usando datos posteriores o simultáneos a la fecha de predicción, invalidando su uso como herramienta de forecasting.</w:t>
      </w:r>
    </w:p>
    <w:p w14:paraId="7E6C2AAC" w14:textId="77777777" w:rsidR="003359F0" w:rsidRDefault="003359F0" w:rsidP="003359F0">
      <w:pPr>
        <w:spacing w:line="360" w:lineRule="auto"/>
        <w:ind w:firstLine="720"/>
        <w:jc w:val="both"/>
      </w:pPr>
      <w:r w:rsidRPr="6E7BA5FB">
        <w:rPr>
          <w:rFonts w:ascii="Arial" w:hAnsi="Arial" w:cs="Arial"/>
        </w:rPr>
        <w:t xml:space="preserve">Para resolver este problema y evaluar verdaderamente la capacidad del modelo de predecir hacia adelante, se propuso una segunda versión basada en un enfoque autorregresivo puro. En este nuevo enfoque, la predicción para el día t+1 se genera exclusivamente con datos previos al tiempo t. Luego, esa predicción se utiliza como entrada para estimar el valor en t+2, y así sucesivamente, repitiendo el ciclo hasta completar el horizonte deseado (en este caso, 365 días). Este tipo de estrategia es conceptualmente análoga a los modelos ARIMA de tipo “recursivo”, y permite evaluar si el modelo es capaz de sostener una trayectoria de predicción coherente sin acceso a los valores reales futuros. El objetivo fue construir una predicción real a un año vista, empleando un enfoque autorregresivo, en el cual cada predicción generada por el modelo se utiliza como insumo para </w:t>
      </w:r>
      <w:r w:rsidRPr="6E7BA5FB">
        <w:rPr>
          <w:rFonts w:ascii="Arial" w:hAnsi="Arial" w:cs="Arial"/>
        </w:rPr>
        <w:lastRenderedPageBreak/>
        <w:t>calcular la siguiente, sin acceder a los valores reales posteriores. Este enfoque permite evaluar la verdadera capacidad del modelo para proyectar tendencias en el largo plazo.</w:t>
      </w:r>
    </w:p>
    <w:p w14:paraId="2E6A8FDB" w14:textId="77777777" w:rsidR="003359F0" w:rsidRDefault="003359F0" w:rsidP="003359F0">
      <w:pPr>
        <w:spacing w:line="360" w:lineRule="auto"/>
        <w:ind w:firstLine="720"/>
        <w:jc w:val="both"/>
        <w:rPr>
          <w:rFonts w:ascii="Arial" w:hAnsi="Arial" w:cs="Arial"/>
        </w:rPr>
      </w:pPr>
      <w:r w:rsidRPr="61FA198A">
        <w:rPr>
          <w:rFonts w:ascii="Arial" w:hAnsi="Arial" w:cs="Arial"/>
        </w:rPr>
        <w:t>Una vez entrenado, el modelo se utilizó en modo autorregresivo para generar las predicciones a futuro. Para ello, se tomó la última secuencia conocida del conjunto de entrenamiento y, en cada paso, se generó una predicción para el día siguiente, que luego se incorporó al final de la secuencia para predecir el día subsiguiente, y así sucesivamente durante 365 días.</w:t>
      </w:r>
    </w:p>
    <w:p w14:paraId="491D9E9F" w14:textId="77777777" w:rsidR="003359F0" w:rsidRDefault="003359F0" w:rsidP="003359F0">
      <w:pPr>
        <w:spacing w:line="360" w:lineRule="auto"/>
        <w:ind w:firstLine="720"/>
        <w:jc w:val="both"/>
        <w:rPr>
          <w:rFonts w:ascii="Arial" w:hAnsi="Arial" w:cs="Arial"/>
        </w:rPr>
      </w:pPr>
      <w:r w:rsidRPr="61FA198A">
        <w:rPr>
          <w:rFonts w:ascii="Arial" w:hAnsi="Arial" w:cs="Arial"/>
        </w:rPr>
        <w:t>El resultado se muestra en el gráfico generado. Se observa que la predicción inicialmente sigue la tendencia creciente de la serie real, pero rápidamente sobreestima el crecimiento, estabilizándose en un valor elevado que no refleja las fluctuaciones reales del período. Esta conducta es típica de modelos LSTM cuando operan en modo recursivo, ya que los errores se van acumulando progresivamente en el tiempo y no se corrigen, debido a la ausencia de retroalimentación con datos reales.</w:t>
      </w:r>
    </w:p>
    <w:p w14:paraId="105B2057" w14:textId="77777777" w:rsidR="003359F0" w:rsidRDefault="003359F0" w:rsidP="003359F0">
      <w:pPr>
        <w:spacing w:line="360" w:lineRule="auto"/>
        <w:jc w:val="both"/>
      </w:pPr>
      <w:r>
        <w:rPr>
          <w:noProof/>
        </w:rPr>
        <w:drawing>
          <wp:inline distT="0" distB="0" distL="0" distR="0" wp14:anchorId="676EAC8A" wp14:editId="3416A1E8">
            <wp:extent cx="6181725" cy="3048000"/>
            <wp:effectExtent l="0" t="0" r="0" b="0"/>
            <wp:docPr id="276555387" name="drawing"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5387" name="drawing" descr="Gráfico, Gráfico de líneas&#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1725" cy="3048000"/>
                    </a:xfrm>
                    <a:prstGeom prst="rect">
                      <a:avLst/>
                    </a:prstGeom>
                  </pic:spPr>
                </pic:pic>
              </a:graphicData>
            </a:graphic>
          </wp:inline>
        </w:drawing>
      </w:r>
    </w:p>
    <w:p w14:paraId="12F476A3" w14:textId="77777777" w:rsidR="003359F0" w:rsidRDefault="003359F0" w:rsidP="003359F0">
      <w:pPr>
        <w:spacing w:line="360" w:lineRule="auto"/>
        <w:ind w:firstLine="720"/>
        <w:jc w:val="both"/>
      </w:pPr>
      <w:r w:rsidRPr="61FA198A">
        <w:rPr>
          <w:rFonts w:ascii="Arial" w:hAnsi="Arial" w:cs="Arial"/>
        </w:rPr>
        <w:t>Las métricas de error obtenidas en esta predicción a un año fueron las siguientes: RMSE: 5.945.331; MAE: 5.458.727; MAPE: 30,98 %.</w:t>
      </w:r>
    </w:p>
    <w:p w14:paraId="4777F433" w14:textId="77777777" w:rsidR="003359F0" w:rsidRDefault="003359F0" w:rsidP="003359F0">
      <w:pPr>
        <w:spacing w:line="360" w:lineRule="auto"/>
        <w:ind w:firstLine="720"/>
        <w:jc w:val="both"/>
      </w:pPr>
      <w:r w:rsidRPr="61FA198A">
        <w:rPr>
          <w:rFonts w:ascii="Arial" w:hAnsi="Arial" w:cs="Arial"/>
        </w:rPr>
        <w:t>A diferencia del modelo anterior (no autorregresivo), estos valores reflejan un error más elevado y una menor precisión relativa. Sin embargo, son mucho más representativos de la realidad, ya que el modelo fue evaluado de manera estricta en condiciones que simulan un escenario real de forecasting.</w:t>
      </w:r>
    </w:p>
    <w:p w14:paraId="5FE03014" w14:textId="77777777" w:rsidR="003359F0" w:rsidRDefault="003359F0" w:rsidP="003359F0">
      <w:pPr>
        <w:spacing w:line="360" w:lineRule="auto"/>
        <w:ind w:firstLine="720"/>
        <w:jc w:val="both"/>
      </w:pPr>
      <w:r w:rsidRPr="61FA198A">
        <w:rPr>
          <w:rFonts w:ascii="Arial" w:hAnsi="Arial" w:cs="Arial"/>
        </w:rPr>
        <w:t xml:space="preserve">Este ejercicio pone en evidencia la dificultad que presentan las LSTM para sostener una proyección estable y precisa en horizontes extendidos, especialmente cuando se enfrentan a series con comportamiento no lineal abrupto o altamente afectado por eventos externos, como suele ser el </w:t>
      </w:r>
      <w:r w:rsidRPr="61FA198A">
        <w:rPr>
          <w:rFonts w:ascii="Arial" w:hAnsi="Arial" w:cs="Arial"/>
        </w:rPr>
        <w:lastRenderedPageBreak/>
        <w:t>caso de variables monetarias en economías inestables. A pesar de estas limitaciones, el enfoque autorregresivo representa una estrategia metodológicamente sólida para validar modelos y construir pronósticos que se alineen con escenarios de implementación práctica.</w:t>
      </w:r>
    </w:p>
    <w:p w14:paraId="6820D13E" w14:textId="77777777" w:rsidR="003359F0" w:rsidRDefault="003359F0" w:rsidP="00133247">
      <w:pPr>
        <w:spacing w:line="360" w:lineRule="auto"/>
        <w:jc w:val="both"/>
        <w:rPr>
          <w:rFonts w:ascii="Arial" w:hAnsi="Arial" w:cs="Arial"/>
        </w:rPr>
      </w:pPr>
    </w:p>
    <w:p w14:paraId="26C80E50" w14:textId="7F758479" w:rsidR="00E04678" w:rsidRPr="007451C0" w:rsidRDefault="00E04678" w:rsidP="6E7BA5FB">
      <w:pPr>
        <w:pStyle w:val="Ttulo2"/>
      </w:pPr>
      <w:bookmarkStart w:id="8" w:name="_Toc205652116"/>
      <w:r>
        <w:t xml:space="preserve">Modelo 2 – </w:t>
      </w:r>
      <w:r w:rsidR="007451C0" w:rsidRPr="6E7BA5FB">
        <w:rPr>
          <w:i/>
          <w:iCs/>
        </w:rPr>
        <w:t>Temporal Convolutional Networks</w:t>
      </w:r>
      <w:r w:rsidR="007451C0">
        <w:t xml:space="preserve"> (TCN)</w:t>
      </w:r>
      <w:bookmarkEnd w:id="8"/>
    </w:p>
    <w:p w14:paraId="6E218727" w14:textId="3ABA1FB2" w:rsidR="00E04678" w:rsidRDefault="5D1FC514" w:rsidP="6E7BA5FB">
      <w:pPr>
        <w:spacing w:line="360" w:lineRule="auto"/>
        <w:ind w:firstLine="720"/>
        <w:jc w:val="both"/>
        <w:rPr>
          <w:rFonts w:ascii="Arial" w:hAnsi="Arial" w:cs="Arial"/>
        </w:rPr>
      </w:pPr>
      <w:r w:rsidRPr="6E7BA5FB">
        <w:rPr>
          <w:rFonts w:ascii="Arial" w:hAnsi="Arial" w:cs="Arial"/>
        </w:rPr>
        <w:t>Arquitectura de deep learning diseñada para modelar secuencias, presentada formalmente por Shaojie Bai, J. Zico Kolter y Vladlen Koltun en 2018 como alternativa a las redes recurrentes (RNN, LSTM, GRU) que dominaban entonces el campo. A diferencia de los modelos recurrentes, las TCN procesan las secuencias mediante convoluciones causales unidimensionales, lo que garantiza que la predicción en un momento dado dependa solo de información pasada o presente, respetando la causalidad temporal. Incorporan además convoluciones dilatadas, que permiten ampliar de forma exponencial el campo receptivo sin incrementar significativamente la complejidad computacional, logrando capturar dependencias de largo plazo con menos capas. Esta arquitectura se complementa con conexiones residuales que facilitan el entrenamiento de redes profundas y mejoran la estabilidad del gradiente, junto con técnicas como normalización y dropout para favorecer la generalización.</w:t>
      </w:r>
    </w:p>
    <w:p w14:paraId="7ADF2FDB" w14:textId="57AB0677" w:rsidR="00E04678" w:rsidRDefault="5D1FC514" w:rsidP="6E7BA5FB">
      <w:pPr>
        <w:spacing w:line="360" w:lineRule="auto"/>
        <w:ind w:firstLine="720"/>
        <w:jc w:val="both"/>
      </w:pPr>
      <w:r w:rsidRPr="6E7BA5FB">
        <w:rPr>
          <w:rFonts w:ascii="Arial" w:hAnsi="Arial" w:cs="Arial"/>
        </w:rPr>
        <w:t>En su momento, las TCN supusieron una innovación relevante al demostrar que arquitecturas convolucionales podían superar a las LSTM y GRU en múltiples benchmarks de modelado secuencial, ofreciendo entrenamientos mucho más rápidos gracias a la paralelización total de datos. Entre sus ventajas se encuentran la capacidad para manejar dependencias temporales extensas sin sufrir problemas graves de desvanecimiento del gradiente, la eficiencia en entrenamiento y la flexibilidad para adaptarse a diferentes escalas temporales ajustando parámetros como profundidad, tamaño de kernel y factor de dilatación. Sin embargo, presentan también limitaciones, como la posible explosión en el número de parámetros al buscar campos receptivos muy grandes, la ausencia de una memoria interna explícita como en LSTM, cierta sensibilidad a la configuración de hiperparámetros y una adopción más limitada en librerías y entornos de alto nivel.</w:t>
      </w:r>
    </w:p>
    <w:p w14:paraId="4945AAEF" w14:textId="35EBE207" w:rsidR="00E04678" w:rsidRDefault="5D1FC514" w:rsidP="6E7BA5FB">
      <w:pPr>
        <w:spacing w:line="360" w:lineRule="auto"/>
        <w:ind w:firstLine="720"/>
        <w:jc w:val="both"/>
      </w:pPr>
      <w:r w:rsidRPr="6E7BA5FB">
        <w:rPr>
          <w:rFonts w:ascii="Arial" w:hAnsi="Arial" w:cs="Arial"/>
        </w:rPr>
        <w:t>Las aplicaciones reales de TCN abarcan ámbitos muy variados. En forecasting de series temporales se han utilizado para predecir demanda eléctrica, tráfico de red, indicadores económicos o circulación monetaria. En visión por computador, han servido para reconocimiento de acciones en secuencias de video, mientras que en procesamiento de audio se aplican al reconocimiento de voz y separación de fuentes sonoras. También han demostrado utilidad en biomedicina para analizar señales como ECG o EEG, donde la detección de patrones temporales extensos es fundamental, y en modelado de texto para tareas como predicción de secuencias lingüísticas o análisis de sentimientos.</w:t>
      </w:r>
    </w:p>
    <w:p w14:paraId="772005B2" w14:textId="3BE17094" w:rsidR="00E04678" w:rsidRDefault="42C6EF38" w:rsidP="6E7BA5FB">
      <w:pPr>
        <w:spacing w:line="360" w:lineRule="auto"/>
        <w:ind w:firstLine="720"/>
        <w:jc w:val="both"/>
        <w:rPr>
          <w:rFonts w:ascii="Arial" w:hAnsi="Arial" w:cs="Arial"/>
        </w:rPr>
      </w:pPr>
      <w:r w:rsidRPr="6E7BA5FB">
        <w:rPr>
          <w:rFonts w:ascii="Arial" w:hAnsi="Arial" w:cs="Arial"/>
        </w:rPr>
        <w:lastRenderedPageBreak/>
        <w:t xml:space="preserve">En este caso se implementó un modelo TCN utilizando la librería NeuralForecast con el objetivo de predecir la circulación monetaria. Se configuró un límite de 20 pasos de entrenamiento (max_steps=20) para evitar sobreajuste y acelerar el cálculo, se utilizó un escalador robusto (scaler_type='robust') para normalizar las variables y se incluyó una lista de variables exógenas históricas que aportan contexto adicional a la serie objetivo. </w:t>
      </w:r>
    </w:p>
    <w:p w14:paraId="1780E66F" w14:textId="1B57FE26" w:rsidR="00E04678" w:rsidRDefault="42C6EF38" w:rsidP="6E7BA5FB">
      <w:pPr>
        <w:spacing w:line="360" w:lineRule="auto"/>
        <w:ind w:firstLine="720"/>
        <w:jc w:val="both"/>
        <w:rPr>
          <w:rFonts w:ascii="Arial" w:hAnsi="Arial" w:cs="Arial"/>
        </w:rPr>
      </w:pPr>
      <w:r w:rsidRPr="6E7BA5FB">
        <w:rPr>
          <w:rFonts w:ascii="Arial" w:hAnsi="Arial" w:cs="Arial"/>
        </w:rPr>
        <w:t xml:space="preserve">Finalmente, se calcularon las métricas de error </w:t>
      </w:r>
      <w:r w:rsidR="532FFE86" w:rsidRPr="6E7BA5FB">
        <w:rPr>
          <w:rFonts w:ascii="Arial" w:hAnsi="Arial" w:cs="Arial"/>
        </w:rPr>
        <w:t>que</w:t>
      </w:r>
      <w:r w:rsidRPr="6E7BA5FB">
        <w:rPr>
          <w:rFonts w:ascii="Arial" w:hAnsi="Arial" w:cs="Arial"/>
        </w:rPr>
        <w:t xml:space="preserve"> fueron</w:t>
      </w:r>
      <w:r w:rsidR="29248D99" w:rsidRPr="6E7BA5FB">
        <w:rPr>
          <w:rFonts w:ascii="Arial" w:hAnsi="Arial" w:cs="Arial"/>
        </w:rPr>
        <w:t xml:space="preserve"> </w:t>
      </w:r>
      <w:r w:rsidRPr="6E7BA5FB">
        <w:rPr>
          <w:rFonts w:ascii="Arial" w:hAnsi="Arial" w:cs="Arial"/>
        </w:rPr>
        <w:t>RMSE: 6.187.250</w:t>
      </w:r>
      <w:r w:rsidR="4B4DEAC9" w:rsidRPr="6E7BA5FB">
        <w:rPr>
          <w:rFonts w:ascii="Arial" w:hAnsi="Arial" w:cs="Arial"/>
        </w:rPr>
        <w:t xml:space="preserve">; </w:t>
      </w:r>
      <w:r w:rsidRPr="6E7BA5FB">
        <w:rPr>
          <w:rFonts w:ascii="Arial" w:hAnsi="Arial" w:cs="Arial"/>
        </w:rPr>
        <w:t>MAE: 6.081.864</w:t>
      </w:r>
      <w:r w:rsidR="1DAD3750" w:rsidRPr="6E7BA5FB">
        <w:rPr>
          <w:rFonts w:ascii="Arial" w:hAnsi="Arial" w:cs="Arial"/>
        </w:rPr>
        <w:t xml:space="preserve">; </w:t>
      </w:r>
      <w:r w:rsidRPr="6E7BA5FB">
        <w:rPr>
          <w:rFonts w:ascii="Arial" w:hAnsi="Arial" w:cs="Arial"/>
        </w:rPr>
        <w:t>MAPE: 34,13 %</w:t>
      </w:r>
      <w:r w:rsidR="370DE58A" w:rsidRPr="6E7BA5FB">
        <w:rPr>
          <w:rFonts w:ascii="Arial" w:hAnsi="Arial" w:cs="Arial"/>
        </w:rPr>
        <w:t>.</w:t>
      </w:r>
    </w:p>
    <w:p w14:paraId="5D7A16A0" w14:textId="5A76637E" w:rsidR="00E04678" w:rsidRDefault="370DE58A" w:rsidP="6E7BA5FB">
      <w:pPr>
        <w:spacing w:line="360" w:lineRule="auto"/>
        <w:jc w:val="both"/>
      </w:pPr>
      <w:r>
        <w:rPr>
          <w:noProof/>
        </w:rPr>
        <w:drawing>
          <wp:inline distT="0" distB="0" distL="0" distR="0" wp14:anchorId="2A63CD1D" wp14:editId="795E2CE1">
            <wp:extent cx="6181725" cy="2524125"/>
            <wp:effectExtent l="0" t="0" r="0" b="0"/>
            <wp:docPr id="18539428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281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1725" cy="2524125"/>
                    </a:xfrm>
                    <a:prstGeom prst="rect">
                      <a:avLst/>
                    </a:prstGeom>
                  </pic:spPr>
                </pic:pic>
              </a:graphicData>
            </a:graphic>
          </wp:inline>
        </w:drawing>
      </w:r>
    </w:p>
    <w:p w14:paraId="63D9D1A0" w14:textId="3D051012" w:rsidR="00E04678" w:rsidRDefault="42C6EF38" w:rsidP="6E7BA5FB">
      <w:pPr>
        <w:spacing w:line="360" w:lineRule="auto"/>
        <w:ind w:firstLine="720"/>
        <w:jc w:val="both"/>
      </w:pPr>
      <w:r w:rsidRPr="6E7BA5FB">
        <w:rPr>
          <w:rFonts w:ascii="Arial" w:hAnsi="Arial" w:cs="Arial"/>
        </w:rPr>
        <w:t>Estos valores muestran que el modelo presenta un error promedio relativamente elevado en relación con los niveles de la variable, lo que indica que, si bien el TCN captura la tendencia general, tiene dificultades para replicar con precisión la magnitud y variabilidad de la circulación monetaria en el horizonte previsto. Esto puede deberse a que el período de test contiene cambios abruptos y aceleraciones en la serie que no se encontraban en el histórico de entrenamiento, así como a la complejidad de la dinámica monetaria, que puede requerir mayor ajuste de hiperparámetros, un horizonte de entrada más extenso o la inclusión de variables exógenas adicionales.</w:t>
      </w:r>
    </w:p>
    <w:p w14:paraId="2907AEC2" w14:textId="77777777" w:rsidR="00E04678" w:rsidRDefault="00E04678" w:rsidP="00133247">
      <w:pPr>
        <w:spacing w:line="360" w:lineRule="auto"/>
        <w:jc w:val="both"/>
        <w:rPr>
          <w:rFonts w:ascii="Arial" w:hAnsi="Arial" w:cs="Arial"/>
        </w:rPr>
      </w:pPr>
    </w:p>
    <w:p w14:paraId="0F9CD297" w14:textId="77777777" w:rsidR="007451C0" w:rsidRPr="00DB12CE" w:rsidRDefault="007451C0" w:rsidP="007451C0">
      <w:pPr>
        <w:pStyle w:val="Ttulo2"/>
        <w:rPr>
          <w:i/>
          <w:iCs/>
          <w:highlight w:val="yellow"/>
        </w:rPr>
      </w:pPr>
      <w:bookmarkStart w:id="9" w:name="_Toc205652117"/>
      <w:r w:rsidRPr="00DB12CE">
        <w:rPr>
          <w:highlight w:val="yellow"/>
        </w:rPr>
        <w:t xml:space="preserve">Modelo </w:t>
      </w:r>
      <w:r>
        <w:rPr>
          <w:highlight w:val="yellow"/>
        </w:rPr>
        <w:t>3</w:t>
      </w:r>
      <w:r w:rsidRPr="00DB12CE">
        <w:rPr>
          <w:highlight w:val="yellow"/>
        </w:rPr>
        <w:t xml:space="preserve"> – </w:t>
      </w:r>
      <w:r w:rsidRPr="00DB12CE">
        <w:rPr>
          <w:i/>
          <w:iCs/>
          <w:highlight w:val="yellow"/>
        </w:rPr>
        <w:t>Neural Basis Expansion Analysis for Time Series</w:t>
      </w:r>
      <w:r w:rsidRPr="00DB12CE">
        <w:rPr>
          <w:highlight w:val="yellow"/>
        </w:rPr>
        <w:t xml:space="preserve"> (</w:t>
      </w:r>
      <w:r w:rsidRPr="00DB12CE">
        <w:rPr>
          <w:i/>
          <w:iCs/>
          <w:highlight w:val="yellow"/>
        </w:rPr>
        <w:t>N-BEATS)</w:t>
      </w:r>
      <w:bookmarkEnd w:id="9"/>
    </w:p>
    <w:p w14:paraId="0E47A9CC" w14:textId="77777777" w:rsidR="007451C0" w:rsidRDefault="007451C0" w:rsidP="007451C0">
      <w:pPr>
        <w:spacing w:line="360" w:lineRule="auto"/>
        <w:ind w:firstLine="720"/>
        <w:jc w:val="both"/>
        <w:rPr>
          <w:rFonts w:ascii="Arial" w:hAnsi="Arial" w:cs="Arial"/>
        </w:rPr>
      </w:pPr>
      <w:r w:rsidRPr="76865BC2">
        <w:rPr>
          <w:rFonts w:ascii="Arial" w:hAnsi="Arial" w:cs="Arial"/>
        </w:rPr>
        <w:t>El modelo N-BEATS (Neural Basis Expansion Analysis for Interpretable Time Series Forecasting) representa un hito en la predicción de series temporales mediante redes neuronales. Fue desarrollado por Boris N. Oreshkin et al (2020) y presentado por primera vez en la conferencia ICLR 2020. Esta arquitectura se destaca por ser puramente neuronal, sin recurrir a supuestos estadísticos explícitos ni preprocesamiento complejo. Uno de sus principales aportes fue demostrar que una red totalmente conectada, bien estructurada, puede superar a modelos tradicionales como ARIMA o ETS, e incluso a enfoques híbridos como Prophet, logrando mejorar en un 11 % el error sobre modelos estadísticos y superando en un 3 % al modelo ganador del concurso M4.</w:t>
      </w:r>
    </w:p>
    <w:p w14:paraId="6E49C0C3" w14:textId="77777777" w:rsidR="007451C0" w:rsidRDefault="007451C0" w:rsidP="007451C0">
      <w:pPr>
        <w:spacing w:line="360" w:lineRule="auto"/>
        <w:ind w:firstLine="720"/>
        <w:jc w:val="both"/>
        <w:rPr>
          <w:rFonts w:ascii="Arial" w:hAnsi="Arial" w:cs="Arial"/>
        </w:rPr>
      </w:pPr>
      <w:r w:rsidRPr="76865BC2">
        <w:rPr>
          <w:rFonts w:ascii="Arial" w:hAnsi="Arial" w:cs="Arial"/>
        </w:rPr>
        <w:lastRenderedPageBreak/>
        <w:t>La arquitectura de N-BEATS se basa en la descomposición de una serie en bloques secuenciales que operan sobre una ventana del pasado (backcast) y generan una predicción del futuro (forecast). Cada bloque está compuesto por capas densas (fully connected) y produce tanto una estimación del pronóstico como una reconstrucción del pasado. La diferencia no explicada (residuo) es transmitida al siguiente bloque, permitiendo una especie de ensamblado secuencial análogo al boosting. Esta estrategia permite al modelo capturar patrones complejos y ajustar progresivamente las predicciones. Además, el diseño admite dos variantes: una genérica, donde el modelo aprende funciones arbitrarias sin restricciones; y otra interpretable, donde se imponen bases polinómicas para capturar tendencias y funciones sinusoidales para representar estacionalidades, otorgando transparencia a la salida del modelo.</w:t>
      </w:r>
    </w:p>
    <w:p w14:paraId="5C3726BB" w14:textId="178129D7" w:rsidR="007451C0" w:rsidRDefault="007451C0" w:rsidP="6E7BA5FB">
      <w:pPr>
        <w:spacing w:line="360" w:lineRule="auto"/>
        <w:ind w:firstLine="720"/>
        <w:jc w:val="both"/>
        <w:rPr>
          <w:rFonts w:ascii="Arial" w:hAnsi="Arial" w:cs="Arial"/>
        </w:rPr>
      </w:pPr>
      <w:r w:rsidRPr="6E7BA5FB">
        <w:rPr>
          <w:rFonts w:ascii="Arial" w:hAnsi="Arial" w:cs="Arial"/>
        </w:rPr>
        <w:t>En 2021 se presentó N-BEATSx, una extensión desarrollada por Kin G. Olivares et al. Esta variante introduce la capacidad de incorporar variables exógenas (futuras o contemporáneas), lo cual permite mejorar la precisión en contextos donde la dinámica de la serie está influida por factores externos, como precios de energía, indicadores económicos o eventos específicos. N-BEATSx ha demostrado ser especialmente efectivo en el pronóstico de precios eléctricos, reduciendo el error de predicción hasta un 20 % en comparación con su predecesor. Asimismo, la versión N-BEATS(P), diseñada por Philippe Chatigny y colaboradores, logró paralelizar el entrenamiento en múltiples series a la vez, optimizando el uso de recursos computacionales sin pérdida significativa de precisión, lo cual facilita su aplicación en entornos industriales y de big data.</w:t>
      </w:r>
    </w:p>
    <w:p w14:paraId="77894C1F" w14:textId="6F6C8684" w:rsidR="007451C0" w:rsidRDefault="007451C0" w:rsidP="007451C0">
      <w:pPr>
        <w:spacing w:line="360" w:lineRule="auto"/>
        <w:ind w:firstLine="720"/>
        <w:jc w:val="both"/>
        <w:rPr>
          <w:rFonts w:ascii="Arial" w:hAnsi="Arial" w:cs="Arial"/>
        </w:rPr>
      </w:pPr>
      <w:r w:rsidRPr="6E7BA5FB">
        <w:rPr>
          <w:rFonts w:ascii="Arial" w:hAnsi="Arial" w:cs="Arial"/>
        </w:rPr>
        <w:t>En cuanto a sus aplicaciones reales, N-BEATS ha demostrado ser altamente competitivo en benchmarks clásicos como M3, M4 y Tourism, convirtiéndose en un estándar de referencia para modelos neuronales en forecasting. Además, ha sido aplicado en dominios industriales como el pronóstico eléctrico, planificación de recursos, logística y finanzas. Herramientas como NeuralForecast o PyTorch-Forecasting han facilitado su uso en entornos productivos, promoviendo su adopción tanto en investigación académica como en soluciones comerciales.</w:t>
      </w:r>
    </w:p>
    <w:p w14:paraId="693A485B" w14:textId="77777777" w:rsidR="007451C0" w:rsidRDefault="007451C0" w:rsidP="007451C0">
      <w:pPr>
        <w:spacing w:line="360" w:lineRule="auto"/>
        <w:ind w:firstLine="720"/>
        <w:jc w:val="both"/>
        <w:rPr>
          <w:rFonts w:ascii="Arial" w:hAnsi="Arial" w:cs="Arial"/>
        </w:rPr>
      </w:pPr>
      <w:r w:rsidRPr="76865BC2">
        <w:rPr>
          <w:rFonts w:ascii="Arial" w:hAnsi="Arial" w:cs="Arial"/>
        </w:rPr>
        <w:t>En la presente evaluación se realizó la predicción de la circulación monetaria diaria en Argentina utilizando el modelo N-BEATS implementado mediante la librería NeuralForecast. El objetivo fue evaluar la capacidad del modelo para anticipar el comportamiento de esta variable económica clave, incorporando información histórica.</w:t>
      </w:r>
    </w:p>
    <w:p w14:paraId="7BF6B813" w14:textId="77777777" w:rsidR="007451C0" w:rsidRDefault="007451C0" w:rsidP="007451C0">
      <w:pPr>
        <w:spacing w:line="360" w:lineRule="auto"/>
        <w:ind w:firstLine="720"/>
        <w:jc w:val="both"/>
      </w:pPr>
      <w:r w:rsidRPr="76865BC2">
        <w:rPr>
          <w:rFonts w:ascii="Arial" w:hAnsi="Arial" w:cs="Arial"/>
        </w:rPr>
        <w:t xml:space="preserve">Para esta predicción, se entrenó un modelo N-BEATS con horizonte de predicción igual al período deseado (alrededor de un año) y un tamaño de ventana de 3 veces dicho horizonte, lo que permite al modelo capturar patrones temporales extendidos, incluyendo estacionalidades anuales o tendencias de largo plazo. La función de pérdida seleccionada fue MAE (Mean Absolute Error), priorizando la minimización del error absoluto medio, lo cual favorece la estabilidad frente a valores atípicos, en contraste con métricas cuadráticas como RMSE. Además, se utilizó un escalador robusto </w:t>
      </w:r>
      <w:r w:rsidRPr="76865BC2">
        <w:rPr>
          <w:rFonts w:ascii="Arial" w:hAnsi="Arial" w:cs="Arial"/>
        </w:rPr>
        <w:lastRenderedPageBreak/>
        <w:t>que se considera apropiado para series con fuerte crecimiento y posibles picos como en este caso. El entrenamiento fue limitado a 50 pasos, un valor razonable para evitar sobreajuste en contextos con recursos computacionales acotados.</w:t>
      </w:r>
    </w:p>
    <w:p w14:paraId="4300BC1F" w14:textId="77777777" w:rsidR="007451C0" w:rsidRDefault="007451C0" w:rsidP="007451C0">
      <w:pPr>
        <w:spacing w:line="360" w:lineRule="auto"/>
        <w:jc w:val="both"/>
      </w:pPr>
      <w:r>
        <w:rPr>
          <w:noProof/>
        </w:rPr>
        <w:drawing>
          <wp:inline distT="0" distB="0" distL="0" distR="0" wp14:anchorId="25DC1983" wp14:editId="57A111F6">
            <wp:extent cx="6181725" cy="2505075"/>
            <wp:effectExtent l="0" t="0" r="0" b="0"/>
            <wp:docPr id="123372622" name="drawing"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2622" name="drawing" descr="Gráfico, Gráfico de líneas&#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2505075"/>
                    </a:xfrm>
                    <a:prstGeom prst="rect">
                      <a:avLst/>
                    </a:prstGeom>
                  </pic:spPr>
                </pic:pic>
              </a:graphicData>
            </a:graphic>
          </wp:inline>
        </w:drawing>
      </w:r>
    </w:p>
    <w:p w14:paraId="2E2DAAB8" w14:textId="4755C759" w:rsidR="007451C0" w:rsidRDefault="007451C0" w:rsidP="6E7BA5FB">
      <w:pPr>
        <w:spacing w:line="360" w:lineRule="auto"/>
        <w:ind w:firstLine="720"/>
        <w:jc w:val="both"/>
        <w:rPr>
          <w:rFonts w:ascii="Arial" w:hAnsi="Arial" w:cs="Arial"/>
        </w:rPr>
      </w:pPr>
      <w:r w:rsidRPr="6E7BA5FB">
        <w:rPr>
          <w:rFonts w:ascii="Arial" w:hAnsi="Arial" w:cs="Arial"/>
        </w:rPr>
        <w:t>Es evidente una subestimación progresiva de los valores reales por parte del modelo, especialmente a medida que avanza el tiempo. Esto puede deberse a varios factores, entre ellos:</w:t>
      </w:r>
      <w:r w:rsidR="54FA26B5" w:rsidRPr="6E7BA5FB">
        <w:rPr>
          <w:rFonts w:ascii="Arial" w:hAnsi="Arial" w:cs="Arial"/>
        </w:rPr>
        <w:t xml:space="preserve"> l</w:t>
      </w:r>
      <w:r w:rsidRPr="6E7BA5FB">
        <w:rPr>
          <w:rFonts w:ascii="Arial" w:hAnsi="Arial" w:cs="Arial"/>
        </w:rPr>
        <w:t>a explosiva aceleración de la variable real (visible a partir de noviembre de 2024) puede deberse a eventos exógenos no capturados por el modelo</w:t>
      </w:r>
      <w:r w:rsidR="4F617AAD" w:rsidRPr="6E7BA5FB">
        <w:rPr>
          <w:rFonts w:ascii="Arial" w:hAnsi="Arial" w:cs="Arial"/>
        </w:rPr>
        <w:t xml:space="preserve"> (cambio de</w:t>
      </w:r>
      <w:r w:rsidRPr="6E7BA5FB">
        <w:rPr>
          <w:rFonts w:ascii="Arial" w:hAnsi="Arial" w:cs="Arial"/>
        </w:rPr>
        <w:t xml:space="preserve"> </w:t>
      </w:r>
      <w:r w:rsidR="49D2061E" w:rsidRPr="6E7BA5FB">
        <w:rPr>
          <w:rFonts w:ascii="Arial" w:hAnsi="Arial" w:cs="Arial"/>
        </w:rPr>
        <w:t xml:space="preserve">gobierno y </w:t>
      </w:r>
      <w:r w:rsidRPr="6E7BA5FB">
        <w:rPr>
          <w:rFonts w:ascii="Arial" w:hAnsi="Arial" w:cs="Arial"/>
        </w:rPr>
        <w:t>políticas monetarias excepcionales</w:t>
      </w:r>
      <w:r w:rsidR="758D37F1" w:rsidRPr="6E7BA5FB">
        <w:rPr>
          <w:rFonts w:ascii="Arial" w:hAnsi="Arial" w:cs="Arial"/>
        </w:rPr>
        <w:t>) o una l</w:t>
      </w:r>
      <w:r w:rsidRPr="6E7BA5FB">
        <w:rPr>
          <w:rFonts w:ascii="Arial" w:hAnsi="Arial" w:cs="Arial"/>
        </w:rPr>
        <w:t xml:space="preserve">imitación en la capacidad del modelo para extrapolar tendencias crecientes no observadas en los datos de entrenamiento. </w:t>
      </w:r>
    </w:p>
    <w:p w14:paraId="28FB0E77" w14:textId="77777777" w:rsidR="007451C0" w:rsidRDefault="007451C0" w:rsidP="007451C0">
      <w:pPr>
        <w:spacing w:line="360" w:lineRule="auto"/>
        <w:ind w:firstLine="720"/>
        <w:jc w:val="both"/>
        <w:rPr>
          <w:rFonts w:ascii="Arial" w:hAnsi="Arial" w:cs="Arial"/>
        </w:rPr>
      </w:pPr>
      <w:r w:rsidRPr="76865BC2">
        <w:rPr>
          <w:rFonts w:ascii="Arial" w:hAnsi="Arial" w:cs="Arial"/>
        </w:rPr>
        <w:t>Respecto al desempeño del modelo, se informaron los siguientes valores en el conjunto de test: RMSE (raíz del error cuadrático medio): 4.596.576; MAE (error absoluto medio): 4.029.075; MAPE (error porcentual absoluto medio): 20,81%.</w:t>
      </w:r>
    </w:p>
    <w:p w14:paraId="4266B8DB" w14:textId="77777777" w:rsidR="007451C0" w:rsidRDefault="007451C0" w:rsidP="007451C0">
      <w:pPr>
        <w:spacing w:line="360" w:lineRule="auto"/>
        <w:ind w:firstLine="720"/>
        <w:jc w:val="both"/>
      </w:pPr>
      <w:r w:rsidRPr="76865BC2">
        <w:rPr>
          <w:rFonts w:ascii="Arial" w:hAnsi="Arial" w:cs="Arial"/>
        </w:rPr>
        <w:t>El valor de MAPE cercano al 21 % indica una desviación promedio del modelo respecto a la realidad que, si bien es considerable, puede interpretarse como razonable considerando el contexto de fuerte crecimiento monetario y alta volatilidad. No obstante, sugiere espacio de mejora, especialmente si se incorporan variables exógenas más informativas, como tasas de interés, agregados monetarios complementarios, o eventos de política económica.</w:t>
      </w:r>
    </w:p>
    <w:p w14:paraId="039C25D5" w14:textId="1EA92ECE" w:rsidR="007451C0" w:rsidRDefault="007451C0" w:rsidP="007451C0">
      <w:pPr>
        <w:spacing w:line="360" w:lineRule="auto"/>
        <w:ind w:firstLine="720"/>
        <w:jc w:val="both"/>
        <w:rPr>
          <w:rFonts w:ascii="Arial" w:hAnsi="Arial" w:cs="Arial"/>
        </w:rPr>
      </w:pPr>
      <w:r w:rsidRPr="6E7BA5FB">
        <w:rPr>
          <w:rFonts w:ascii="Arial" w:hAnsi="Arial" w:cs="Arial"/>
        </w:rPr>
        <w:t>En una segunda fase de la explotación del modelo, se procedió a entrenar un modelo N-BEATSx, que permite incorporar variables exógenas tanto contemporáneas como históricas. Entre ellas se incluyeron: saldo de cuentas corrientes en pesos en el BCRA, saldo de préstamos personales en pesos, tasas de interés de política monetaria, cotización del dólar (Divisa_USD), índice de precios al consumidor (IPC), monto de operaciones de pases entre terceros, índices bursátiles SPY y MERVAL.</w:t>
      </w:r>
    </w:p>
    <w:p w14:paraId="52620EFD" w14:textId="1E9103DE" w:rsidR="007451C0" w:rsidRDefault="007451C0" w:rsidP="007451C0">
      <w:pPr>
        <w:spacing w:line="360" w:lineRule="auto"/>
        <w:ind w:firstLine="720"/>
        <w:jc w:val="both"/>
      </w:pPr>
      <w:r w:rsidRPr="6E7BA5FB">
        <w:rPr>
          <w:rFonts w:ascii="Arial" w:hAnsi="Arial" w:cs="Arial"/>
        </w:rPr>
        <w:lastRenderedPageBreak/>
        <w:t>Se intentó realizar un procesamiento con más variables exógenas y ampliando el horizonte pero se interrumpía la máquina virtual por excesivo uso de memoria RAM.</w:t>
      </w:r>
      <w:r>
        <w:rPr>
          <w:noProof/>
        </w:rPr>
        <w:drawing>
          <wp:inline distT="0" distB="0" distL="0" distR="0" wp14:anchorId="26F7E311" wp14:editId="0F221CDD">
            <wp:extent cx="6181725" cy="2609850"/>
            <wp:effectExtent l="0" t="0" r="0" b="0"/>
            <wp:docPr id="659283524" name="drawing"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3524" name="drawing" descr="Gráfico, Gráfico de líneas&#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1725" cy="2609850"/>
                    </a:xfrm>
                    <a:prstGeom prst="rect">
                      <a:avLst/>
                    </a:prstGeom>
                  </pic:spPr>
                </pic:pic>
              </a:graphicData>
            </a:graphic>
          </wp:inline>
        </w:drawing>
      </w:r>
    </w:p>
    <w:p w14:paraId="16E5D8B4" w14:textId="77777777" w:rsidR="007451C0" w:rsidRDefault="007451C0" w:rsidP="007451C0">
      <w:pPr>
        <w:spacing w:line="360" w:lineRule="auto"/>
        <w:ind w:firstLine="720"/>
        <w:jc w:val="both"/>
        <w:rPr>
          <w:rFonts w:ascii="Arial" w:hAnsi="Arial" w:cs="Arial"/>
        </w:rPr>
      </w:pPr>
      <w:r w:rsidRPr="0FC75580">
        <w:rPr>
          <w:rFonts w:ascii="Arial" w:hAnsi="Arial" w:cs="Arial"/>
        </w:rPr>
        <w:t>Como se observa en el gráfico generado, en contraste con la versión anterior del modelo (sin exógenas), puede notarse que la predicción se ajusta de forma mucho más precisa a la serie real, capturando tanto la pendiente general de crecimiento como la variabilidad interdiaria.</w:t>
      </w:r>
    </w:p>
    <w:p w14:paraId="0AB72E3C" w14:textId="77777777" w:rsidR="007451C0" w:rsidRDefault="007451C0" w:rsidP="007451C0">
      <w:pPr>
        <w:spacing w:line="360" w:lineRule="auto"/>
        <w:ind w:firstLine="720"/>
        <w:jc w:val="both"/>
        <w:rPr>
          <w:rFonts w:ascii="Arial" w:hAnsi="Arial" w:cs="Arial"/>
        </w:rPr>
      </w:pPr>
      <w:r w:rsidRPr="0FC75580">
        <w:rPr>
          <w:rFonts w:ascii="Arial" w:hAnsi="Arial" w:cs="Arial"/>
        </w:rPr>
        <w:t>Esta mejora en el ajuste también se refleja claramente en las métricas de desempeño: RMSE: 1.627.994; MAE: 1.330.599: MAPE: 7,10 %.</w:t>
      </w:r>
    </w:p>
    <w:p w14:paraId="30757A28" w14:textId="77777777" w:rsidR="007451C0" w:rsidRDefault="007451C0" w:rsidP="007451C0">
      <w:pPr>
        <w:spacing w:line="360" w:lineRule="auto"/>
        <w:ind w:firstLine="720"/>
        <w:jc w:val="both"/>
        <w:rPr>
          <w:rFonts w:ascii="Arial" w:hAnsi="Arial" w:cs="Arial"/>
        </w:rPr>
      </w:pPr>
      <w:r w:rsidRPr="0FC75580">
        <w:rPr>
          <w:rFonts w:ascii="Arial" w:hAnsi="Arial" w:cs="Arial"/>
        </w:rPr>
        <w:t>Comparado con los resultados obtenidos previamente, el N-BEATSx logró reducir el error absoluto en más de un 65 % y mejorar la precisión relativa en casi 14 puntos porcentuales, lo cual confirma que la incorporación de información contextual relevante mejora significativamente la capacidad predictiva del modelo.</w:t>
      </w:r>
    </w:p>
    <w:p w14:paraId="6151865F" w14:textId="77777777" w:rsidR="007451C0" w:rsidRDefault="007451C0" w:rsidP="00133247">
      <w:pPr>
        <w:spacing w:line="360" w:lineRule="auto"/>
        <w:jc w:val="both"/>
        <w:rPr>
          <w:rFonts w:ascii="Arial" w:hAnsi="Arial" w:cs="Arial"/>
        </w:rPr>
      </w:pPr>
    </w:p>
    <w:p w14:paraId="5F960A1C" w14:textId="33F2E50E" w:rsidR="007D0225" w:rsidRPr="00AF4927" w:rsidRDefault="007D0225" w:rsidP="007D0225">
      <w:pPr>
        <w:pStyle w:val="Ttulo2"/>
        <w:rPr>
          <w:highlight w:val="yellow"/>
        </w:rPr>
      </w:pPr>
      <w:bookmarkStart w:id="10" w:name="_Toc205652118"/>
      <w:r>
        <w:rPr>
          <w:highlight w:val="yellow"/>
        </w:rPr>
        <w:t xml:space="preserve">Modelo </w:t>
      </w:r>
      <w:r w:rsidR="001D3E5A">
        <w:rPr>
          <w:highlight w:val="yellow"/>
        </w:rPr>
        <w:t>4</w:t>
      </w:r>
      <w:r>
        <w:rPr>
          <w:highlight w:val="yellow"/>
        </w:rPr>
        <w:t xml:space="preserve"> – </w:t>
      </w:r>
      <w:r w:rsidR="001D3E5A" w:rsidRPr="001D3E5A">
        <w:rPr>
          <w:i/>
          <w:iCs/>
          <w:highlight w:val="yellow"/>
        </w:rPr>
        <w:t>Prophet</w:t>
      </w:r>
      <w:bookmarkEnd w:id="10"/>
    </w:p>
    <w:p w14:paraId="1A0EB9A1" w14:textId="77777777" w:rsidR="007D0225" w:rsidRDefault="007D0225" w:rsidP="007D0225">
      <w:pPr>
        <w:spacing w:line="360" w:lineRule="auto"/>
        <w:ind w:firstLine="720"/>
        <w:jc w:val="both"/>
        <w:rPr>
          <w:rFonts w:ascii="Arial" w:hAnsi="Arial" w:cs="Arial"/>
        </w:rPr>
      </w:pPr>
      <w:r w:rsidRPr="00077D2B">
        <w:rPr>
          <w:rFonts w:ascii="Arial" w:hAnsi="Arial" w:cs="Arial"/>
          <w:highlight w:val="yellow"/>
        </w:rPr>
        <w:t>Respuesta.</w:t>
      </w:r>
    </w:p>
    <w:p w14:paraId="41F406B7" w14:textId="77777777" w:rsidR="007D0225" w:rsidRDefault="007D0225" w:rsidP="007D0225">
      <w:pPr>
        <w:spacing w:line="360" w:lineRule="auto"/>
        <w:jc w:val="both"/>
        <w:rPr>
          <w:rFonts w:ascii="Arial" w:eastAsiaTheme="minorEastAsia" w:hAnsi="Arial" w:cs="Arial"/>
        </w:rPr>
      </w:pPr>
    </w:p>
    <w:p w14:paraId="49B28148" w14:textId="1E628242" w:rsidR="007D0225" w:rsidRPr="00AF4927" w:rsidRDefault="007D0225" w:rsidP="007D0225">
      <w:pPr>
        <w:pStyle w:val="Ttulo2"/>
        <w:rPr>
          <w:highlight w:val="yellow"/>
        </w:rPr>
      </w:pPr>
      <w:bookmarkStart w:id="11" w:name="_Toc205652119"/>
      <w:r>
        <w:rPr>
          <w:highlight w:val="yellow"/>
        </w:rPr>
        <w:t xml:space="preserve">Modelo </w:t>
      </w:r>
      <w:r w:rsidR="001D3E5A">
        <w:rPr>
          <w:highlight w:val="yellow"/>
        </w:rPr>
        <w:t>5</w:t>
      </w:r>
      <w:r>
        <w:rPr>
          <w:highlight w:val="yellow"/>
        </w:rPr>
        <w:t xml:space="preserve"> – </w:t>
      </w:r>
      <w:r w:rsidR="001D3E5A">
        <w:rPr>
          <w:i/>
          <w:iCs/>
          <w:highlight w:val="yellow"/>
        </w:rPr>
        <w:t xml:space="preserve">Neural </w:t>
      </w:r>
      <w:r w:rsidR="001D3E5A" w:rsidRPr="001D3E5A">
        <w:rPr>
          <w:i/>
          <w:iCs/>
          <w:highlight w:val="yellow"/>
        </w:rPr>
        <w:t>Prophet</w:t>
      </w:r>
      <w:bookmarkEnd w:id="11"/>
    </w:p>
    <w:p w14:paraId="60168916" w14:textId="77777777" w:rsidR="007D0225" w:rsidRDefault="007D0225" w:rsidP="007D0225">
      <w:pPr>
        <w:spacing w:line="360" w:lineRule="auto"/>
        <w:ind w:firstLine="720"/>
        <w:jc w:val="both"/>
        <w:rPr>
          <w:rFonts w:ascii="Arial" w:hAnsi="Arial" w:cs="Arial"/>
        </w:rPr>
      </w:pPr>
      <w:r w:rsidRPr="00077D2B">
        <w:rPr>
          <w:rFonts w:ascii="Arial" w:hAnsi="Arial" w:cs="Arial"/>
          <w:highlight w:val="yellow"/>
        </w:rPr>
        <w:t>Respuesta.</w:t>
      </w:r>
    </w:p>
    <w:p w14:paraId="14DC397C" w14:textId="77777777" w:rsidR="007D0225" w:rsidRDefault="007D0225" w:rsidP="00133247">
      <w:pPr>
        <w:spacing w:line="360" w:lineRule="auto"/>
        <w:jc w:val="both"/>
        <w:rPr>
          <w:rFonts w:ascii="Arial" w:hAnsi="Arial" w:cs="Arial"/>
        </w:rPr>
      </w:pPr>
    </w:p>
    <w:p w14:paraId="0D5BD7DB" w14:textId="63EED431" w:rsidR="1E166457" w:rsidRPr="00AF4927" w:rsidRDefault="00077D2B" w:rsidP="00EB2AA8">
      <w:pPr>
        <w:pStyle w:val="Ttulo2"/>
        <w:rPr>
          <w:highlight w:val="yellow"/>
        </w:rPr>
      </w:pPr>
      <w:bookmarkStart w:id="12" w:name="_Toc205652120"/>
      <w:r>
        <w:rPr>
          <w:highlight w:val="yellow"/>
        </w:rPr>
        <w:t xml:space="preserve">Modelo </w:t>
      </w:r>
      <w:r w:rsidR="001D3E5A">
        <w:rPr>
          <w:highlight w:val="yellow"/>
        </w:rPr>
        <w:t>6</w:t>
      </w:r>
      <w:r w:rsidR="001A7F35">
        <w:rPr>
          <w:highlight w:val="yellow"/>
        </w:rPr>
        <w:t xml:space="preserve"> – </w:t>
      </w:r>
      <w:r w:rsidR="00AC1CE2" w:rsidRPr="00AC1CE2">
        <w:rPr>
          <w:i/>
          <w:iCs/>
          <w:highlight w:val="yellow"/>
        </w:rPr>
        <w:t>LightGBM</w:t>
      </w:r>
      <w:bookmarkEnd w:id="12"/>
    </w:p>
    <w:p w14:paraId="2E8CDA74" w14:textId="77777777" w:rsidR="00AC1CE2" w:rsidRDefault="00AC1CE2" w:rsidP="00AC1CE2">
      <w:pPr>
        <w:spacing w:line="360" w:lineRule="auto"/>
        <w:ind w:firstLine="720"/>
        <w:jc w:val="both"/>
        <w:rPr>
          <w:rFonts w:ascii="Arial" w:hAnsi="Arial" w:cs="Arial"/>
        </w:rPr>
      </w:pPr>
      <w:r>
        <w:rPr>
          <w:rFonts w:ascii="Arial" w:hAnsi="Arial" w:cs="Arial"/>
        </w:rPr>
        <w:t xml:space="preserve">La biblioteca </w:t>
      </w:r>
      <w:r>
        <w:rPr>
          <w:rFonts w:ascii="Arial" w:hAnsi="Arial" w:cs="Arial"/>
          <w:i/>
          <w:iCs/>
        </w:rPr>
        <w:t>LightGBM</w:t>
      </w:r>
      <w:r>
        <w:rPr>
          <w:rFonts w:ascii="Arial" w:hAnsi="Arial" w:cs="Arial"/>
        </w:rPr>
        <w:t xml:space="preserve"> es </w:t>
      </w:r>
      <w:r w:rsidRPr="003B5A3D">
        <w:rPr>
          <w:rFonts w:ascii="Arial" w:hAnsi="Arial" w:cs="Arial"/>
        </w:rPr>
        <w:t xml:space="preserve">un </w:t>
      </w:r>
      <w:r w:rsidRPr="003B5A3D">
        <w:rPr>
          <w:rFonts w:ascii="Arial" w:hAnsi="Arial" w:cs="Arial"/>
          <w:i/>
          <w:iCs/>
        </w:rPr>
        <w:t>framework</w:t>
      </w:r>
      <w:r w:rsidRPr="003B5A3D">
        <w:rPr>
          <w:rFonts w:ascii="Arial" w:hAnsi="Arial" w:cs="Arial"/>
        </w:rPr>
        <w:t xml:space="preserve"> de </w:t>
      </w:r>
      <w:r w:rsidRPr="003B5A3D">
        <w:rPr>
          <w:rFonts w:ascii="Arial" w:hAnsi="Arial" w:cs="Arial"/>
          <w:i/>
          <w:iCs/>
        </w:rPr>
        <w:t>Gradient</w:t>
      </w:r>
      <w:r w:rsidRPr="003B5A3D">
        <w:rPr>
          <w:rFonts w:ascii="Arial" w:hAnsi="Arial" w:cs="Arial"/>
        </w:rPr>
        <w:t xml:space="preserve"> </w:t>
      </w:r>
      <w:r w:rsidRPr="003B5A3D">
        <w:rPr>
          <w:rFonts w:ascii="Arial" w:hAnsi="Arial" w:cs="Arial"/>
          <w:i/>
          <w:iCs/>
        </w:rPr>
        <w:t>Boosting</w:t>
      </w:r>
      <w:r w:rsidRPr="003B5A3D">
        <w:rPr>
          <w:rFonts w:ascii="Arial" w:hAnsi="Arial" w:cs="Arial"/>
        </w:rPr>
        <w:t xml:space="preserve"> (GBM) que utiliza un algoritmo de aprendizaje supervisado basado en una estructura de árboles</w:t>
      </w:r>
      <w:r>
        <w:rPr>
          <w:rFonts w:ascii="Arial" w:hAnsi="Arial" w:cs="Arial"/>
        </w:rPr>
        <w:t xml:space="preserve">. </w:t>
      </w:r>
      <w:r w:rsidRPr="00490483">
        <w:rPr>
          <w:rFonts w:ascii="Arial" w:hAnsi="Arial" w:cs="Arial"/>
        </w:rPr>
        <w:t xml:space="preserve">Es de código abierto desarrollada </w:t>
      </w:r>
      <w:r w:rsidRPr="00490483">
        <w:rPr>
          <w:rFonts w:ascii="Arial" w:hAnsi="Arial" w:cs="Arial"/>
        </w:rPr>
        <w:lastRenderedPageBreak/>
        <w:t xml:space="preserve">por </w:t>
      </w:r>
      <w:r w:rsidRPr="00490483">
        <w:rPr>
          <w:rFonts w:ascii="Arial" w:hAnsi="Arial" w:cs="Arial"/>
          <w:i/>
          <w:iCs/>
        </w:rPr>
        <w:t>Microsoft</w:t>
      </w:r>
      <w:r>
        <w:rPr>
          <w:rFonts w:ascii="Arial" w:hAnsi="Arial" w:cs="Arial"/>
        </w:rPr>
        <w:t xml:space="preserve">, tal como lo describe Del Rosso (2025b). En la misma línea, Ke et al (2017) detallan que esta librería es </w:t>
      </w:r>
      <w:r w:rsidRPr="0042780F">
        <w:rPr>
          <w:rFonts w:ascii="Arial" w:hAnsi="Arial" w:cs="Arial"/>
        </w:rPr>
        <w:t>una implementación eficiente del algoritmo GBDT (</w:t>
      </w:r>
      <w:r w:rsidRPr="0042780F">
        <w:rPr>
          <w:rFonts w:ascii="Arial" w:hAnsi="Arial" w:cs="Arial"/>
          <w:i/>
          <w:iCs/>
        </w:rPr>
        <w:t>Gradient Boosting Decision Tree</w:t>
      </w:r>
      <w:r w:rsidRPr="0042780F">
        <w:rPr>
          <w:rFonts w:ascii="Arial" w:hAnsi="Arial" w:cs="Arial"/>
        </w:rPr>
        <w:t>) que incorpora dos técnicas novedosas para mejorar la eficiencia y la escalabilidad</w:t>
      </w:r>
      <w:r>
        <w:rPr>
          <w:rFonts w:ascii="Arial" w:hAnsi="Arial" w:cs="Arial"/>
        </w:rPr>
        <w:t xml:space="preserve">: </w:t>
      </w:r>
      <w:r w:rsidRPr="0042780F">
        <w:rPr>
          <w:rFonts w:ascii="Arial" w:hAnsi="Arial" w:cs="Arial"/>
          <w:i/>
          <w:iCs/>
        </w:rPr>
        <w:t>Gradient-based One-Side Sampling</w:t>
      </w:r>
      <w:r w:rsidRPr="0042780F">
        <w:rPr>
          <w:rFonts w:ascii="Arial" w:hAnsi="Arial" w:cs="Arial"/>
        </w:rPr>
        <w:t xml:space="preserve"> (GOSS)</w:t>
      </w:r>
      <w:r>
        <w:rPr>
          <w:rFonts w:ascii="Arial" w:hAnsi="Arial" w:cs="Arial"/>
        </w:rPr>
        <w:t xml:space="preserve">, la cual modifica la forma de realizar su muestreo, ya que prioriza </w:t>
      </w:r>
      <w:r w:rsidRPr="00577B49">
        <w:rPr>
          <w:rFonts w:ascii="Arial" w:hAnsi="Arial" w:cs="Arial"/>
        </w:rPr>
        <w:t>la retención de instancias con gradientes grandes</w:t>
      </w:r>
      <w:r>
        <w:rPr>
          <w:rFonts w:ascii="Arial" w:hAnsi="Arial" w:cs="Arial"/>
        </w:rPr>
        <w:t>, es decir,</w:t>
      </w:r>
      <w:r w:rsidRPr="00577B49">
        <w:rPr>
          <w:rFonts w:ascii="Arial" w:hAnsi="Arial" w:cs="Arial"/>
        </w:rPr>
        <w:t xml:space="preserve"> las que están peor entrenadas</w:t>
      </w:r>
      <w:r>
        <w:rPr>
          <w:rFonts w:ascii="Arial" w:hAnsi="Arial" w:cs="Arial"/>
        </w:rPr>
        <w:t>,</w:t>
      </w:r>
      <w:r w:rsidRPr="00577B49">
        <w:rPr>
          <w:rFonts w:ascii="Arial" w:hAnsi="Arial" w:cs="Arial"/>
        </w:rPr>
        <w:t xml:space="preserve"> y realiza un muestreo aleatorio en las instancias con gradientes pequeños</w:t>
      </w:r>
      <w:r>
        <w:rPr>
          <w:rFonts w:ascii="Arial" w:hAnsi="Arial" w:cs="Arial"/>
        </w:rPr>
        <w:t xml:space="preserve">, lo cual </w:t>
      </w:r>
      <w:r w:rsidRPr="00A077C8">
        <w:rPr>
          <w:rFonts w:ascii="Arial" w:hAnsi="Arial" w:cs="Arial"/>
        </w:rPr>
        <w:t>permite obtener una estimación precisa de la ganancia de información con un tamaño de datos mucho menor</w:t>
      </w:r>
      <w:r>
        <w:rPr>
          <w:rFonts w:ascii="Arial" w:hAnsi="Arial" w:cs="Arial"/>
        </w:rPr>
        <w:t xml:space="preserve">, y </w:t>
      </w:r>
      <w:r w:rsidRPr="00A077C8">
        <w:rPr>
          <w:rFonts w:ascii="Arial" w:hAnsi="Arial" w:cs="Arial"/>
          <w:i/>
          <w:iCs/>
        </w:rPr>
        <w:t>Exclusive Feature Bundling</w:t>
      </w:r>
      <w:r w:rsidRPr="00A077C8">
        <w:rPr>
          <w:rFonts w:ascii="Arial" w:hAnsi="Arial" w:cs="Arial"/>
        </w:rPr>
        <w:t xml:space="preserve"> (EFB)</w:t>
      </w:r>
      <w:r>
        <w:rPr>
          <w:rFonts w:ascii="Arial" w:hAnsi="Arial" w:cs="Arial"/>
        </w:rPr>
        <w:t xml:space="preserve">, la cual agrupa </w:t>
      </w:r>
      <w:r w:rsidRPr="00E06C3B">
        <w:rPr>
          <w:rFonts w:ascii="Arial" w:hAnsi="Arial" w:cs="Arial"/>
        </w:rPr>
        <w:t xml:space="preserve">características mutuamente excluyentes en una sola característica, lo que </w:t>
      </w:r>
      <w:r>
        <w:rPr>
          <w:rFonts w:ascii="Arial" w:hAnsi="Arial" w:cs="Arial"/>
        </w:rPr>
        <w:t xml:space="preserve">deriva en una </w:t>
      </w:r>
      <w:r w:rsidRPr="00E06C3B">
        <w:rPr>
          <w:rFonts w:ascii="Arial" w:hAnsi="Arial" w:cs="Arial"/>
        </w:rPr>
        <w:t>reduc</w:t>
      </w:r>
      <w:r>
        <w:rPr>
          <w:rFonts w:ascii="Arial" w:hAnsi="Arial" w:cs="Arial"/>
        </w:rPr>
        <w:t>ción de la cantidad de estas, reduciendo la dimensionalidad. Asimismo, los autores destacan la velocidad, eficiencia y precisión que ofrece esta librería en comparación con otros algoritmos de árboles.</w:t>
      </w:r>
    </w:p>
    <w:p w14:paraId="6CA54F8E" w14:textId="77777777" w:rsidR="00AC1CE2" w:rsidRDefault="00AC1CE2" w:rsidP="00AC1CE2">
      <w:pPr>
        <w:spacing w:line="360" w:lineRule="auto"/>
        <w:ind w:firstLine="720"/>
        <w:jc w:val="both"/>
        <w:rPr>
          <w:rFonts w:ascii="Arial" w:hAnsi="Arial" w:cs="Arial"/>
        </w:rPr>
      </w:pPr>
      <w:r>
        <w:rPr>
          <w:rFonts w:ascii="Arial" w:hAnsi="Arial" w:cs="Arial"/>
        </w:rPr>
        <w:t xml:space="preserve">Para el pronóstico de series temporales, la bibliografía considera de utilidad </w:t>
      </w:r>
      <w:r>
        <w:rPr>
          <w:rFonts w:ascii="Arial" w:hAnsi="Arial" w:cs="Arial"/>
          <w:i/>
          <w:iCs/>
        </w:rPr>
        <w:t>lightGBM</w:t>
      </w:r>
      <w:r>
        <w:rPr>
          <w:rFonts w:ascii="Arial" w:hAnsi="Arial" w:cs="Arial"/>
        </w:rPr>
        <w:t xml:space="preserve"> debido a su adaptabilidad a la ingeniería de características, como la incorporación de valores rezagados, ventanas móviles y transformaciones, y este, al ser un algoritmo de </w:t>
      </w:r>
      <w:r>
        <w:rPr>
          <w:rFonts w:ascii="Arial" w:hAnsi="Arial" w:cs="Arial"/>
          <w:i/>
          <w:iCs/>
        </w:rPr>
        <w:t>boosting</w:t>
      </w:r>
      <w:r>
        <w:rPr>
          <w:rFonts w:ascii="Arial" w:hAnsi="Arial" w:cs="Arial"/>
        </w:rPr>
        <w:t xml:space="preserve">, se enfoca en reducir el sesgo del modelo, lo que se considera ventajoso </w:t>
      </w:r>
      <w:r w:rsidRPr="00A97D85">
        <w:rPr>
          <w:rFonts w:ascii="Arial" w:hAnsi="Arial" w:cs="Arial"/>
        </w:rPr>
        <w:t>para capturar patrones complejos y relaciones no lineales en series temporales.</w:t>
      </w:r>
    </w:p>
    <w:p w14:paraId="074C5875" w14:textId="3697AF8C" w:rsidR="00C633A9" w:rsidRDefault="00AC1CE2" w:rsidP="00AC1CE2">
      <w:pPr>
        <w:spacing w:line="360" w:lineRule="auto"/>
        <w:ind w:firstLine="720"/>
        <w:jc w:val="both"/>
        <w:rPr>
          <w:rFonts w:ascii="Arial" w:hAnsi="Arial" w:cs="Arial"/>
        </w:rPr>
      </w:pPr>
      <w:r>
        <w:rPr>
          <w:rFonts w:ascii="Arial" w:hAnsi="Arial" w:cs="Arial"/>
        </w:rPr>
        <w:t xml:space="preserve">En la aplicación a la serie de Circulación Monetaria, </w:t>
      </w:r>
      <w:r w:rsidR="00140CF2">
        <w:rPr>
          <w:rFonts w:ascii="Arial" w:hAnsi="Arial" w:cs="Arial"/>
        </w:rPr>
        <w:t xml:space="preserve">se procedió, en primer lugar, al ordenamiento de los nombres de columnas para garantizar el correcto funcionamiento del algoritmo. En segunda instancia, </w:t>
      </w:r>
      <w:r w:rsidR="00D258B5">
        <w:rPr>
          <w:rFonts w:ascii="Arial" w:hAnsi="Arial" w:cs="Arial"/>
        </w:rPr>
        <w:t xml:space="preserve">se realizó una ingeniería de características, agregando distintas variables referentes al tiempo, es decir, </w:t>
      </w:r>
      <w:r w:rsidR="008D66E7">
        <w:rPr>
          <w:rFonts w:ascii="Arial" w:hAnsi="Arial" w:cs="Arial"/>
        </w:rPr>
        <w:t xml:space="preserve">el año, trimestre, mes, día, día de la semana, semana del año, entre otras, así como también </w:t>
      </w:r>
      <w:r w:rsidR="00544248">
        <w:rPr>
          <w:rFonts w:ascii="Arial" w:hAnsi="Arial" w:cs="Arial"/>
        </w:rPr>
        <w:t xml:space="preserve">dicotómicas indicando </w:t>
      </w:r>
      <w:r w:rsidR="004C4A1A">
        <w:rPr>
          <w:rFonts w:ascii="Arial" w:hAnsi="Arial" w:cs="Arial"/>
        </w:rPr>
        <w:t xml:space="preserve">si la fecha responde a ser el inicio de mes o bien si pertenece a fin de semana. </w:t>
      </w:r>
      <w:r w:rsidR="002206AC">
        <w:rPr>
          <w:rFonts w:ascii="Arial" w:hAnsi="Arial" w:cs="Arial"/>
        </w:rPr>
        <w:t xml:space="preserve">Además, se agregaron funciones </w:t>
      </w:r>
      <w:r w:rsidR="008D4E65">
        <w:rPr>
          <w:rFonts w:ascii="Arial" w:hAnsi="Arial" w:cs="Arial"/>
        </w:rPr>
        <w:t xml:space="preserve">seno y coseno para crear </w:t>
      </w:r>
      <w:r w:rsidR="008D4E65" w:rsidRPr="008D4E65">
        <w:rPr>
          <w:rFonts w:ascii="Arial" w:hAnsi="Arial" w:cs="Arial"/>
        </w:rPr>
        <w:t>una representación circular que muestra la proximidad de los meses de forma más precisa</w:t>
      </w:r>
      <w:r w:rsidR="00436B80">
        <w:rPr>
          <w:rFonts w:ascii="Arial" w:hAnsi="Arial" w:cs="Arial"/>
        </w:rPr>
        <w:t xml:space="preserve"> evitando </w:t>
      </w:r>
      <w:r w:rsidR="00436B80" w:rsidRPr="00436B80">
        <w:rPr>
          <w:rFonts w:ascii="Arial" w:hAnsi="Arial" w:cs="Arial"/>
        </w:rPr>
        <w:t>la limitación de que el modelo interprete que, por ejemplo, el mes 12 está muy alejado del mes 1</w:t>
      </w:r>
      <w:r w:rsidR="00436B80">
        <w:rPr>
          <w:rFonts w:ascii="Arial" w:hAnsi="Arial" w:cs="Arial"/>
        </w:rPr>
        <w:t>.</w:t>
      </w:r>
      <w:r w:rsidR="00833309">
        <w:rPr>
          <w:rFonts w:ascii="Arial" w:hAnsi="Arial" w:cs="Arial"/>
        </w:rPr>
        <w:t xml:space="preserve"> </w:t>
      </w:r>
      <w:r w:rsidR="00436B80">
        <w:rPr>
          <w:rFonts w:ascii="Arial" w:hAnsi="Arial" w:cs="Arial"/>
        </w:rPr>
        <w:t xml:space="preserve">A continuación, se incorporaron más variables, en referencia a </w:t>
      </w:r>
      <w:r w:rsidR="00901FC8">
        <w:rPr>
          <w:rFonts w:ascii="Arial" w:hAnsi="Arial" w:cs="Arial"/>
        </w:rPr>
        <w:t>distintos rezagos sobre algunas variables relevantes</w:t>
      </w:r>
      <w:r w:rsidR="00E87C53">
        <w:rPr>
          <w:rFonts w:ascii="Arial" w:hAnsi="Arial" w:cs="Arial"/>
        </w:rPr>
        <w:t xml:space="preserve">. También, se agregaron medias, desvíos y medianas móviles </w:t>
      </w:r>
      <w:r w:rsidR="00162C90">
        <w:rPr>
          <w:rFonts w:ascii="Arial" w:hAnsi="Arial" w:cs="Arial"/>
        </w:rPr>
        <w:t xml:space="preserve">para capturar </w:t>
      </w:r>
      <w:r w:rsidR="00162C90" w:rsidRPr="00162C90">
        <w:rPr>
          <w:rFonts w:ascii="Arial" w:hAnsi="Arial" w:cs="Arial"/>
        </w:rPr>
        <w:t>tendencia y la volatilidad reciente de las variables</w:t>
      </w:r>
      <w:r w:rsidR="00162C90">
        <w:rPr>
          <w:rFonts w:ascii="Arial" w:hAnsi="Arial" w:cs="Arial"/>
        </w:rPr>
        <w:t xml:space="preserve">. </w:t>
      </w:r>
      <w:r w:rsidR="004F2B6F">
        <w:rPr>
          <w:rFonts w:ascii="Arial" w:hAnsi="Arial" w:cs="Arial"/>
        </w:rPr>
        <w:t xml:space="preserve">Posteriormente, y en búsqueda de asegurar el correcto funcionamiento del modelo, </w:t>
      </w:r>
      <w:r w:rsidR="00DD7940">
        <w:rPr>
          <w:rFonts w:ascii="Arial" w:hAnsi="Arial" w:cs="Arial"/>
        </w:rPr>
        <w:t xml:space="preserve">se agregan fechas y completan con valores anteriores o posteriores, según corresponda, </w:t>
      </w:r>
      <w:r w:rsidR="00C633A9">
        <w:rPr>
          <w:rFonts w:ascii="Arial" w:hAnsi="Arial" w:cs="Arial"/>
        </w:rPr>
        <w:t>en cada variable.</w:t>
      </w:r>
      <w:r w:rsidR="00FD6B0F">
        <w:rPr>
          <w:rFonts w:ascii="Arial" w:hAnsi="Arial" w:cs="Arial"/>
        </w:rPr>
        <w:t xml:space="preserve"> </w:t>
      </w:r>
      <w:r w:rsidR="00C633A9">
        <w:rPr>
          <w:rFonts w:ascii="Arial" w:hAnsi="Arial" w:cs="Arial"/>
        </w:rPr>
        <w:t xml:space="preserve">De manera siguiente, </w:t>
      </w:r>
      <w:r w:rsidR="00D57829">
        <w:rPr>
          <w:rFonts w:ascii="Arial" w:hAnsi="Arial" w:cs="Arial"/>
        </w:rPr>
        <w:t>y debido a la dispersión que tiene una variable económica durante tanto tiempo en Argentina, donde la inflación distorsiona la nominalidad, se transformó la variable objetivo a logaritmo,</w:t>
      </w:r>
      <w:r w:rsidR="00FC0F8D">
        <w:rPr>
          <w:rFonts w:ascii="Arial" w:hAnsi="Arial" w:cs="Arial"/>
        </w:rPr>
        <w:t xml:space="preserve"> creándose una nueva variable, estabilizando la varianza y reduciendo el espectro de valores.</w:t>
      </w:r>
    </w:p>
    <w:p w14:paraId="63667007" w14:textId="7070FFA0" w:rsidR="00FD6B0F" w:rsidRDefault="00FD6B0F" w:rsidP="00AC1CE2">
      <w:pPr>
        <w:spacing w:line="360" w:lineRule="auto"/>
        <w:ind w:firstLine="720"/>
        <w:jc w:val="both"/>
        <w:rPr>
          <w:rFonts w:ascii="Arial" w:hAnsi="Arial" w:cs="Arial"/>
        </w:rPr>
      </w:pPr>
      <w:r>
        <w:rPr>
          <w:rFonts w:ascii="Arial" w:hAnsi="Arial" w:cs="Arial"/>
        </w:rPr>
        <w:t xml:space="preserve">Una vez obtenido el conjunto de datos para ejecutar el modelo predictivo, </w:t>
      </w:r>
      <w:r w:rsidR="00CA3097">
        <w:rPr>
          <w:rFonts w:ascii="Arial" w:hAnsi="Arial" w:cs="Arial"/>
        </w:rPr>
        <w:t xml:space="preserve">se realizó la separación de datos, donde el conjunto de entrenamiento utilizó valores desde la primera fecha, </w:t>
      </w:r>
      <w:r w:rsidR="00B36004">
        <w:rPr>
          <w:rFonts w:ascii="Arial" w:hAnsi="Arial" w:cs="Arial"/>
        </w:rPr>
        <w:t xml:space="preserve">1 de enero de 2003 y hasta el 30 de junio de 2024, y el conjunto de prueba el último año disponible, </w:t>
      </w:r>
      <w:r w:rsidR="00B36004">
        <w:rPr>
          <w:rFonts w:ascii="Arial" w:hAnsi="Arial" w:cs="Arial"/>
        </w:rPr>
        <w:lastRenderedPageBreak/>
        <w:t xml:space="preserve">del 1 de julio de 2024 al 30 de junio de 2025. </w:t>
      </w:r>
      <w:r w:rsidR="00721D4A">
        <w:rPr>
          <w:rFonts w:ascii="Arial" w:hAnsi="Arial" w:cs="Arial"/>
        </w:rPr>
        <w:t xml:space="preserve">Sobre la extensión de la serie es importante enfatizar que, al tratarse de una variable a la cual le impactan distintos componentes exógenos, su tendencia no es lineal, y como el algoritmo de árboles no fue creado para ello, se decidió combinar una regresión polinómica, para modelar la tendencia de la serie, junto con el </w:t>
      </w:r>
      <w:r w:rsidR="00721D4A">
        <w:rPr>
          <w:rFonts w:ascii="Arial" w:hAnsi="Arial" w:cs="Arial"/>
          <w:i/>
          <w:iCs/>
        </w:rPr>
        <w:t>LightGBM</w:t>
      </w:r>
      <w:r w:rsidR="00721D4A">
        <w:rPr>
          <w:rFonts w:ascii="Arial" w:hAnsi="Arial" w:cs="Arial"/>
        </w:rPr>
        <w:t xml:space="preserve"> para modelar los residuos, por lo que el grado del polinomio con </w:t>
      </w:r>
      <w:r w:rsidR="003B2242">
        <w:rPr>
          <w:rFonts w:ascii="Arial" w:hAnsi="Arial" w:cs="Arial"/>
        </w:rPr>
        <w:t xml:space="preserve">mejor interpretación de la tendencia resulto ser de cuarto grado. Como es posible observar en la Figura </w:t>
      </w:r>
      <w:r w:rsidR="00BA34ED" w:rsidRPr="00BA34ED">
        <w:rPr>
          <w:rFonts w:ascii="Arial" w:hAnsi="Arial" w:cs="Arial"/>
          <w:highlight w:val="yellow"/>
        </w:rPr>
        <w:t>X</w:t>
      </w:r>
      <w:r w:rsidR="003B2242">
        <w:rPr>
          <w:rFonts w:ascii="Arial" w:hAnsi="Arial" w:cs="Arial"/>
        </w:rPr>
        <w:t xml:space="preserve">, </w:t>
      </w:r>
      <w:r w:rsidR="00746334">
        <w:rPr>
          <w:rFonts w:ascii="Arial" w:hAnsi="Arial" w:cs="Arial"/>
        </w:rPr>
        <w:t>esta regresión polinómica captura muy bien la tendencia de la serie a lo largo de todo el período observado.</w:t>
      </w:r>
    </w:p>
    <w:p w14:paraId="2EB2789B" w14:textId="3B8F1F6A" w:rsidR="00A462D2" w:rsidRDefault="00D46C16" w:rsidP="001637EE">
      <w:pPr>
        <w:spacing w:line="360" w:lineRule="auto"/>
        <w:jc w:val="both"/>
        <w:rPr>
          <w:rFonts w:ascii="Arial" w:hAnsi="Arial" w:cs="Arial"/>
        </w:rPr>
      </w:pPr>
      <w:r>
        <w:rPr>
          <w:noProof/>
        </w:rPr>
        <w:drawing>
          <wp:inline distT="0" distB="0" distL="0" distR="0" wp14:anchorId="5A225F29" wp14:editId="650963EA">
            <wp:extent cx="6188710" cy="2451100"/>
            <wp:effectExtent l="0" t="0" r="2540" b="6350"/>
            <wp:docPr id="10110778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77884" name="Imagen 1" descr="Gráfico, Gráfico de líneas&#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451100"/>
                    </a:xfrm>
                    <a:prstGeom prst="rect">
                      <a:avLst/>
                    </a:prstGeom>
                    <a:noFill/>
                    <a:ln>
                      <a:noFill/>
                    </a:ln>
                  </pic:spPr>
                </pic:pic>
              </a:graphicData>
            </a:graphic>
          </wp:inline>
        </w:drawing>
      </w:r>
    </w:p>
    <w:p w14:paraId="1E429E84" w14:textId="3DF01080" w:rsidR="00C2450B" w:rsidRDefault="00CF76F0" w:rsidP="00AC1CE2">
      <w:pPr>
        <w:spacing w:line="360" w:lineRule="auto"/>
        <w:ind w:firstLine="720"/>
        <w:jc w:val="both"/>
        <w:rPr>
          <w:rFonts w:ascii="Arial" w:hAnsi="Arial" w:cs="Arial"/>
        </w:rPr>
      </w:pPr>
      <w:r>
        <w:rPr>
          <w:rFonts w:ascii="Arial" w:hAnsi="Arial" w:cs="Arial"/>
        </w:rPr>
        <w:t>Atento a lo expuesto, la ecuación de este polinomio está determinada por</w:t>
      </w:r>
      <w:r w:rsidR="00FB5522">
        <w:rPr>
          <w:rFonts w:ascii="Arial" w:hAnsi="Arial" w:cs="Arial"/>
        </w:rPr>
        <w:t>:</w:t>
      </w:r>
    </w:p>
    <w:p w14:paraId="1FB4D5DF" w14:textId="5FD06C09" w:rsidR="00C2450B" w:rsidRDefault="004F7C8F" w:rsidP="00C2450B">
      <w:pPr>
        <w:spacing w:line="360" w:lineRule="auto"/>
        <w:jc w:val="center"/>
        <w:rPr>
          <w:rFonts w:ascii="Arial" w:hAnsi="Arial" w:cs="Arial"/>
        </w:rPr>
      </w:pPr>
      <m:oMath>
        <m:r>
          <w:rPr>
            <w:rFonts w:ascii="Cambria Math" w:hAnsi="Cambria Math" w:cs="Arial"/>
          </w:rPr>
          <m:t>y=0,000000000000005</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-0,000000000069517</m:t>
        </m:r>
        <m:sSup>
          <m:sSupPr>
            <m:ctrlPr>
              <w:rPr>
                <w:rFonts w:ascii="Cambria Math" w:hAnsi="Cambria Math" w:cs="Arial"/>
                <w:i/>
              </w:rPr>
            </m:ctrlPr>
          </m:sSupPr>
          <m:e>
            <m:r>
              <w:rPr>
                <w:rFonts w:ascii="Cambria Math" w:hAnsi="Cambria Math" w:cs="Arial"/>
              </w:rPr>
              <m:t>x</m:t>
            </m:r>
          </m:e>
          <m:sup>
            <m:r>
              <w:rPr>
                <w:rFonts w:ascii="Cambria Math" w:hAnsi="Cambria Math" w:cs="Arial"/>
              </w:rPr>
              <m:t>3</m:t>
            </m:r>
          </m:sup>
        </m:sSup>
        <m:r>
          <w:rPr>
            <w:rFonts w:ascii="Cambria Math" w:hAnsi="Cambria Math" w:cs="Arial"/>
          </w:rPr>
          <m:t>+0,000000340000318</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+0,000000000170559x+10,2526</m:t>
        </m:r>
      </m:oMath>
      <w:r w:rsidR="00F1727B">
        <w:rPr>
          <w:rFonts w:ascii="Arial" w:hAnsi="Arial" w:cs="Arial"/>
        </w:rPr>
        <w:t>,</w:t>
      </w:r>
    </w:p>
    <w:p w14:paraId="57722F4D" w14:textId="2B74A5BC" w:rsidR="00072D72" w:rsidRDefault="00072D72" w:rsidP="00AC1CE2">
      <w:pPr>
        <w:spacing w:line="360" w:lineRule="auto"/>
        <w:ind w:firstLine="720"/>
        <w:jc w:val="both"/>
        <w:rPr>
          <w:rFonts w:ascii="Arial" w:hAnsi="Arial" w:cs="Arial"/>
        </w:rPr>
      </w:pPr>
      <w:r>
        <w:rPr>
          <w:rFonts w:ascii="Arial" w:hAnsi="Arial" w:cs="Arial"/>
        </w:rPr>
        <w:t xml:space="preserve">donde </w:t>
      </w:r>
      <m:oMath>
        <m:r>
          <w:rPr>
            <w:rFonts w:ascii="Cambria Math" w:hAnsi="Cambria Math" w:cs="Arial"/>
          </w:rPr>
          <m:t>x</m:t>
        </m:r>
      </m:oMath>
      <w:r>
        <w:rPr>
          <w:rFonts w:ascii="Arial" w:hAnsi="Arial" w:cs="Arial"/>
        </w:rPr>
        <w:t xml:space="preserve"> representa el tiempo, comenzando por </w:t>
      </w:r>
      <w:r w:rsidR="003819D9">
        <w:rPr>
          <w:rFonts w:ascii="Arial" w:hAnsi="Arial" w:cs="Arial"/>
        </w:rPr>
        <w:t xml:space="preserve">0 en la primera fecha y aumentando en 1 por cada día sucesivo, e </w:t>
      </w:r>
      <m:oMath>
        <m:r>
          <w:rPr>
            <w:rFonts w:ascii="Cambria Math" w:hAnsi="Cambria Math" w:cs="Arial"/>
          </w:rPr>
          <m:t>y</m:t>
        </m:r>
      </m:oMath>
      <w:r w:rsidR="003819D9">
        <w:rPr>
          <w:rFonts w:ascii="Arial" w:hAnsi="Arial" w:cs="Arial"/>
        </w:rPr>
        <w:t xml:space="preserve"> representa el</w:t>
      </w:r>
      <w:r w:rsidR="00B819A2">
        <w:rPr>
          <w:rFonts w:ascii="Arial" w:hAnsi="Arial" w:cs="Arial"/>
        </w:rPr>
        <w:t xml:space="preserve"> valor del logaritmo de la Circulación Monetaria a lo largo del tiempo.</w:t>
      </w:r>
    </w:p>
    <w:p w14:paraId="42B66F54" w14:textId="32D95A83" w:rsidR="00A462D2" w:rsidRDefault="00A462D2" w:rsidP="00AC1CE2">
      <w:pPr>
        <w:spacing w:line="360" w:lineRule="auto"/>
        <w:ind w:firstLine="720"/>
        <w:jc w:val="both"/>
        <w:rPr>
          <w:rFonts w:ascii="Arial" w:hAnsi="Arial" w:cs="Arial"/>
        </w:rPr>
      </w:pPr>
      <w:r>
        <w:rPr>
          <w:rFonts w:ascii="Arial" w:hAnsi="Arial" w:cs="Arial"/>
        </w:rPr>
        <w:t xml:space="preserve">Cabe mencionar que fueron probados polinomios de primero, segundo, tercero, quinto y sexto grado, los cuales no resultaron de utilidad para el modelado de la tendencia debido a distintos motivos, generalmente explosivos, </w:t>
      </w:r>
      <w:r w:rsidR="00341F68">
        <w:rPr>
          <w:rFonts w:ascii="Arial" w:hAnsi="Arial" w:cs="Arial"/>
        </w:rPr>
        <w:t xml:space="preserve">divergentes y alejados de lo resultante con el polinomio de grado 4. No se han incorporado cada prueba para no extender </w:t>
      </w:r>
      <w:r w:rsidR="00400A45">
        <w:rPr>
          <w:rFonts w:ascii="Arial" w:hAnsi="Arial" w:cs="Arial"/>
        </w:rPr>
        <w:t>el desarrollo.</w:t>
      </w:r>
    </w:p>
    <w:p w14:paraId="52EFEB23" w14:textId="67F90FC8" w:rsidR="00400A45" w:rsidRPr="00721D4A" w:rsidRDefault="00A246D0" w:rsidP="00AC1CE2">
      <w:pPr>
        <w:spacing w:line="360" w:lineRule="auto"/>
        <w:ind w:firstLine="720"/>
        <w:jc w:val="both"/>
        <w:rPr>
          <w:rFonts w:ascii="Arial" w:hAnsi="Arial" w:cs="Arial"/>
        </w:rPr>
      </w:pPr>
      <w:r>
        <w:rPr>
          <w:rFonts w:ascii="Arial" w:hAnsi="Arial" w:cs="Arial"/>
        </w:rPr>
        <w:t>Regresando</w:t>
      </w:r>
      <w:r w:rsidR="00400A45">
        <w:rPr>
          <w:rFonts w:ascii="Arial" w:hAnsi="Arial" w:cs="Arial"/>
        </w:rPr>
        <w:t xml:space="preserve"> al modelado de la variable a pronosticar, </w:t>
      </w:r>
      <w:r w:rsidR="00337974">
        <w:rPr>
          <w:rFonts w:ascii="Arial" w:hAnsi="Arial" w:cs="Arial"/>
        </w:rPr>
        <w:t xml:space="preserve">se incorporaron veinte columnas con ruido aleatorio y, a través de la importancia de variables, se </w:t>
      </w:r>
      <w:r w:rsidR="007B64D7">
        <w:rPr>
          <w:rFonts w:ascii="Arial" w:hAnsi="Arial" w:cs="Arial"/>
        </w:rPr>
        <w:t>eliminaron todas aquellas columnas que no representaran mayor importancia para la selección del modelo que el mejor de estas veinte variables aleatorias</w:t>
      </w:r>
      <w:r w:rsidR="001849C3">
        <w:rPr>
          <w:rFonts w:ascii="Arial" w:hAnsi="Arial" w:cs="Arial"/>
        </w:rPr>
        <w:t xml:space="preserve">, resultando el conjunto final en </w:t>
      </w:r>
      <w:r w:rsidR="001849C3" w:rsidRPr="001849C3">
        <w:rPr>
          <w:rFonts w:ascii="Arial" w:hAnsi="Arial" w:cs="Arial"/>
          <w:highlight w:val="yellow"/>
        </w:rPr>
        <w:t>X</w:t>
      </w:r>
      <w:r w:rsidR="001849C3">
        <w:rPr>
          <w:rFonts w:ascii="Arial" w:hAnsi="Arial" w:cs="Arial"/>
        </w:rPr>
        <w:t xml:space="preserve"> variables </w:t>
      </w:r>
      <w:r w:rsidR="00143456">
        <w:rPr>
          <w:rFonts w:ascii="Arial" w:hAnsi="Arial" w:cs="Arial"/>
        </w:rPr>
        <w:t xml:space="preserve">para el entrenamiento y utilización del predictor. </w:t>
      </w:r>
      <w:r>
        <w:rPr>
          <w:rFonts w:ascii="Arial" w:hAnsi="Arial" w:cs="Arial"/>
        </w:rPr>
        <w:t xml:space="preserve">Y, a continuación, </w:t>
      </w:r>
      <w:r w:rsidR="00D82E7B">
        <w:rPr>
          <w:rFonts w:ascii="Arial" w:hAnsi="Arial" w:cs="Arial"/>
        </w:rPr>
        <w:t xml:space="preserve">se realizó una optimización bayesiana de los hiperparámetros del modelo final a utilizar, mediante validación cruzada </w:t>
      </w:r>
      <w:r w:rsidR="000D17F9">
        <w:rPr>
          <w:rFonts w:ascii="Arial" w:hAnsi="Arial" w:cs="Arial"/>
        </w:rPr>
        <w:t xml:space="preserve">y buscando la minimización de la raíz del error cuadrático </w:t>
      </w:r>
      <w:r w:rsidR="000D17F9">
        <w:rPr>
          <w:rFonts w:ascii="Arial" w:hAnsi="Arial" w:cs="Arial"/>
        </w:rPr>
        <w:lastRenderedPageBreak/>
        <w:t xml:space="preserve">medio, guardando el resultado de esta optimización en una base de datos, la cual </w:t>
      </w:r>
      <w:r w:rsidR="00855215">
        <w:rPr>
          <w:rFonts w:ascii="Arial" w:hAnsi="Arial" w:cs="Arial"/>
        </w:rPr>
        <w:t>es llamada durante el proceso para evitar la repetición de la optimización constantemente. Finalmente, se seleccionó el mejor conjunto de hiperparámetros para el entrenamiento del modelo final</w:t>
      </w:r>
      <w:r w:rsidR="0050217D">
        <w:rPr>
          <w:rFonts w:ascii="Arial" w:hAnsi="Arial" w:cs="Arial"/>
        </w:rPr>
        <w:t xml:space="preserve">, y se realizó la predicción </w:t>
      </w:r>
      <w:r w:rsidR="00662B3C">
        <w:rPr>
          <w:rFonts w:ascii="Arial" w:hAnsi="Arial" w:cs="Arial"/>
        </w:rPr>
        <w:t xml:space="preserve">sobre el logaritmo de la variable </w:t>
      </w:r>
      <w:r w:rsidR="0050217D">
        <w:rPr>
          <w:rFonts w:ascii="Arial" w:hAnsi="Arial" w:cs="Arial"/>
        </w:rPr>
        <w:t xml:space="preserve">contra el conjunto de prueba con este modelo entrenado. </w:t>
      </w:r>
      <w:r w:rsidR="00662B3C">
        <w:rPr>
          <w:rFonts w:ascii="Arial" w:hAnsi="Arial" w:cs="Arial"/>
        </w:rPr>
        <w:t xml:space="preserve">En siguiente instancia, se reconstruye la predicción sobre los valores reales, </w:t>
      </w:r>
      <w:r w:rsidR="004F59DB">
        <w:rPr>
          <w:rFonts w:ascii="Arial" w:hAnsi="Arial" w:cs="Arial"/>
        </w:rPr>
        <w:t xml:space="preserve">y se obtuvieron las métricas del rendimiento del modelo y, como es visible en la Figura </w:t>
      </w:r>
      <w:r w:rsidR="00BA34ED" w:rsidRPr="00BA34ED">
        <w:rPr>
          <w:rFonts w:ascii="Arial" w:hAnsi="Arial" w:cs="Arial"/>
          <w:highlight w:val="yellow"/>
        </w:rPr>
        <w:t>X</w:t>
      </w:r>
      <w:r w:rsidR="004F59DB">
        <w:rPr>
          <w:rFonts w:ascii="Arial" w:hAnsi="Arial" w:cs="Arial"/>
        </w:rPr>
        <w:t xml:space="preserve">, </w:t>
      </w:r>
      <w:r w:rsidR="0079461A">
        <w:rPr>
          <w:rFonts w:ascii="Arial" w:hAnsi="Arial" w:cs="Arial"/>
        </w:rPr>
        <w:t>el pronóstico realizado y la dinámica real de la Circulación Monetaria.</w:t>
      </w:r>
    </w:p>
    <w:p w14:paraId="1CE9FC5D" w14:textId="0B796848" w:rsidR="00AC1CE2" w:rsidRDefault="00116877" w:rsidP="00530482">
      <w:pPr>
        <w:spacing w:line="360" w:lineRule="auto"/>
        <w:jc w:val="both"/>
        <w:rPr>
          <w:rFonts w:ascii="Arial" w:hAnsi="Arial" w:cs="Arial"/>
        </w:rPr>
      </w:pPr>
      <w:r w:rsidRPr="00116877">
        <w:rPr>
          <w:noProof/>
          <w:highlight w:val="yellow"/>
        </w:rPr>
        <w:t xml:space="preserve">Figura </w:t>
      </w:r>
      <w:r w:rsidR="00BA34ED" w:rsidRPr="00BA34ED">
        <w:rPr>
          <w:noProof/>
          <w:highlight w:val="yellow"/>
        </w:rPr>
        <w:t>X</w:t>
      </w:r>
    </w:p>
    <w:p w14:paraId="2528F3C0" w14:textId="45508C23" w:rsidR="009602D1" w:rsidRDefault="00602F12" w:rsidP="00AC1CE2">
      <w:pPr>
        <w:spacing w:line="360" w:lineRule="auto"/>
        <w:ind w:firstLine="720"/>
        <w:jc w:val="both"/>
        <w:rPr>
          <w:rFonts w:ascii="Arial" w:hAnsi="Arial" w:cs="Arial"/>
        </w:rPr>
      </w:pPr>
      <w:r w:rsidRPr="006662D4">
        <w:rPr>
          <w:rFonts w:ascii="Arial" w:hAnsi="Arial" w:cs="Arial"/>
          <w:highlight w:val="yellow"/>
        </w:rPr>
        <w:t xml:space="preserve">Las métricas del modelo arrojan </w:t>
      </w:r>
      <w:r w:rsidR="00A05484" w:rsidRPr="006662D4">
        <w:rPr>
          <w:rFonts w:ascii="Arial" w:hAnsi="Arial" w:cs="Arial"/>
          <w:highlight w:val="yellow"/>
        </w:rPr>
        <w:t>un error promedio ponderado de $</w:t>
      </w:r>
      <w:r w:rsidR="00FE037E" w:rsidRPr="006662D4">
        <w:rPr>
          <w:rFonts w:ascii="Arial" w:hAnsi="Arial" w:cs="Arial"/>
          <w:highlight w:val="yellow"/>
        </w:rPr>
        <w:t xml:space="preserve"> 1,007</w:t>
      </w:r>
      <w:r w:rsidR="00A05484" w:rsidRPr="006662D4">
        <w:rPr>
          <w:rFonts w:ascii="Arial" w:hAnsi="Arial" w:cs="Arial"/>
          <w:highlight w:val="yellow"/>
        </w:rPr>
        <w:t xml:space="preserve"> billones, </w:t>
      </w:r>
      <w:r w:rsidR="00E950F9" w:rsidRPr="006662D4">
        <w:rPr>
          <w:rFonts w:ascii="Arial" w:hAnsi="Arial" w:cs="Arial"/>
          <w:highlight w:val="yellow"/>
        </w:rPr>
        <w:t>el error absoluto medio alcanza los $</w:t>
      </w:r>
      <w:r w:rsidR="00091A28" w:rsidRPr="006662D4">
        <w:rPr>
          <w:rFonts w:ascii="Arial" w:hAnsi="Arial" w:cs="Arial"/>
          <w:highlight w:val="yellow"/>
        </w:rPr>
        <w:t xml:space="preserve"> 752,1</w:t>
      </w:r>
      <w:r w:rsidR="00E950F9" w:rsidRPr="006662D4">
        <w:rPr>
          <w:rFonts w:ascii="Arial" w:hAnsi="Arial" w:cs="Arial"/>
          <w:highlight w:val="yellow"/>
        </w:rPr>
        <w:t xml:space="preserve"> </w:t>
      </w:r>
      <w:r w:rsidR="00091A28" w:rsidRPr="006662D4">
        <w:rPr>
          <w:rFonts w:ascii="Arial" w:hAnsi="Arial" w:cs="Arial"/>
          <w:highlight w:val="yellow"/>
        </w:rPr>
        <w:t>mil m</w:t>
      </w:r>
      <w:r w:rsidR="00E950F9" w:rsidRPr="006662D4">
        <w:rPr>
          <w:rFonts w:ascii="Arial" w:hAnsi="Arial" w:cs="Arial"/>
          <w:highlight w:val="yellow"/>
        </w:rPr>
        <w:t xml:space="preserve">illones y el promedio de los errores respecto de los valores reales representan el </w:t>
      </w:r>
      <w:r w:rsidR="00091A28" w:rsidRPr="006662D4">
        <w:rPr>
          <w:rFonts w:ascii="Arial" w:hAnsi="Arial" w:cs="Arial"/>
          <w:highlight w:val="yellow"/>
        </w:rPr>
        <w:t>4,37</w:t>
      </w:r>
      <w:r w:rsidR="00E950F9" w:rsidRPr="006662D4">
        <w:rPr>
          <w:rFonts w:ascii="Arial" w:hAnsi="Arial" w:cs="Arial"/>
          <w:highlight w:val="yellow"/>
        </w:rPr>
        <w:t>%.</w:t>
      </w:r>
    </w:p>
    <w:p w14:paraId="3470B571" w14:textId="58EC2E89" w:rsidR="2BA436E4" w:rsidRPr="00AF4927" w:rsidRDefault="2BA436E4" w:rsidP="2BA436E4">
      <w:pPr>
        <w:spacing w:line="360" w:lineRule="auto"/>
        <w:jc w:val="both"/>
        <w:rPr>
          <w:rFonts w:ascii="Arial" w:hAnsi="Arial" w:cs="Arial"/>
          <w:highlight w:val="yellow"/>
        </w:rPr>
      </w:pPr>
    </w:p>
    <w:p w14:paraId="35639182" w14:textId="6B1F08D1" w:rsidR="0313F0A7" w:rsidRPr="002A37ED" w:rsidRDefault="00077D2B" w:rsidP="001268AC">
      <w:pPr>
        <w:pStyle w:val="Ttulo2"/>
      </w:pPr>
      <w:bookmarkStart w:id="13" w:name="_Toc205652121"/>
      <w:r w:rsidRPr="001D3E5A">
        <w:rPr>
          <w:highlight w:val="yellow"/>
        </w:rPr>
        <w:t xml:space="preserve">Modelo </w:t>
      </w:r>
      <w:r w:rsidR="001D3E5A" w:rsidRPr="001D3E5A">
        <w:rPr>
          <w:highlight w:val="yellow"/>
        </w:rPr>
        <w:t>7</w:t>
      </w:r>
      <w:r w:rsidR="001A7F35" w:rsidRPr="001D3E5A">
        <w:rPr>
          <w:highlight w:val="yellow"/>
        </w:rPr>
        <w:t xml:space="preserve"> – </w:t>
      </w:r>
      <w:r w:rsidR="00AC1CE2" w:rsidRPr="001D3E5A">
        <w:rPr>
          <w:i/>
          <w:iCs/>
          <w:highlight w:val="yellow"/>
        </w:rPr>
        <w:t>Time–series Dense Encoder</w:t>
      </w:r>
      <w:r w:rsidR="00AC1CE2" w:rsidRPr="001D3E5A">
        <w:rPr>
          <w:highlight w:val="yellow"/>
        </w:rPr>
        <w:t xml:space="preserve"> (TiDE)</w:t>
      </w:r>
      <w:bookmarkEnd w:id="13"/>
    </w:p>
    <w:p w14:paraId="35C37B02" w14:textId="77777777" w:rsidR="00AC1CE2" w:rsidRDefault="00AC1CE2" w:rsidP="00AC1CE2">
      <w:pPr>
        <w:spacing w:line="360" w:lineRule="auto"/>
        <w:ind w:firstLine="720"/>
        <w:jc w:val="both"/>
        <w:rPr>
          <w:rFonts w:ascii="Arial" w:hAnsi="Arial" w:cs="Arial"/>
        </w:rPr>
      </w:pPr>
      <w:r>
        <w:rPr>
          <w:rFonts w:ascii="Arial" w:hAnsi="Arial" w:cs="Arial"/>
        </w:rPr>
        <w:t>En D</w:t>
      </w:r>
      <w:r w:rsidRPr="00B80BB1">
        <w:rPr>
          <w:rFonts w:ascii="Arial" w:hAnsi="Arial" w:cs="Arial"/>
        </w:rPr>
        <w:t>a</w:t>
      </w:r>
      <w:r>
        <w:rPr>
          <w:rFonts w:ascii="Arial" w:hAnsi="Arial" w:cs="Arial"/>
        </w:rPr>
        <w:t xml:space="preserve">s et al (2024), los autores desarrollan la creación del modelo TiDE, de aprendizaje profundo para la previsión de series temporales a largo plazo. Es un modelo basado en </w:t>
      </w:r>
      <w:r w:rsidRPr="00114B54">
        <w:rPr>
          <w:rFonts w:ascii="Arial" w:hAnsi="Arial" w:cs="Arial"/>
          <w:i/>
          <w:iCs/>
        </w:rPr>
        <w:t>Multi-layer Perceptrons</w:t>
      </w:r>
      <w:r w:rsidRPr="00114B54">
        <w:rPr>
          <w:rFonts w:ascii="Arial" w:hAnsi="Arial" w:cs="Arial"/>
        </w:rPr>
        <w:t xml:space="preserve"> (MLP)</w:t>
      </w:r>
      <w:r>
        <w:rPr>
          <w:rFonts w:ascii="Arial" w:hAnsi="Arial" w:cs="Arial"/>
        </w:rPr>
        <w:t xml:space="preserve">, lo que lo hace muy </w:t>
      </w:r>
      <w:r w:rsidRPr="00114B54">
        <w:rPr>
          <w:rFonts w:ascii="Arial" w:hAnsi="Arial" w:cs="Arial"/>
        </w:rPr>
        <w:t>simple y eficiente, sin mecanismos de auto-atención, recurrentes o convolucionales que se encuentran en otros modelos</w:t>
      </w:r>
      <w:r>
        <w:rPr>
          <w:rFonts w:ascii="Arial" w:hAnsi="Arial" w:cs="Arial"/>
        </w:rPr>
        <w:t>,</w:t>
      </w:r>
      <w:r w:rsidRPr="00114B54">
        <w:rPr>
          <w:rFonts w:ascii="Arial" w:hAnsi="Arial" w:cs="Arial"/>
        </w:rPr>
        <w:t xml:space="preserve"> como los </w:t>
      </w:r>
      <w:r w:rsidRPr="00114B54">
        <w:rPr>
          <w:rFonts w:ascii="Arial" w:hAnsi="Arial" w:cs="Arial"/>
          <w:i/>
          <w:iCs/>
        </w:rPr>
        <w:t>Transformers</w:t>
      </w:r>
      <w:r>
        <w:rPr>
          <w:rFonts w:ascii="Arial" w:hAnsi="Arial" w:cs="Arial"/>
        </w:rPr>
        <w:t xml:space="preserve">. Entre sus capacidades, destacan que el modelo combina la simplicidad y velocidad de modelos lineales, al tiempo que </w:t>
      </w:r>
      <w:r w:rsidRPr="00E961E5">
        <w:rPr>
          <w:rFonts w:ascii="Arial" w:hAnsi="Arial" w:cs="Arial"/>
        </w:rPr>
        <w:t>es capaz de manejar covariables y dependencias no lineales</w:t>
      </w:r>
      <w:r>
        <w:rPr>
          <w:rFonts w:ascii="Arial" w:hAnsi="Arial" w:cs="Arial"/>
        </w:rPr>
        <w:t>. Asimismo, enfatizan en que este modelo es eficaz en el pronóstico a largo plazo, de hasta 720 pasos, aproximadamente. Finalmente, estos hacen hincapié en que, para una previsión precisa, es importante contar con presencia de covariables por sobre la búsqueda de un número óptimo de variables.</w:t>
      </w:r>
    </w:p>
    <w:p w14:paraId="72AF4DC6" w14:textId="2D197539" w:rsidR="00E2314A" w:rsidRDefault="00AC1CE2" w:rsidP="00AC1CE2">
      <w:pPr>
        <w:spacing w:line="360" w:lineRule="auto"/>
        <w:ind w:firstLine="720"/>
        <w:jc w:val="both"/>
        <w:rPr>
          <w:rFonts w:ascii="Arial" w:hAnsi="Arial" w:cs="Arial"/>
        </w:rPr>
      </w:pPr>
      <w:r>
        <w:rPr>
          <w:rFonts w:ascii="Arial" w:hAnsi="Arial" w:cs="Arial"/>
        </w:rPr>
        <w:t xml:space="preserve">En la variable de interés de este trabajo, </w:t>
      </w:r>
      <w:r w:rsidR="009D5542">
        <w:rPr>
          <w:rFonts w:ascii="Arial" w:hAnsi="Arial" w:cs="Arial"/>
        </w:rPr>
        <w:t xml:space="preserve">se garantizó el índice correlativo de fechas, </w:t>
      </w:r>
      <w:r w:rsidR="002B0E30">
        <w:rPr>
          <w:rFonts w:ascii="Arial" w:hAnsi="Arial" w:cs="Arial"/>
        </w:rPr>
        <w:t xml:space="preserve">se imputaron los valores faltantes de igual forma que en el modelo previo y, también, se aplicó logaritmo a la Circulación Monetaria para disminuir la dispersión de sus valores. </w:t>
      </w:r>
      <w:r w:rsidR="00673FB6">
        <w:rPr>
          <w:rFonts w:ascii="Arial" w:hAnsi="Arial" w:cs="Arial"/>
        </w:rPr>
        <w:t>Los datos se dividieron para realizar el pronóstico sobre los últimos 365 días</w:t>
      </w:r>
      <w:r w:rsidR="00A367A9">
        <w:rPr>
          <w:rFonts w:ascii="Arial" w:hAnsi="Arial" w:cs="Arial"/>
        </w:rPr>
        <w:t xml:space="preserve"> y se normalizaron, escalando, los dato</w:t>
      </w:r>
      <w:r w:rsidR="00C96127">
        <w:rPr>
          <w:rFonts w:ascii="Arial" w:hAnsi="Arial" w:cs="Arial"/>
        </w:rPr>
        <w:t xml:space="preserve">s para que cuenten con una media igual a 0 y su desvío estándar igual a 1. </w:t>
      </w:r>
      <w:r w:rsidR="0080446F">
        <w:rPr>
          <w:rFonts w:ascii="Arial" w:hAnsi="Arial" w:cs="Arial"/>
        </w:rPr>
        <w:t>Asimismo, y para evitar recurrencia y pérdidas de tiempo, el entrenamiento del modelo se guardó en una base a la cual se la llama previamente para evitar repetidos entrenamientos.</w:t>
      </w:r>
      <w:r w:rsidR="00814449">
        <w:rPr>
          <w:rFonts w:ascii="Arial" w:hAnsi="Arial" w:cs="Arial"/>
        </w:rPr>
        <w:t xml:space="preserve"> Con el modelo entrenado, se generaron 100 escenarios posibles de resultados, se revirtió el escalado y </w:t>
      </w:r>
      <w:r w:rsidR="001C5CDB">
        <w:rPr>
          <w:rFonts w:ascii="Arial" w:hAnsi="Arial" w:cs="Arial"/>
        </w:rPr>
        <w:t>el logaritmo para regresar a la escala original, además de calcular la mediana de los escenarios planteados.</w:t>
      </w:r>
      <w:r w:rsidR="003710DF">
        <w:rPr>
          <w:rFonts w:ascii="Arial" w:hAnsi="Arial" w:cs="Arial"/>
        </w:rPr>
        <w:t xml:space="preserve"> Finalmente, en la Figura </w:t>
      </w:r>
      <w:r w:rsidR="00BA34ED" w:rsidRPr="00BA34ED">
        <w:rPr>
          <w:rFonts w:ascii="Arial" w:hAnsi="Arial" w:cs="Arial"/>
          <w:highlight w:val="yellow"/>
        </w:rPr>
        <w:t>X</w:t>
      </w:r>
      <w:r w:rsidR="003710DF">
        <w:rPr>
          <w:rFonts w:ascii="Arial" w:hAnsi="Arial" w:cs="Arial"/>
        </w:rPr>
        <w:t xml:space="preserve"> se compararon los pronósticos realizados, sus desvíos estándar, y el recorrido del conjunto de prueba, obteniendo </w:t>
      </w:r>
      <w:r w:rsidR="006E6346">
        <w:rPr>
          <w:rFonts w:ascii="Arial" w:hAnsi="Arial" w:cs="Arial"/>
        </w:rPr>
        <w:t>un error promedio ponderado de $</w:t>
      </w:r>
      <w:r w:rsidR="005E56F9">
        <w:rPr>
          <w:rFonts w:ascii="Arial" w:hAnsi="Arial" w:cs="Arial"/>
        </w:rPr>
        <w:t xml:space="preserve"> 2,08 billones, un error medio absoluto de $ </w:t>
      </w:r>
      <w:r w:rsidR="003226E8">
        <w:rPr>
          <w:rFonts w:ascii="Arial" w:hAnsi="Arial" w:cs="Arial"/>
        </w:rPr>
        <w:t>1,65 billones y un promedio de errores del 9,49%.</w:t>
      </w:r>
    </w:p>
    <w:p w14:paraId="275DE8C5" w14:textId="5B3545D5" w:rsidR="006E6346" w:rsidRDefault="005E56F9" w:rsidP="006E6346">
      <w:pPr>
        <w:spacing w:line="360" w:lineRule="auto"/>
        <w:jc w:val="both"/>
        <w:rPr>
          <w:rFonts w:ascii="Arial" w:hAnsi="Arial" w:cs="Arial"/>
        </w:rPr>
      </w:pPr>
      <w:r>
        <w:rPr>
          <w:noProof/>
        </w:rPr>
        <w:lastRenderedPageBreak/>
        <w:drawing>
          <wp:inline distT="0" distB="0" distL="0" distR="0" wp14:anchorId="49CE5738" wp14:editId="29C6AF31">
            <wp:extent cx="6188710" cy="2867025"/>
            <wp:effectExtent l="0" t="0" r="2540" b="9525"/>
            <wp:docPr id="487382816"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82816" name="Imagen 2" descr="Gráfico, Gráfico de líneas&#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2867025"/>
                    </a:xfrm>
                    <a:prstGeom prst="rect">
                      <a:avLst/>
                    </a:prstGeom>
                    <a:noFill/>
                    <a:ln>
                      <a:noFill/>
                    </a:ln>
                  </pic:spPr>
                </pic:pic>
              </a:graphicData>
            </a:graphic>
          </wp:inline>
        </w:drawing>
      </w:r>
    </w:p>
    <w:p w14:paraId="00A43644" w14:textId="1912579A" w:rsidR="00077D2B" w:rsidRDefault="003226E8" w:rsidP="00AC1CE2">
      <w:pPr>
        <w:spacing w:line="360" w:lineRule="auto"/>
        <w:ind w:firstLine="720"/>
        <w:jc w:val="both"/>
        <w:rPr>
          <w:rFonts w:ascii="Arial" w:hAnsi="Arial" w:cs="Arial"/>
        </w:rPr>
      </w:pPr>
      <w:r w:rsidRPr="003226E8">
        <w:rPr>
          <w:rFonts w:ascii="Arial" w:hAnsi="Arial" w:cs="Arial"/>
        </w:rPr>
        <w:t xml:space="preserve">Asimismo, </w:t>
      </w:r>
      <w:r>
        <w:rPr>
          <w:rFonts w:ascii="Arial" w:hAnsi="Arial" w:cs="Arial"/>
        </w:rPr>
        <w:t xml:space="preserve">habiendo observado </w:t>
      </w:r>
      <w:r w:rsidR="005E5206">
        <w:rPr>
          <w:rFonts w:ascii="Arial" w:hAnsi="Arial" w:cs="Arial"/>
        </w:rPr>
        <w:t>un movimiento amplio en el pronóstico, se propuso</w:t>
      </w:r>
      <w:r w:rsidR="00777CE5">
        <w:rPr>
          <w:rFonts w:ascii="Arial" w:hAnsi="Arial" w:cs="Arial"/>
        </w:rPr>
        <w:t xml:space="preserve">, como es observable en la Figura </w:t>
      </w:r>
      <w:r w:rsidR="00BA34ED" w:rsidRPr="00BA34ED">
        <w:rPr>
          <w:rFonts w:ascii="Arial" w:hAnsi="Arial" w:cs="Arial"/>
          <w:highlight w:val="yellow"/>
        </w:rPr>
        <w:t>X</w:t>
      </w:r>
      <w:r w:rsidR="00777CE5">
        <w:rPr>
          <w:rFonts w:ascii="Arial" w:hAnsi="Arial" w:cs="Arial"/>
        </w:rPr>
        <w:t>, un suavizado a través de una media móvil de este con un período de 30 días</w:t>
      </w:r>
      <w:r w:rsidR="00DC2E5D">
        <w:rPr>
          <w:rFonts w:ascii="Arial" w:hAnsi="Arial" w:cs="Arial"/>
        </w:rPr>
        <w:t>. El nuevo cálculo de métricas arrojó</w:t>
      </w:r>
      <w:r w:rsidR="006A59FB">
        <w:rPr>
          <w:rFonts w:ascii="Arial" w:hAnsi="Arial" w:cs="Arial"/>
        </w:rPr>
        <w:t xml:space="preserve"> un resultado más auspicioso, donde es posible visualizar</w:t>
      </w:r>
      <w:r w:rsidR="00DC2E5D">
        <w:rPr>
          <w:rFonts w:ascii="Arial" w:hAnsi="Arial" w:cs="Arial"/>
        </w:rPr>
        <w:t xml:space="preserve"> un error promedio ponderado de $ 1</w:t>
      </w:r>
      <w:r w:rsidR="002A37ED">
        <w:rPr>
          <w:rFonts w:ascii="Arial" w:hAnsi="Arial" w:cs="Arial"/>
        </w:rPr>
        <w:t>,33</w:t>
      </w:r>
      <w:r w:rsidR="00DC2E5D">
        <w:rPr>
          <w:rFonts w:ascii="Arial" w:hAnsi="Arial" w:cs="Arial"/>
        </w:rPr>
        <w:t xml:space="preserve"> billones, así como $ </w:t>
      </w:r>
      <w:r w:rsidR="006A59FB">
        <w:rPr>
          <w:rFonts w:ascii="Arial" w:hAnsi="Arial" w:cs="Arial"/>
        </w:rPr>
        <w:t>1</w:t>
      </w:r>
      <w:r w:rsidR="002A37ED">
        <w:rPr>
          <w:rFonts w:ascii="Arial" w:hAnsi="Arial" w:cs="Arial"/>
        </w:rPr>
        <w:t>,07</w:t>
      </w:r>
      <w:r w:rsidR="006A59FB">
        <w:rPr>
          <w:rFonts w:ascii="Arial" w:hAnsi="Arial" w:cs="Arial"/>
        </w:rPr>
        <w:t xml:space="preserve"> billones de error medio absoluto y un </w:t>
      </w:r>
      <w:r w:rsidR="002A37ED">
        <w:rPr>
          <w:rFonts w:ascii="Arial" w:hAnsi="Arial" w:cs="Arial"/>
        </w:rPr>
        <w:t>6,03</w:t>
      </w:r>
      <w:r w:rsidR="006A59FB">
        <w:rPr>
          <w:rFonts w:ascii="Arial" w:hAnsi="Arial" w:cs="Arial"/>
        </w:rPr>
        <w:t>% que reflejó el promedio de errores.</w:t>
      </w:r>
    </w:p>
    <w:p w14:paraId="51FF7659" w14:textId="5B7A11A9" w:rsidR="006A59FB" w:rsidRDefault="006A59FB" w:rsidP="006A59FB">
      <w:pPr>
        <w:spacing w:line="360" w:lineRule="auto"/>
        <w:jc w:val="both"/>
        <w:rPr>
          <w:rFonts w:ascii="Arial" w:hAnsi="Arial" w:cs="Arial"/>
        </w:rPr>
      </w:pPr>
      <w:r>
        <w:rPr>
          <w:noProof/>
        </w:rPr>
        <w:drawing>
          <wp:inline distT="0" distB="0" distL="0" distR="0" wp14:anchorId="2C4778A3" wp14:editId="11A56323">
            <wp:extent cx="6188710" cy="3370580"/>
            <wp:effectExtent l="0" t="0" r="2540" b="1270"/>
            <wp:docPr id="1222793974"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3974" name="Imagen 3" descr="Gráfico, Gráfico de líneas&#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370580"/>
                    </a:xfrm>
                    <a:prstGeom prst="rect">
                      <a:avLst/>
                    </a:prstGeom>
                    <a:noFill/>
                    <a:ln>
                      <a:noFill/>
                    </a:ln>
                  </pic:spPr>
                </pic:pic>
              </a:graphicData>
            </a:graphic>
          </wp:inline>
        </w:drawing>
      </w:r>
    </w:p>
    <w:p w14:paraId="25532927" w14:textId="77777777" w:rsidR="00BD146C" w:rsidRDefault="00BD146C" w:rsidP="00133247">
      <w:pPr>
        <w:spacing w:line="360" w:lineRule="auto"/>
        <w:jc w:val="both"/>
        <w:rPr>
          <w:rFonts w:ascii="Arial" w:eastAsiaTheme="minorEastAsia" w:hAnsi="Arial" w:cs="Arial"/>
          <w:highlight w:val="yellow"/>
        </w:rPr>
      </w:pPr>
    </w:p>
    <w:p w14:paraId="5403D8AB" w14:textId="2832C3C7" w:rsidR="00077D2B" w:rsidRPr="00AF4927" w:rsidRDefault="00077D2B" w:rsidP="00077D2B">
      <w:pPr>
        <w:pStyle w:val="Ttulo2"/>
        <w:rPr>
          <w:highlight w:val="yellow"/>
        </w:rPr>
      </w:pPr>
      <w:bookmarkStart w:id="14" w:name="_Toc205652122"/>
      <w:r>
        <w:rPr>
          <w:highlight w:val="yellow"/>
        </w:rPr>
        <w:lastRenderedPageBreak/>
        <w:t>Modelo</w:t>
      </w:r>
      <w:r w:rsidR="001D3E5A">
        <w:rPr>
          <w:highlight w:val="yellow"/>
        </w:rPr>
        <w:t xml:space="preserve"> 8 - Herramienta</w:t>
      </w:r>
      <w:r>
        <w:rPr>
          <w:highlight w:val="yellow"/>
        </w:rPr>
        <w:t xml:space="preserve"> AutoML</w:t>
      </w:r>
      <w:bookmarkEnd w:id="14"/>
    </w:p>
    <w:p w14:paraId="30944443" w14:textId="36E434F9" w:rsidR="0032322B" w:rsidRDefault="00A015BA" w:rsidP="00077D2B">
      <w:pPr>
        <w:spacing w:line="360" w:lineRule="auto"/>
        <w:ind w:firstLine="720"/>
        <w:jc w:val="both"/>
        <w:rPr>
          <w:rFonts w:ascii="Arial" w:hAnsi="Arial" w:cs="Arial"/>
        </w:rPr>
      </w:pPr>
      <w:r>
        <w:rPr>
          <w:rFonts w:ascii="Arial" w:hAnsi="Arial" w:cs="Arial"/>
        </w:rPr>
        <w:t xml:space="preserve">Tal como definen Del Rosso (2025c) y </w:t>
      </w:r>
      <w:r w:rsidR="00A3400C">
        <w:rPr>
          <w:rFonts w:ascii="Arial" w:hAnsi="Arial" w:cs="Arial"/>
        </w:rPr>
        <w:t xml:space="preserve">Lutkevich (2024), </w:t>
      </w:r>
      <w:r w:rsidR="006509EA">
        <w:rPr>
          <w:rFonts w:ascii="Arial" w:hAnsi="Arial" w:cs="Arial"/>
        </w:rPr>
        <w:t xml:space="preserve">AutoML, aprendizaje automático automatizado, </w:t>
      </w:r>
      <w:r w:rsidR="0090148F" w:rsidRPr="0090148F">
        <w:rPr>
          <w:rFonts w:ascii="Arial" w:hAnsi="Arial" w:cs="Arial"/>
        </w:rPr>
        <w:t>consiste en aplicar modelos de aprendizaje automático a problemas reales mediante la automatización</w:t>
      </w:r>
      <w:r w:rsidR="0090148F">
        <w:rPr>
          <w:rFonts w:ascii="Arial" w:hAnsi="Arial" w:cs="Arial"/>
        </w:rPr>
        <w:t xml:space="preserve">, en automatizar la aplicación de </w:t>
      </w:r>
      <w:r w:rsidR="00076D08">
        <w:rPr>
          <w:rFonts w:ascii="Arial" w:hAnsi="Arial" w:cs="Arial"/>
        </w:rPr>
        <w:t xml:space="preserve">técnicas de </w:t>
      </w:r>
      <w:r w:rsidR="00076D08">
        <w:rPr>
          <w:rFonts w:ascii="Arial" w:hAnsi="Arial" w:cs="Arial"/>
          <w:i/>
          <w:iCs/>
        </w:rPr>
        <w:t>data mining</w:t>
      </w:r>
      <w:r w:rsidR="00076D08">
        <w:rPr>
          <w:rFonts w:ascii="Arial" w:hAnsi="Arial" w:cs="Arial"/>
        </w:rPr>
        <w:t xml:space="preserve"> para la resolución de estos problemas. </w:t>
      </w:r>
      <w:r w:rsidR="00741C87">
        <w:rPr>
          <w:rFonts w:ascii="Arial" w:hAnsi="Arial" w:cs="Arial"/>
        </w:rPr>
        <w:t xml:space="preserve">El objetivo principal de este proceso es el de </w:t>
      </w:r>
      <w:r w:rsidR="00054ED9" w:rsidRPr="00054ED9">
        <w:rPr>
          <w:rFonts w:ascii="Arial" w:hAnsi="Arial" w:cs="Arial"/>
        </w:rPr>
        <w:t xml:space="preserve">mecanizar la mayor cantidad de pasos del pipeline de </w:t>
      </w:r>
      <w:r w:rsidR="00054ED9" w:rsidRPr="00054ED9">
        <w:rPr>
          <w:rFonts w:ascii="Arial" w:hAnsi="Arial" w:cs="Arial"/>
          <w:i/>
          <w:iCs/>
        </w:rPr>
        <w:t>data</w:t>
      </w:r>
      <w:r w:rsidR="00054ED9" w:rsidRPr="00054ED9">
        <w:rPr>
          <w:rFonts w:ascii="Arial" w:hAnsi="Arial" w:cs="Arial"/>
        </w:rPr>
        <w:t xml:space="preserve"> </w:t>
      </w:r>
      <w:r w:rsidR="00054ED9" w:rsidRPr="00054ED9">
        <w:rPr>
          <w:rFonts w:ascii="Arial" w:hAnsi="Arial" w:cs="Arial"/>
          <w:i/>
          <w:iCs/>
        </w:rPr>
        <w:t>mining</w:t>
      </w:r>
      <w:r w:rsidR="00054ED9" w:rsidRPr="00054ED9">
        <w:rPr>
          <w:rFonts w:ascii="Arial" w:hAnsi="Arial" w:cs="Arial"/>
        </w:rPr>
        <w:t xml:space="preserve"> y aprendizaje automático, reduciendo la intervención del usuario sin comprometer el rendimiento del modelo</w:t>
      </w:r>
      <w:r w:rsidR="00054ED9">
        <w:rPr>
          <w:rFonts w:ascii="Arial" w:hAnsi="Arial" w:cs="Arial"/>
        </w:rPr>
        <w:t xml:space="preserve">. </w:t>
      </w:r>
      <w:r w:rsidR="003164DE">
        <w:rPr>
          <w:rFonts w:ascii="Arial" w:hAnsi="Arial" w:cs="Arial"/>
        </w:rPr>
        <w:t xml:space="preserve">Entre las funcionalidades que aporta </w:t>
      </w:r>
      <w:r w:rsidR="00AE04D9">
        <w:rPr>
          <w:rFonts w:ascii="Arial" w:hAnsi="Arial" w:cs="Arial"/>
        </w:rPr>
        <w:t xml:space="preserve">este proceso, sumando lo expresado en LeDell y Poirier (2020) y </w:t>
      </w:r>
      <w:r w:rsidR="004A614E">
        <w:rPr>
          <w:rFonts w:ascii="Arial" w:hAnsi="Arial" w:cs="Arial"/>
        </w:rPr>
        <w:t xml:space="preserve">Pandey (2019), se encuentra la generación y optimización de diversos modelos, mediante una </w:t>
      </w:r>
      <w:r w:rsidR="00FF6BFD" w:rsidRPr="00FF6BFD">
        <w:rPr>
          <w:rFonts w:ascii="Arial" w:hAnsi="Arial" w:cs="Arial"/>
        </w:rPr>
        <w:t>combinación de búsqueda aleatoria rápida y ensambles apilados (</w:t>
      </w:r>
      <w:r w:rsidR="00FF6BFD" w:rsidRPr="00FF6BFD">
        <w:rPr>
          <w:rFonts w:ascii="Arial" w:hAnsi="Arial" w:cs="Arial"/>
          <w:i/>
          <w:iCs/>
        </w:rPr>
        <w:t>Stacked</w:t>
      </w:r>
      <w:r w:rsidR="00FF6BFD" w:rsidRPr="00FF6BFD">
        <w:rPr>
          <w:rFonts w:ascii="Arial" w:hAnsi="Arial" w:cs="Arial"/>
        </w:rPr>
        <w:t xml:space="preserve"> </w:t>
      </w:r>
      <w:r w:rsidR="00FF6BFD" w:rsidRPr="00FF6BFD">
        <w:rPr>
          <w:rFonts w:ascii="Arial" w:hAnsi="Arial" w:cs="Arial"/>
          <w:i/>
          <w:iCs/>
        </w:rPr>
        <w:t>Ensembles</w:t>
      </w:r>
      <w:r w:rsidR="00FF6BFD" w:rsidRPr="00FF6BFD">
        <w:rPr>
          <w:rFonts w:ascii="Arial" w:hAnsi="Arial" w:cs="Arial"/>
        </w:rPr>
        <w:t>)</w:t>
      </w:r>
      <w:r w:rsidR="00FF6BFD">
        <w:rPr>
          <w:rFonts w:ascii="Arial" w:hAnsi="Arial" w:cs="Arial"/>
        </w:rPr>
        <w:t xml:space="preserve">, una base de algoritmos con valores </w:t>
      </w:r>
      <w:r w:rsidR="00BC1DD7">
        <w:rPr>
          <w:rFonts w:ascii="Arial" w:hAnsi="Arial" w:cs="Arial"/>
        </w:rPr>
        <w:t>preespecificados, optimización de hiperparámetros decidido por el mismo algoritmo, así como el rango de optimización y la búsqueda aleatoria</w:t>
      </w:r>
      <w:r w:rsidR="00447388">
        <w:rPr>
          <w:rFonts w:ascii="Arial" w:hAnsi="Arial" w:cs="Arial"/>
        </w:rPr>
        <w:t xml:space="preserve">, los </w:t>
      </w:r>
      <w:r w:rsidR="00447388">
        <w:rPr>
          <w:rFonts w:ascii="Arial" w:hAnsi="Arial" w:cs="Arial"/>
          <w:i/>
          <w:iCs/>
        </w:rPr>
        <w:t>stacked ensembles</w:t>
      </w:r>
      <w:r w:rsidR="00447388">
        <w:rPr>
          <w:rFonts w:ascii="Arial" w:hAnsi="Arial" w:cs="Arial"/>
        </w:rPr>
        <w:t xml:space="preserve"> mencionados anteriormente, los cuales </w:t>
      </w:r>
      <w:r w:rsidR="000329A2">
        <w:rPr>
          <w:rFonts w:ascii="Arial" w:hAnsi="Arial" w:cs="Arial"/>
        </w:rPr>
        <w:t>encuentran la combinación óptima de modelos base, produciendo mejores modelos que cualquier modelo individual de la ejecución de AutoML, y la selección del mejor modelo</w:t>
      </w:r>
      <w:r w:rsidR="00535D36">
        <w:rPr>
          <w:rFonts w:ascii="Arial" w:hAnsi="Arial" w:cs="Arial"/>
        </w:rPr>
        <w:t xml:space="preserve"> entre los producidos a partir de métricas de rendimiento específicas para el tipo de problema ubicándolos en una tabla de </w:t>
      </w:r>
      <w:r w:rsidR="00535D36">
        <w:rPr>
          <w:rFonts w:ascii="Arial" w:hAnsi="Arial" w:cs="Arial"/>
          <w:i/>
          <w:iCs/>
        </w:rPr>
        <w:t>leaderboard</w:t>
      </w:r>
      <w:r w:rsidR="00535D36">
        <w:rPr>
          <w:rFonts w:ascii="Arial" w:hAnsi="Arial" w:cs="Arial"/>
        </w:rPr>
        <w:t>.</w:t>
      </w:r>
      <w:r w:rsidR="00DC3672">
        <w:rPr>
          <w:rFonts w:ascii="Arial" w:hAnsi="Arial" w:cs="Arial"/>
        </w:rPr>
        <w:t xml:space="preserve"> </w:t>
      </w:r>
      <w:r w:rsidR="00387EFB">
        <w:rPr>
          <w:rFonts w:ascii="Arial" w:hAnsi="Arial" w:cs="Arial"/>
        </w:rPr>
        <w:t xml:space="preserve">Lutkevich (2024) menciona que </w:t>
      </w:r>
      <w:r w:rsidR="00387EFB" w:rsidRPr="00387EFB">
        <w:rPr>
          <w:rFonts w:ascii="Arial" w:hAnsi="Arial" w:cs="Arial"/>
        </w:rPr>
        <w:t>AutoML también puede automatizar la selección de la métrica de evaluación, el monitoreo y la comprobación de problemas, y el análisis de resultados</w:t>
      </w:r>
      <w:r w:rsidR="00387EFB">
        <w:rPr>
          <w:rFonts w:ascii="Arial" w:hAnsi="Arial" w:cs="Arial"/>
        </w:rPr>
        <w:t>, por lo tanto,</w:t>
      </w:r>
      <w:r w:rsidR="00387EFB" w:rsidRPr="00387EFB">
        <w:rPr>
          <w:rFonts w:ascii="Arial" w:hAnsi="Arial" w:cs="Arial"/>
        </w:rPr>
        <w:t xml:space="preserve"> </w:t>
      </w:r>
      <w:r w:rsidR="00387EFB">
        <w:rPr>
          <w:rFonts w:ascii="Arial" w:hAnsi="Arial" w:cs="Arial"/>
        </w:rPr>
        <w:t>p</w:t>
      </w:r>
      <w:r w:rsidR="00387EFB" w:rsidRPr="00387EFB">
        <w:rPr>
          <w:rFonts w:ascii="Arial" w:hAnsi="Arial" w:cs="Arial"/>
        </w:rPr>
        <w:t xml:space="preserve">ermite a usuarios con conocimientos mínimos de </w:t>
      </w:r>
      <w:r w:rsidR="00387EFB">
        <w:rPr>
          <w:rFonts w:ascii="Arial" w:hAnsi="Arial" w:cs="Arial"/>
        </w:rPr>
        <w:t>aprendizaje automático</w:t>
      </w:r>
      <w:r w:rsidR="00387EFB" w:rsidRPr="00387EFB">
        <w:rPr>
          <w:rFonts w:ascii="Arial" w:hAnsi="Arial" w:cs="Arial"/>
        </w:rPr>
        <w:t xml:space="preserve"> interactuar con los modelos a través de lenguajes de codificación como </w:t>
      </w:r>
      <w:r w:rsidR="00387EFB" w:rsidRPr="00387EFB">
        <w:rPr>
          <w:rFonts w:ascii="Arial" w:hAnsi="Arial" w:cs="Arial"/>
          <w:i/>
          <w:iCs/>
        </w:rPr>
        <w:t>Python</w:t>
      </w:r>
      <w:r w:rsidR="00387EFB">
        <w:rPr>
          <w:rFonts w:ascii="Arial" w:hAnsi="Arial" w:cs="Arial"/>
        </w:rPr>
        <w:t>, aunque el poco conocimiento de los usuarios puede recaer en interpretaciones erróneas, por lo que se recomienda la utilización prudencial</w:t>
      </w:r>
      <w:r w:rsidR="00C50322">
        <w:rPr>
          <w:rFonts w:ascii="Arial" w:hAnsi="Arial" w:cs="Arial"/>
        </w:rPr>
        <w:t xml:space="preserve">. Como bien describe Del Rosso (2025c), esta herramienta </w:t>
      </w:r>
      <w:r w:rsidR="00C50322" w:rsidRPr="00C50322">
        <w:rPr>
          <w:rFonts w:ascii="Arial" w:hAnsi="Arial" w:cs="Arial"/>
        </w:rPr>
        <w:t xml:space="preserve">no reemplaza la comprensión del negocio, la validación crítica de </w:t>
      </w:r>
      <w:r w:rsidR="002D702E" w:rsidRPr="00C50322">
        <w:rPr>
          <w:rFonts w:ascii="Arial" w:hAnsi="Arial" w:cs="Arial"/>
        </w:rPr>
        <w:t>resultados</w:t>
      </w:r>
      <w:r w:rsidR="00636185">
        <w:rPr>
          <w:rFonts w:ascii="Arial" w:hAnsi="Arial" w:cs="Arial"/>
        </w:rPr>
        <w:t xml:space="preserve"> no</w:t>
      </w:r>
      <w:r w:rsidR="00C50322" w:rsidRPr="00C50322">
        <w:rPr>
          <w:rFonts w:ascii="Arial" w:hAnsi="Arial" w:cs="Arial"/>
        </w:rPr>
        <w:t xml:space="preserve"> soluciona problemas de calidad de datos, ni garantiza la generalización en contextos desconocidos</w:t>
      </w:r>
      <w:r w:rsidR="00636185">
        <w:rPr>
          <w:rFonts w:ascii="Arial" w:hAnsi="Arial" w:cs="Arial"/>
        </w:rPr>
        <w:t>.</w:t>
      </w:r>
    </w:p>
    <w:p w14:paraId="4B853DDF" w14:textId="20D9B622" w:rsidR="00EC6BDA" w:rsidRPr="00E0190D" w:rsidRDefault="00EC6BDA" w:rsidP="00077D2B">
      <w:pPr>
        <w:spacing w:line="360" w:lineRule="auto"/>
        <w:ind w:firstLine="720"/>
        <w:jc w:val="both"/>
        <w:rPr>
          <w:rFonts w:ascii="Arial" w:hAnsi="Arial" w:cs="Arial"/>
        </w:rPr>
      </w:pPr>
      <w:r>
        <w:rPr>
          <w:rFonts w:ascii="Arial" w:hAnsi="Arial" w:cs="Arial"/>
        </w:rPr>
        <w:t xml:space="preserve">Los autores destacan la eficiencia, ahorro de costos, accesibilidad, escalabilidad, </w:t>
      </w:r>
      <w:r w:rsidR="006B1348">
        <w:rPr>
          <w:rFonts w:ascii="Arial" w:hAnsi="Arial" w:cs="Arial"/>
        </w:rPr>
        <w:t>flexibilidad, capacidad de despliegue, interpretabilidad, soporte multi-idioma y rendimiento superior sobre el uso de AutoML</w:t>
      </w:r>
      <w:r w:rsidR="007B3F86">
        <w:rPr>
          <w:rFonts w:ascii="Arial" w:hAnsi="Arial" w:cs="Arial"/>
        </w:rPr>
        <w:t xml:space="preserve">. </w:t>
      </w:r>
      <w:r w:rsidR="00B80DE1">
        <w:rPr>
          <w:rFonts w:ascii="Arial" w:hAnsi="Arial" w:cs="Arial"/>
        </w:rPr>
        <w:t>En series temporales, AutoML permite la selección del modelo, optimización de parámetros, validación</w:t>
      </w:r>
      <w:r w:rsidR="002774F7">
        <w:rPr>
          <w:rFonts w:ascii="Arial" w:hAnsi="Arial" w:cs="Arial"/>
        </w:rPr>
        <w:t xml:space="preserve"> e</w:t>
      </w:r>
      <w:r w:rsidR="00B80DE1">
        <w:rPr>
          <w:rFonts w:ascii="Arial" w:hAnsi="Arial" w:cs="Arial"/>
        </w:rPr>
        <w:t xml:space="preserve"> ingeniería de variables</w:t>
      </w:r>
      <w:r w:rsidR="002774F7">
        <w:rPr>
          <w:rFonts w:ascii="Arial" w:hAnsi="Arial" w:cs="Arial"/>
        </w:rPr>
        <w:t xml:space="preserve">, así como el uso de librerías específicas, como </w:t>
      </w:r>
      <w:r w:rsidR="002774F7">
        <w:rPr>
          <w:rFonts w:ascii="Arial" w:hAnsi="Arial" w:cs="Arial"/>
          <w:i/>
          <w:iCs/>
        </w:rPr>
        <w:t>AutoTS</w:t>
      </w:r>
      <w:r w:rsidR="002774F7">
        <w:rPr>
          <w:rFonts w:ascii="Arial" w:hAnsi="Arial" w:cs="Arial"/>
        </w:rPr>
        <w:t xml:space="preserve">, </w:t>
      </w:r>
      <w:r w:rsidR="00E0190D">
        <w:rPr>
          <w:rFonts w:ascii="Arial" w:hAnsi="Arial" w:cs="Arial"/>
        </w:rPr>
        <w:t xml:space="preserve">optimizada y con varias configuraciones; </w:t>
      </w:r>
      <w:r w:rsidR="00E0190D">
        <w:rPr>
          <w:rFonts w:ascii="Arial" w:hAnsi="Arial" w:cs="Arial"/>
          <w:i/>
          <w:iCs/>
        </w:rPr>
        <w:t>PyCaret TS</w:t>
      </w:r>
      <w:r w:rsidR="00E0190D">
        <w:rPr>
          <w:rFonts w:ascii="Arial" w:hAnsi="Arial" w:cs="Arial"/>
        </w:rPr>
        <w:t xml:space="preserve">, que permite integrarla con ARIMA o </w:t>
      </w:r>
      <w:r w:rsidR="00E0190D">
        <w:rPr>
          <w:rFonts w:ascii="Arial" w:hAnsi="Arial" w:cs="Arial"/>
          <w:i/>
          <w:iCs/>
        </w:rPr>
        <w:t>Prophet</w:t>
      </w:r>
      <w:r w:rsidR="00E0190D">
        <w:rPr>
          <w:rFonts w:ascii="Arial" w:hAnsi="Arial" w:cs="Arial"/>
        </w:rPr>
        <w:t xml:space="preserve">, entre otros; H2O </w:t>
      </w:r>
      <w:r w:rsidR="00E0190D" w:rsidRPr="008921DE">
        <w:rPr>
          <w:rFonts w:ascii="Arial" w:hAnsi="Arial" w:cs="Arial"/>
          <w:i/>
          <w:iCs/>
        </w:rPr>
        <w:t>AutoML</w:t>
      </w:r>
      <w:r w:rsidR="00E0190D">
        <w:rPr>
          <w:rFonts w:ascii="Arial" w:hAnsi="Arial" w:cs="Arial"/>
        </w:rPr>
        <w:t xml:space="preserve">, </w:t>
      </w:r>
      <w:r w:rsidR="00AC654A">
        <w:rPr>
          <w:rFonts w:ascii="Arial" w:hAnsi="Arial" w:cs="Arial"/>
        </w:rPr>
        <w:t xml:space="preserve">robusta y con variedad de modelos que permite utilizarse en series temporales; </w:t>
      </w:r>
      <w:r w:rsidR="00AC654A">
        <w:rPr>
          <w:rFonts w:ascii="Arial" w:hAnsi="Arial" w:cs="Arial"/>
          <w:i/>
          <w:iCs/>
        </w:rPr>
        <w:t>AutoGluon</w:t>
      </w:r>
      <w:r w:rsidR="00AC654A">
        <w:rPr>
          <w:rFonts w:ascii="Arial" w:hAnsi="Arial" w:cs="Arial"/>
        </w:rPr>
        <w:t xml:space="preserve">, </w:t>
      </w:r>
      <w:r w:rsidR="008009B2">
        <w:rPr>
          <w:rFonts w:ascii="Arial" w:hAnsi="Arial" w:cs="Arial"/>
        </w:rPr>
        <w:t>con alta precisión aunque limitada en series temporales; TPOT, la cual, indirectamente, puede utilizarse en series temporales aunque no tiene un soporte nativo.</w:t>
      </w:r>
      <w:r w:rsidR="00E0190D">
        <w:rPr>
          <w:rFonts w:ascii="Arial" w:hAnsi="Arial" w:cs="Arial"/>
        </w:rPr>
        <w:t xml:space="preserve"> </w:t>
      </w:r>
    </w:p>
    <w:p w14:paraId="5748E465" w14:textId="2053AC83" w:rsidR="008921DE" w:rsidRDefault="008921DE" w:rsidP="00077D2B">
      <w:pPr>
        <w:spacing w:line="360" w:lineRule="auto"/>
        <w:ind w:firstLine="720"/>
        <w:jc w:val="both"/>
        <w:rPr>
          <w:rFonts w:ascii="Arial" w:hAnsi="Arial" w:cs="Arial"/>
        </w:rPr>
      </w:pPr>
      <w:r w:rsidRPr="31B394C2">
        <w:rPr>
          <w:rFonts w:ascii="Arial" w:hAnsi="Arial" w:cs="Arial"/>
        </w:rPr>
        <w:t xml:space="preserve">En el marco del presente trabajo, se realizaron pruebas con la librería </w:t>
      </w:r>
      <w:r w:rsidRPr="31B394C2">
        <w:rPr>
          <w:rFonts w:ascii="Arial" w:hAnsi="Arial" w:cs="Arial"/>
          <w:i/>
          <w:iCs/>
        </w:rPr>
        <w:t>AutoTS</w:t>
      </w:r>
      <w:r w:rsidRPr="31B394C2">
        <w:rPr>
          <w:rFonts w:ascii="Arial" w:hAnsi="Arial" w:cs="Arial"/>
        </w:rPr>
        <w:t xml:space="preserve">, no pudiendo obtener resultados satisfactorios, sino, más bien, distintos errores y conflictos con los entrenamientos, saturación de memoria e imposibilidad de predicción. En siguiente instancia, se probó con H2O </w:t>
      </w:r>
      <w:r w:rsidRPr="31B394C2">
        <w:rPr>
          <w:rFonts w:ascii="Arial" w:hAnsi="Arial" w:cs="Arial"/>
          <w:i/>
          <w:iCs/>
        </w:rPr>
        <w:t>AutoML</w:t>
      </w:r>
      <w:r w:rsidRPr="31B394C2">
        <w:rPr>
          <w:rFonts w:ascii="Arial" w:hAnsi="Arial" w:cs="Arial"/>
        </w:rPr>
        <w:t>,</w:t>
      </w:r>
      <w:r w:rsidR="00DD5566">
        <w:rPr>
          <w:rFonts w:ascii="Arial" w:hAnsi="Arial" w:cs="Arial"/>
        </w:rPr>
        <w:t xml:space="preserve"> logrando </w:t>
      </w:r>
      <w:r w:rsidR="007E270A">
        <w:rPr>
          <w:rFonts w:ascii="Arial" w:hAnsi="Arial" w:cs="Arial"/>
        </w:rPr>
        <w:t xml:space="preserve">procesar el conjunto de datos, entrenando un modelo y pronosticando con el mismo. Sobre este caso, al igual que en la mayoría de los casos anteriores, se </w:t>
      </w:r>
      <w:r w:rsidR="00070A7F">
        <w:rPr>
          <w:rFonts w:ascii="Arial" w:hAnsi="Arial" w:cs="Arial"/>
        </w:rPr>
        <w:lastRenderedPageBreak/>
        <w:t xml:space="preserve">garantizó el formato de datos del índice de fechas, se convirtió a logaritmo la variable objetivo y se imputaron los valores nulos. </w:t>
      </w:r>
      <w:r w:rsidR="00414C45">
        <w:rPr>
          <w:rFonts w:ascii="Arial" w:hAnsi="Arial" w:cs="Arial"/>
        </w:rPr>
        <w:t>Se modeló la tendencia a partir de un polinomio de grado 4 para capturarla</w:t>
      </w:r>
      <w:r w:rsidR="00B508E0">
        <w:rPr>
          <w:rFonts w:ascii="Arial" w:hAnsi="Arial" w:cs="Arial"/>
        </w:rPr>
        <w:t>, se le agregó la variable objetivo rezagada</w:t>
      </w:r>
      <w:r w:rsidR="007B7E26">
        <w:rPr>
          <w:rFonts w:ascii="Arial" w:hAnsi="Arial" w:cs="Arial"/>
        </w:rPr>
        <w:t xml:space="preserve"> y se separaron los datos en los conjuntos de entrenamiento y prueba. Posteriormente, se entren</w:t>
      </w:r>
      <w:r w:rsidR="008D6A45">
        <w:rPr>
          <w:rFonts w:ascii="Arial" w:hAnsi="Arial" w:cs="Arial"/>
        </w:rPr>
        <w:t xml:space="preserve">aron los modelos, librando esto al proceso realizado por la librería automatizada, </w:t>
      </w:r>
      <w:r w:rsidR="00A53DBE">
        <w:rPr>
          <w:rFonts w:ascii="Arial" w:hAnsi="Arial" w:cs="Arial"/>
        </w:rPr>
        <w:t>y obteniendo l</w:t>
      </w:r>
      <w:r w:rsidR="00023ECC">
        <w:rPr>
          <w:rFonts w:ascii="Arial" w:hAnsi="Arial" w:cs="Arial"/>
        </w:rPr>
        <w:t xml:space="preserve">os residuos de estos para que, finalmente, se realice el pronóstico y evalúe el rendimiento del modelo elegido por H2O. </w:t>
      </w:r>
      <w:r w:rsidR="005B6513">
        <w:rPr>
          <w:rFonts w:ascii="Arial" w:hAnsi="Arial" w:cs="Arial"/>
        </w:rPr>
        <w:t xml:space="preserve">Este resultado se observa en la Figura </w:t>
      </w:r>
      <w:r w:rsidR="005B6513" w:rsidRPr="005B6513">
        <w:rPr>
          <w:rFonts w:ascii="Arial" w:hAnsi="Arial" w:cs="Arial"/>
          <w:highlight w:val="yellow"/>
        </w:rPr>
        <w:t>X</w:t>
      </w:r>
      <w:r w:rsidR="005B6513">
        <w:rPr>
          <w:rFonts w:ascii="Arial" w:hAnsi="Arial" w:cs="Arial"/>
        </w:rPr>
        <w:t>.</w:t>
      </w:r>
    </w:p>
    <w:p w14:paraId="3E37098E" w14:textId="578EAE73" w:rsidR="005B6513" w:rsidRDefault="005B6513" w:rsidP="005B6513">
      <w:pPr>
        <w:spacing w:line="360" w:lineRule="auto"/>
        <w:jc w:val="both"/>
        <w:rPr>
          <w:rFonts w:ascii="Arial" w:hAnsi="Arial" w:cs="Arial"/>
        </w:rPr>
      </w:pPr>
      <w:r w:rsidRPr="005B6513">
        <w:rPr>
          <w:rFonts w:ascii="Arial" w:hAnsi="Arial" w:cs="Arial"/>
          <w:highlight w:val="yellow"/>
        </w:rPr>
        <w:t>Figura X.</w:t>
      </w:r>
    </w:p>
    <w:p w14:paraId="38C5BAF6" w14:textId="5CBF07BF" w:rsidR="005B6513" w:rsidRPr="008921DE" w:rsidRDefault="005B6513" w:rsidP="00077D2B">
      <w:pPr>
        <w:spacing w:line="360" w:lineRule="auto"/>
        <w:ind w:firstLine="720"/>
        <w:jc w:val="both"/>
        <w:rPr>
          <w:rFonts w:ascii="Arial" w:hAnsi="Arial" w:cs="Arial"/>
        </w:rPr>
      </w:pPr>
      <w:r>
        <w:rPr>
          <w:rFonts w:ascii="Arial" w:hAnsi="Arial" w:cs="Arial"/>
        </w:rPr>
        <w:t>Asimismo, las métricas</w:t>
      </w:r>
      <w:r w:rsidR="0007307A">
        <w:rPr>
          <w:rFonts w:ascii="Arial" w:hAnsi="Arial" w:cs="Arial"/>
        </w:rPr>
        <w:t xml:space="preserve">, como en el resto de casos, también se obtuvieron para este modelo, alcanzando los </w:t>
      </w:r>
      <w:r w:rsidR="0007307A" w:rsidRPr="0007307A">
        <w:rPr>
          <w:rFonts w:ascii="Arial" w:hAnsi="Arial" w:cs="Arial"/>
          <w:highlight w:val="yellow"/>
        </w:rPr>
        <w:t>$ X billones como RMSE, $ X billones de MAE y % de MAPE.</w:t>
      </w:r>
    </w:p>
    <w:p w14:paraId="25812650" w14:textId="77777777" w:rsidR="00077D2B" w:rsidRDefault="00077D2B" w:rsidP="00133247">
      <w:pPr>
        <w:spacing w:line="360" w:lineRule="auto"/>
        <w:jc w:val="both"/>
        <w:rPr>
          <w:rFonts w:ascii="Arial" w:eastAsiaTheme="minorEastAsia" w:hAnsi="Arial" w:cs="Arial"/>
        </w:rPr>
      </w:pPr>
    </w:p>
    <w:p w14:paraId="375761F3" w14:textId="2B4E6D26" w:rsidR="00677378" w:rsidRDefault="00677378" w:rsidP="00677378">
      <w:pPr>
        <w:pStyle w:val="Ttulo1"/>
      </w:pPr>
      <w:bookmarkStart w:id="15" w:name="_Toc205652123"/>
      <w:r w:rsidRPr="00677378">
        <w:rPr>
          <w:highlight w:val="yellow"/>
        </w:rPr>
        <w:t>Análisis de Resultados</w:t>
      </w:r>
      <w:bookmarkEnd w:id="15"/>
    </w:p>
    <w:p w14:paraId="3DA61202" w14:textId="77777777" w:rsidR="00F3269B" w:rsidRDefault="00F3269B" w:rsidP="00F3269B">
      <w:pPr>
        <w:pStyle w:val="Ttulo2"/>
      </w:pPr>
      <w:bookmarkStart w:id="16" w:name="_Toc205652124"/>
      <w:r w:rsidRPr="00F3269B">
        <w:rPr>
          <w:highlight w:val="yellow"/>
        </w:rPr>
        <w:t>Resultados obtenidos de modelos de Series Temporales tradicionales</w:t>
      </w:r>
      <w:bookmarkEnd w:id="16"/>
    </w:p>
    <w:p w14:paraId="2241A78D" w14:textId="3FFC42B3" w:rsidR="00693912" w:rsidRDefault="00FE78D3" w:rsidP="00F3269B">
      <w:pPr>
        <w:spacing w:line="360" w:lineRule="auto"/>
        <w:ind w:firstLine="720"/>
        <w:jc w:val="both"/>
        <w:rPr>
          <w:rFonts w:ascii="Arial" w:hAnsi="Arial" w:cs="Arial"/>
        </w:rPr>
      </w:pPr>
      <w:r>
        <w:rPr>
          <w:rFonts w:ascii="Arial" w:hAnsi="Arial" w:cs="Arial"/>
        </w:rPr>
        <w:t xml:space="preserve">Habiéndose obtenido, precedentemente, los distintos </w:t>
      </w:r>
      <w:r w:rsidR="00421A08">
        <w:rPr>
          <w:rFonts w:ascii="Arial" w:hAnsi="Arial" w:cs="Arial"/>
        </w:rPr>
        <w:t xml:space="preserve">pronósticos para la Circulación Monetaria utilizando modelos de </w:t>
      </w:r>
      <w:r w:rsidR="00421A08">
        <w:rPr>
          <w:rFonts w:ascii="Arial" w:hAnsi="Arial" w:cs="Arial"/>
          <w:i/>
          <w:iCs/>
        </w:rPr>
        <w:t>machine learning</w:t>
      </w:r>
      <w:r w:rsidR="00421A08">
        <w:rPr>
          <w:rFonts w:ascii="Arial" w:hAnsi="Arial" w:cs="Arial"/>
        </w:rPr>
        <w:t xml:space="preserve">, resulta menester </w:t>
      </w:r>
      <w:r w:rsidR="008A147C">
        <w:rPr>
          <w:rFonts w:ascii="Arial" w:hAnsi="Arial" w:cs="Arial"/>
        </w:rPr>
        <w:t xml:space="preserve">verificar </w:t>
      </w:r>
      <w:r w:rsidR="00B53B06">
        <w:rPr>
          <w:rFonts w:ascii="Arial" w:hAnsi="Arial" w:cs="Arial"/>
        </w:rPr>
        <w:t xml:space="preserve">el rendimiento de cada uno. </w:t>
      </w:r>
      <w:r w:rsidR="004306A7">
        <w:rPr>
          <w:rFonts w:ascii="Arial" w:hAnsi="Arial" w:cs="Arial"/>
        </w:rPr>
        <w:t xml:space="preserve">Sumado a ello, en Cancelas et al (2025a) </w:t>
      </w:r>
      <w:r w:rsidR="008F61B4">
        <w:rPr>
          <w:rFonts w:ascii="Arial" w:hAnsi="Arial" w:cs="Arial"/>
        </w:rPr>
        <w:t xml:space="preserve">se hayan modelos tradicionales de Series Temporales </w:t>
      </w:r>
      <w:r w:rsidR="00E55F76">
        <w:rPr>
          <w:rFonts w:ascii="Arial" w:hAnsi="Arial" w:cs="Arial"/>
        </w:rPr>
        <w:t>con sus respectivos pronósticos.</w:t>
      </w:r>
    </w:p>
    <w:p w14:paraId="54A9D021" w14:textId="6E378F8B" w:rsidR="0079233A" w:rsidRDefault="0079233A" w:rsidP="00F3269B">
      <w:pPr>
        <w:spacing w:line="360" w:lineRule="auto"/>
        <w:ind w:firstLine="720"/>
        <w:jc w:val="both"/>
        <w:rPr>
          <w:rFonts w:ascii="Arial" w:hAnsi="Arial" w:cs="Arial"/>
        </w:rPr>
      </w:pPr>
      <w:r>
        <w:rPr>
          <w:rFonts w:ascii="Arial" w:hAnsi="Arial" w:cs="Arial"/>
        </w:rPr>
        <w:t>Si bien el objetivo del presente, así como también del trabajo mencionado anteriormente, es realizar un pronóstico robusto y confiable de</w:t>
      </w:r>
      <w:r w:rsidR="004C0BF2">
        <w:rPr>
          <w:rFonts w:ascii="Arial" w:hAnsi="Arial" w:cs="Arial"/>
        </w:rPr>
        <w:t xml:space="preserve">l monto en pesos de los billetes y monedas que </w:t>
      </w:r>
      <w:r w:rsidR="00391E93">
        <w:rPr>
          <w:rFonts w:ascii="Arial" w:hAnsi="Arial" w:cs="Arial"/>
        </w:rPr>
        <w:t>habrá</w:t>
      </w:r>
      <w:r w:rsidR="004C0BF2">
        <w:rPr>
          <w:rFonts w:ascii="Arial" w:hAnsi="Arial" w:cs="Arial"/>
        </w:rPr>
        <w:t xml:space="preserve"> en el público y en las entidades financieras en los próximos 12 meses, </w:t>
      </w:r>
      <w:r w:rsidR="00391E93">
        <w:rPr>
          <w:rFonts w:ascii="Arial" w:hAnsi="Arial" w:cs="Arial"/>
        </w:rPr>
        <w:t xml:space="preserve">el abordaje desde ambas metodologías cuenta con algunas diferencias. Fundamentalmente, </w:t>
      </w:r>
      <w:r w:rsidR="007C73B7">
        <w:rPr>
          <w:rFonts w:ascii="Arial" w:hAnsi="Arial" w:cs="Arial"/>
        </w:rPr>
        <w:t xml:space="preserve">para la aplicación de modelos </w:t>
      </w:r>
      <w:r w:rsidR="00C47EBA">
        <w:rPr>
          <w:rFonts w:ascii="Arial" w:hAnsi="Arial" w:cs="Arial"/>
        </w:rPr>
        <w:t xml:space="preserve">autorregresivos, de medias móviles e integrados, es necesario que la variable de interés sea estacionaria, al menos en el sentido débil de la palabra, esto es, como fuera desarrollado por los autores, </w:t>
      </w:r>
      <w:r w:rsidR="0074739F">
        <w:rPr>
          <w:rFonts w:ascii="Arial" w:hAnsi="Arial" w:cs="Arial"/>
        </w:rPr>
        <w:t xml:space="preserve">media constante, varianza constante </w:t>
      </w:r>
      <w:r w:rsidR="00293CB2">
        <w:rPr>
          <w:rFonts w:ascii="Arial" w:hAnsi="Arial" w:cs="Arial"/>
        </w:rPr>
        <w:t xml:space="preserve">e idéntica autocovarianza </w:t>
      </w:r>
      <w:r w:rsidR="003A08D1">
        <w:rPr>
          <w:rFonts w:ascii="Arial" w:hAnsi="Arial" w:cs="Arial"/>
        </w:rPr>
        <w:t>en momentos equidistantes del tiempo.</w:t>
      </w:r>
      <w:r w:rsidR="00182FC7">
        <w:rPr>
          <w:rFonts w:ascii="Arial" w:hAnsi="Arial" w:cs="Arial"/>
        </w:rPr>
        <w:t xml:space="preserve"> Asimismo, </w:t>
      </w:r>
      <w:r w:rsidR="00C47D43">
        <w:rPr>
          <w:rFonts w:ascii="Arial" w:hAnsi="Arial" w:cs="Arial"/>
        </w:rPr>
        <w:t xml:space="preserve">los modelos ARIMA permiten que la variable a pronosticar utilice distintos </w:t>
      </w:r>
      <w:r w:rsidR="00C47D43">
        <w:rPr>
          <w:rFonts w:ascii="Arial" w:hAnsi="Arial" w:cs="Arial"/>
          <w:i/>
          <w:iCs/>
        </w:rPr>
        <w:t>lag</w:t>
      </w:r>
      <w:r w:rsidR="00C47D43" w:rsidRPr="00C47D43">
        <w:rPr>
          <w:rFonts w:ascii="Arial" w:hAnsi="Arial" w:cs="Arial"/>
          <w:i/>
          <w:iCs/>
        </w:rPr>
        <w:t>s</w:t>
      </w:r>
      <w:r w:rsidR="00C47D43">
        <w:rPr>
          <w:rFonts w:ascii="Arial" w:hAnsi="Arial" w:cs="Arial"/>
          <w:i/>
          <w:iCs/>
        </w:rPr>
        <w:t xml:space="preserve"> </w:t>
      </w:r>
      <w:r w:rsidR="00C47D43" w:rsidRPr="00C47D43">
        <w:rPr>
          <w:rFonts w:ascii="Arial" w:hAnsi="Arial" w:cs="Arial"/>
        </w:rPr>
        <w:t>de ella</w:t>
      </w:r>
      <w:r w:rsidR="00C47D43">
        <w:rPr>
          <w:rFonts w:ascii="Arial" w:hAnsi="Arial" w:cs="Arial"/>
        </w:rPr>
        <w:t xml:space="preserve"> misma </w:t>
      </w:r>
      <w:r w:rsidR="007C4421">
        <w:rPr>
          <w:rFonts w:ascii="Arial" w:hAnsi="Arial" w:cs="Arial"/>
        </w:rPr>
        <w:t>entre sus coeficientes, así como también promedios móviles a lo largo del tiempo. También, la integración permite diferenciar la variable en el tiempo</w:t>
      </w:r>
      <w:r w:rsidR="00633DD3">
        <w:rPr>
          <w:rFonts w:ascii="Arial" w:hAnsi="Arial" w:cs="Arial"/>
        </w:rPr>
        <w:t xml:space="preserve"> para cumplir con el requisito de estacionariedad, así como también, se permite la diferenciación estacional con el objetivo de reducir l</w:t>
      </w:r>
      <w:r w:rsidR="00896FB5">
        <w:rPr>
          <w:rFonts w:ascii="Arial" w:hAnsi="Arial" w:cs="Arial"/>
        </w:rPr>
        <w:t xml:space="preserve">os efectos de movimientos repetitivos en </w:t>
      </w:r>
      <w:r w:rsidR="00C135C4">
        <w:rPr>
          <w:rFonts w:ascii="Arial" w:hAnsi="Arial" w:cs="Arial"/>
        </w:rPr>
        <w:t xml:space="preserve">momentos puntuales del tiempo, como es el caso de la estacionalidad semestral de la Circulación Monetaria debido a los pagos de aguinaldo en Argentina. Finalmente, </w:t>
      </w:r>
      <w:r w:rsidR="00565C84">
        <w:rPr>
          <w:rFonts w:ascii="Arial" w:hAnsi="Arial" w:cs="Arial"/>
        </w:rPr>
        <w:t xml:space="preserve">estos modelos permiten la incorporación de variables regresoras para la construcción de un nuevo modelo SARIMA-X, sin embargo, es necesario que los coeficientes de las regresoras sean significativos para poder tener un modelo confiable. </w:t>
      </w:r>
      <w:r w:rsidR="00FD6F42">
        <w:rPr>
          <w:rFonts w:ascii="Arial" w:hAnsi="Arial" w:cs="Arial"/>
        </w:rPr>
        <w:t xml:space="preserve">En tal caso, </w:t>
      </w:r>
      <w:r w:rsidR="00863322">
        <w:rPr>
          <w:rFonts w:ascii="Arial" w:hAnsi="Arial" w:cs="Arial"/>
        </w:rPr>
        <w:t xml:space="preserve">todos </w:t>
      </w:r>
      <w:r w:rsidR="00534E46">
        <w:rPr>
          <w:rFonts w:ascii="Arial" w:hAnsi="Arial" w:cs="Arial"/>
        </w:rPr>
        <w:t xml:space="preserve">estos mencionados modelos, fueron desarrollados en el trabajo comentado anteriormente. </w:t>
      </w:r>
      <w:r w:rsidR="00182FC7">
        <w:rPr>
          <w:rFonts w:ascii="Arial" w:hAnsi="Arial" w:cs="Arial"/>
        </w:rPr>
        <w:t xml:space="preserve">En el caso de los modelos de </w:t>
      </w:r>
      <w:r w:rsidR="00182FC7">
        <w:rPr>
          <w:rFonts w:ascii="Arial" w:hAnsi="Arial" w:cs="Arial"/>
        </w:rPr>
        <w:lastRenderedPageBreak/>
        <w:t>aprendizaje automático,</w:t>
      </w:r>
      <w:r w:rsidR="00ED574C">
        <w:rPr>
          <w:rFonts w:ascii="Arial" w:hAnsi="Arial" w:cs="Arial"/>
        </w:rPr>
        <w:t xml:space="preserve"> </w:t>
      </w:r>
      <w:r w:rsidR="00534E46">
        <w:rPr>
          <w:rFonts w:ascii="Arial" w:hAnsi="Arial" w:cs="Arial"/>
        </w:rPr>
        <w:t xml:space="preserve">no es un requisito excluyente la estacionariedad de la serie temporal </w:t>
      </w:r>
      <w:r w:rsidR="000E2AC3">
        <w:rPr>
          <w:rFonts w:ascii="Arial" w:hAnsi="Arial" w:cs="Arial"/>
        </w:rPr>
        <w:t xml:space="preserve">de interés, así como tampoco es restrictiva la utilización de variables complementarias que permitan mejorar los modelos para pronosticar correctamente, o mejor, la serie en cuestión. </w:t>
      </w:r>
      <w:r w:rsidR="00FE56C4">
        <w:rPr>
          <w:rFonts w:ascii="Arial" w:hAnsi="Arial" w:cs="Arial"/>
        </w:rPr>
        <w:t xml:space="preserve">Además, no es necesario ahondar en la estacionalidad ya que los modelos trabajarán sobre ello. Por último, </w:t>
      </w:r>
      <w:r w:rsidR="00501202">
        <w:rPr>
          <w:rFonts w:ascii="Arial" w:hAnsi="Arial" w:cs="Arial"/>
        </w:rPr>
        <w:t xml:space="preserve">en distintos aspectos han demostrado funcionar de mejor manera que modelos estadísticos tradicionales para </w:t>
      </w:r>
      <w:r w:rsidR="00A27C4A">
        <w:rPr>
          <w:rFonts w:ascii="Arial" w:hAnsi="Arial" w:cs="Arial"/>
        </w:rPr>
        <w:t xml:space="preserve">el pronóstico de distintas variables de interés. </w:t>
      </w:r>
    </w:p>
    <w:p w14:paraId="3B9D556B" w14:textId="51D6925B" w:rsidR="00A27C4A" w:rsidRDefault="00A27C4A" w:rsidP="00F3269B">
      <w:pPr>
        <w:spacing w:line="360" w:lineRule="auto"/>
        <w:ind w:firstLine="720"/>
        <w:jc w:val="both"/>
        <w:rPr>
          <w:rFonts w:ascii="Arial" w:hAnsi="Arial" w:cs="Arial"/>
        </w:rPr>
      </w:pPr>
      <w:r>
        <w:rPr>
          <w:rFonts w:ascii="Arial" w:hAnsi="Arial" w:cs="Arial"/>
        </w:rPr>
        <w:t>A continuación, se desarrollan los resultados obtenidos al utilizar modelos tradicionales de series temporales.</w:t>
      </w:r>
      <w:r w:rsidR="00C269FD">
        <w:rPr>
          <w:rFonts w:ascii="Arial" w:hAnsi="Arial" w:cs="Arial"/>
        </w:rPr>
        <w:t xml:space="preserve"> En la Tabla </w:t>
      </w:r>
      <w:r w:rsidR="00F34A7F">
        <w:rPr>
          <w:rFonts w:ascii="Arial" w:hAnsi="Arial" w:cs="Arial"/>
        </w:rPr>
        <w:t>1</w:t>
      </w:r>
      <w:r w:rsidR="00C269FD">
        <w:rPr>
          <w:rFonts w:ascii="Arial" w:hAnsi="Arial" w:cs="Arial"/>
        </w:rPr>
        <w:t xml:space="preserve"> se reiteran las distintas métricas y criterios de selección </w:t>
      </w:r>
      <w:r w:rsidR="008B2938">
        <w:rPr>
          <w:rFonts w:ascii="Arial" w:hAnsi="Arial" w:cs="Arial"/>
        </w:rPr>
        <w:t>obtenidos con modelos ARIMA para el pronóstico del promedio mensual de la Circulación Monetaria.</w:t>
      </w:r>
    </w:p>
    <w:p w14:paraId="1BA19768" w14:textId="56E1CDB8" w:rsidR="00077D2B" w:rsidRDefault="008B0157" w:rsidP="008B0157">
      <w:pPr>
        <w:spacing w:line="360" w:lineRule="auto"/>
        <w:ind w:firstLine="720"/>
        <w:jc w:val="both"/>
        <w:rPr>
          <w:rFonts w:ascii="Arial" w:hAnsi="Arial" w:cs="Arial"/>
        </w:rPr>
      </w:pPr>
      <w:r w:rsidRPr="008B0157">
        <w:rPr>
          <w:rFonts w:ascii="Arial" w:hAnsi="Arial" w:cs="Arial"/>
          <w:highlight w:val="yellow"/>
        </w:rPr>
        <w:t xml:space="preserve">Insertar Tabla </w:t>
      </w:r>
      <w:r w:rsidR="009C4DB2">
        <w:rPr>
          <w:rFonts w:ascii="Arial" w:hAnsi="Arial" w:cs="Arial"/>
          <w:highlight w:val="yellow"/>
        </w:rPr>
        <w:t>1</w:t>
      </w:r>
      <w:r w:rsidRPr="008B0157">
        <w:rPr>
          <w:rFonts w:ascii="Arial" w:hAnsi="Arial" w:cs="Arial"/>
          <w:highlight w:val="yellow"/>
        </w:rPr>
        <w:t xml:space="preserve"> (Tabla 5 del TP1)</w:t>
      </w:r>
    </w:p>
    <w:p w14:paraId="41B846C6" w14:textId="77777777" w:rsidR="00F3269B" w:rsidRDefault="00F3269B" w:rsidP="00133247">
      <w:pPr>
        <w:spacing w:line="360" w:lineRule="auto"/>
        <w:jc w:val="both"/>
        <w:rPr>
          <w:rFonts w:ascii="Arial" w:eastAsiaTheme="minorEastAsia" w:hAnsi="Arial" w:cs="Arial"/>
        </w:rPr>
      </w:pPr>
    </w:p>
    <w:p w14:paraId="338EC398" w14:textId="3C4F437A" w:rsidR="00032BE6" w:rsidRPr="00E13AE3" w:rsidRDefault="00077D2B" w:rsidP="00032BE6">
      <w:pPr>
        <w:pStyle w:val="Ttulo2"/>
      </w:pPr>
      <w:bookmarkStart w:id="17" w:name="_Toc205652125"/>
      <w:r w:rsidRPr="00F3269B">
        <w:rPr>
          <w:highlight w:val="yellow"/>
        </w:rPr>
        <w:t>Comparación de resultados</w:t>
      </w:r>
      <w:r w:rsidR="009F1746" w:rsidRPr="00F3269B">
        <w:rPr>
          <w:highlight w:val="yellow"/>
        </w:rPr>
        <w:t xml:space="preserve"> de modelos</w:t>
      </w:r>
      <w:r w:rsidR="00032BE6" w:rsidRPr="00F3269B">
        <w:rPr>
          <w:highlight w:val="yellow"/>
        </w:rPr>
        <w:t xml:space="preserve"> para</w:t>
      </w:r>
      <w:r w:rsidR="009F1746" w:rsidRPr="00F3269B">
        <w:rPr>
          <w:highlight w:val="yellow"/>
        </w:rPr>
        <w:t xml:space="preserve"> pronosticar</w:t>
      </w:r>
      <w:r w:rsidR="00032BE6" w:rsidRPr="00F3269B">
        <w:rPr>
          <w:highlight w:val="yellow"/>
        </w:rPr>
        <w:t xml:space="preserve"> la Circulación Monetaria</w:t>
      </w:r>
      <w:bookmarkEnd w:id="17"/>
    </w:p>
    <w:p w14:paraId="26B656B4" w14:textId="6199635A" w:rsidR="008B0157" w:rsidRPr="00E107DC" w:rsidRDefault="008B0157" w:rsidP="00133247">
      <w:pPr>
        <w:spacing w:line="360" w:lineRule="auto"/>
        <w:ind w:firstLine="720"/>
        <w:jc w:val="both"/>
        <w:rPr>
          <w:rFonts w:ascii="Arial" w:hAnsi="Arial" w:cs="Arial"/>
        </w:rPr>
      </w:pPr>
      <w:r w:rsidRPr="00E107DC">
        <w:rPr>
          <w:rFonts w:ascii="Arial" w:hAnsi="Arial" w:cs="Arial"/>
        </w:rPr>
        <w:t xml:space="preserve">En Tabla </w:t>
      </w:r>
      <w:r w:rsidR="002C4496">
        <w:rPr>
          <w:rFonts w:ascii="Arial" w:hAnsi="Arial" w:cs="Arial"/>
        </w:rPr>
        <w:t>2</w:t>
      </w:r>
      <w:r w:rsidRPr="00E107DC">
        <w:rPr>
          <w:rFonts w:ascii="Arial" w:hAnsi="Arial" w:cs="Arial"/>
        </w:rPr>
        <w:t xml:space="preserve"> se presentan las distintas métricas que se han recolectado de los resultados de cada modelo de </w:t>
      </w:r>
      <w:r w:rsidRPr="00E107DC">
        <w:rPr>
          <w:rFonts w:ascii="Arial" w:hAnsi="Arial" w:cs="Arial"/>
          <w:i/>
          <w:iCs/>
        </w:rPr>
        <w:t>machine learning</w:t>
      </w:r>
      <w:r w:rsidRPr="00E107DC">
        <w:rPr>
          <w:rFonts w:ascii="Arial" w:hAnsi="Arial" w:cs="Arial"/>
        </w:rPr>
        <w:t xml:space="preserve"> desarrollado en el presente trabajo</w:t>
      </w:r>
      <w:r w:rsidR="004C7AF7">
        <w:rPr>
          <w:rFonts w:ascii="Arial" w:hAnsi="Arial" w:cs="Arial"/>
        </w:rPr>
        <w:t xml:space="preserve">, </w:t>
      </w:r>
      <w:r w:rsidR="00BC7131">
        <w:rPr>
          <w:rFonts w:ascii="Arial" w:hAnsi="Arial" w:cs="Arial"/>
        </w:rPr>
        <w:t>las cuales se han agregado a las expuestas anteriormente respecto de los modelos SARIMA y SARIMA-X</w:t>
      </w:r>
      <w:r w:rsidRPr="00E107DC">
        <w:rPr>
          <w:rFonts w:ascii="Arial" w:hAnsi="Arial" w:cs="Arial"/>
        </w:rPr>
        <w:t>.</w:t>
      </w:r>
    </w:p>
    <w:p w14:paraId="58F60230" w14:textId="1A0A864A" w:rsidR="008B0157" w:rsidRPr="008B0157" w:rsidRDefault="008B0157" w:rsidP="00133247">
      <w:pPr>
        <w:spacing w:line="360" w:lineRule="auto"/>
        <w:ind w:firstLine="720"/>
        <w:jc w:val="both"/>
        <w:rPr>
          <w:rFonts w:ascii="Arial" w:hAnsi="Arial" w:cs="Arial"/>
          <w:highlight w:val="yellow"/>
        </w:rPr>
      </w:pPr>
      <w:r>
        <w:rPr>
          <w:rFonts w:ascii="Arial" w:hAnsi="Arial" w:cs="Arial"/>
          <w:highlight w:val="yellow"/>
        </w:rPr>
        <w:t xml:space="preserve">Insertar Tabla </w:t>
      </w:r>
      <w:r w:rsidR="002C4496">
        <w:rPr>
          <w:rFonts w:ascii="Arial" w:hAnsi="Arial" w:cs="Arial"/>
          <w:highlight w:val="yellow"/>
        </w:rPr>
        <w:t>2</w:t>
      </w:r>
    </w:p>
    <w:p w14:paraId="44125D94" w14:textId="27046C32" w:rsidR="00E13AE3" w:rsidRDefault="009F1746" w:rsidP="00133247">
      <w:pPr>
        <w:spacing w:line="360" w:lineRule="auto"/>
        <w:ind w:firstLine="720"/>
        <w:jc w:val="both"/>
        <w:rPr>
          <w:rFonts w:ascii="Arial" w:hAnsi="Arial" w:cs="Arial"/>
        </w:rPr>
      </w:pPr>
      <w:r w:rsidRPr="00077D2B">
        <w:rPr>
          <w:rFonts w:ascii="Arial" w:hAnsi="Arial" w:cs="Arial"/>
          <w:highlight w:val="yellow"/>
        </w:rPr>
        <w:t>Respuesta</w:t>
      </w:r>
      <w:r w:rsidR="002C4496">
        <w:rPr>
          <w:rFonts w:ascii="Arial" w:hAnsi="Arial" w:cs="Arial"/>
          <w:highlight w:val="yellow"/>
        </w:rPr>
        <w:t xml:space="preserve"> comparando resultados finales</w:t>
      </w:r>
      <w:r w:rsidRPr="00077D2B">
        <w:rPr>
          <w:rFonts w:ascii="Arial" w:hAnsi="Arial" w:cs="Arial"/>
          <w:highlight w:val="yellow"/>
        </w:rPr>
        <w:t>.</w:t>
      </w:r>
    </w:p>
    <w:p w14:paraId="7EA31862" w14:textId="77777777" w:rsidR="00133247" w:rsidRDefault="00133247" w:rsidP="00133247">
      <w:pPr>
        <w:spacing w:line="360" w:lineRule="auto"/>
        <w:jc w:val="both"/>
        <w:rPr>
          <w:rFonts w:ascii="Arial" w:hAnsi="Arial" w:cs="Arial"/>
        </w:rPr>
      </w:pPr>
    </w:p>
    <w:p w14:paraId="10B122EA" w14:textId="5B0C92C3" w:rsidR="005A64E2" w:rsidRPr="00F33C54" w:rsidRDefault="005A64E2" w:rsidP="00032BE6">
      <w:pPr>
        <w:pStyle w:val="Ttulo1"/>
        <w:spacing w:line="360" w:lineRule="auto"/>
      </w:pPr>
      <w:bookmarkStart w:id="18" w:name="_Toc205652126"/>
      <w:r w:rsidRPr="00032BE6">
        <w:rPr>
          <w:highlight w:val="yellow"/>
        </w:rPr>
        <w:t>Conclusiones</w:t>
      </w:r>
      <w:bookmarkEnd w:id="18"/>
    </w:p>
    <w:p w14:paraId="52B96177" w14:textId="77777777" w:rsidR="005A64E2" w:rsidRPr="00EA4DBF" w:rsidRDefault="005A64E2" w:rsidP="005A64E2">
      <w:pPr>
        <w:spacing w:line="360" w:lineRule="auto"/>
        <w:ind w:firstLine="720"/>
        <w:jc w:val="both"/>
        <w:rPr>
          <w:rFonts w:ascii="Arial" w:eastAsia="Arial" w:hAnsi="Arial" w:cs="Arial"/>
          <w:sz w:val="24"/>
          <w:szCs w:val="24"/>
        </w:rPr>
      </w:pPr>
      <w:r w:rsidRPr="00BA5EB2">
        <w:rPr>
          <w:rFonts w:ascii="Arial" w:hAnsi="Arial" w:cs="Arial"/>
          <w:highlight w:val="yellow"/>
        </w:rPr>
        <w:t>Respuesta</w:t>
      </w:r>
      <w:r>
        <w:rPr>
          <w:rFonts w:ascii="Arial" w:hAnsi="Arial" w:cs="Arial"/>
        </w:rPr>
        <w:t xml:space="preserve"> </w:t>
      </w:r>
      <w:r w:rsidRPr="00BA5EB2">
        <w:rPr>
          <w:rFonts w:ascii="Arial" w:hAnsi="Arial" w:cs="Arial"/>
        </w:rPr>
        <w:t xml:space="preserve"> </w:t>
      </w:r>
    </w:p>
    <w:p w14:paraId="622CA914" w14:textId="77FAB132" w:rsidR="004979DE" w:rsidRDefault="005A162D" w:rsidP="00C24A61">
      <w:pPr>
        <w:spacing w:line="360" w:lineRule="auto"/>
        <w:jc w:val="both"/>
        <w:rPr>
          <w:rFonts w:ascii="Arial" w:hAnsi="Arial" w:cs="Arial"/>
        </w:rPr>
      </w:pPr>
      <w:r w:rsidRPr="005A162D">
        <w:rPr>
          <w:rFonts w:ascii="Arial" w:hAnsi="Arial" w:cs="Arial"/>
        </w:rPr>
        <w:t xml:space="preserve"> </w:t>
      </w:r>
    </w:p>
    <w:p w14:paraId="64429A92" w14:textId="43F7CAB6" w:rsidR="00376E83" w:rsidRPr="00A72962" w:rsidRDefault="00801916" w:rsidP="005A162D">
      <w:pPr>
        <w:spacing w:line="360" w:lineRule="auto"/>
        <w:ind w:firstLine="720"/>
        <w:jc w:val="both"/>
        <w:rPr>
          <w:rFonts w:ascii="Arial" w:hAnsi="Arial" w:cs="Arial"/>
        </w:rPr>
      </w:pPr>
      <w:r w:rsidRPr="00A72962">
        <w:rPr>
          <w:rFonts w:ascii="Arial" w:hAnsi="Arial" w:cs="Arial"/>
        </w:rPr>
        <w:br w:type="page"/>
      </w:r>
    </w:p>
    <w:p w14:paraId="5521F44E" w14:textId="26E63E13" w:rsidR="004E04CB" w:rsidRDefault="00A92F77" w:rsidP="00BA5EB2">
      <w:pPr>
        <w:pStyle w:val="Ttulo1"/>
        <w:spacing w:line="360" w:lineRule="auto"/>
        <w:ind w:hanging="720"/>
        <w:jc w:val="center"/>
      </w:pPr>
      <w:bookmarkStart w:id="19" w:name="_Toc197590491"/>
      <w:bookmarkStart w:id="20" w:name="_Toc205652127"/>
      <w:r>
        <w:lastRenderedPageBreak/>
        <w:t>Referencias</w:t>
      </w:r>
      <w:bookmarkEnd w:id="19"/>
      <w:bookmarkEnd w:id="20"/>
    </w:p>
    <w:p w14:paraId="5DA0B342" w14:textId="5AAC0728" w:rsidR="6734375B" w:rsidRDefault="6734375B" w:rsidP="6E7BA5FB">
      <w:pPr>
        <w:spacing w:line="360" w:lineRule="auto"/>
        <w:ind w:left="720" w:hanging="720"/>
        <w:jc w:val="both"/>
      </w:pPr>
      <w:r w:rsidRPr="6E7BA5FB">
        <w:rPr>
          <w:rFonts w:ascii="Arial" w:eastAsia="Arial" w:hAnsi="Arial" w:cs="Arial"/>
          <w:lang w:val="en-US"/>
        </w:rPr>
        <w:t xml:space="preserve">Bai, S., Kolter, J. Z., &amp; Koltun, V. (2018). </w:t>
      </w:r>
      <w:r w:rsidRPr="6E7BA5FB">
        <w:rPr>
          <w:rFonts w:ascii="Arial" w:eastAsia="Arial" w:hAnsi="Arial" w:cs="Arial"/>
          <w:i/>
          <w:iCs/>
          <w:lang w:val="en-US"/>
        </w:rPr>
        <w:t>An empirical evaluation of generic convolutional and recurrent networks for sequence modeling</w:t>
      </w:r>
      <w:r w:rsidRPr="6E7BA5FB">
        <w:rPr>
          <w:rFonts w:ascii="Arial" w:eastAsia="Arial" w:hAnsi="Arial" w:cs="Arial"/>
          <w:lang w:val="en-US"/>
        </w:rPr>
        <w:t>. arXiv preprint arXiv:1803.01271. https://doi.org/10.48550/arXiv.1803.01271</w:t>
      </w:r>
    </w:p>
    <w:p w14:paraId="4FE55B39" w14:textId="0ACC6A3E" w:rsidR="00FD75A0" w:rsidRPr="00182FC7" w:rsidRDefault="00120495" w:rsidP="001573BC">
      <w:pPr>
        <w:spacing w:line="360" w:lineRule="auto"/>
        <w:ind w:left="720" w:hanging="720"/>
        <w:jc w:val="both"/>
        <w:rPr>
          <w:rFonts w:ascii="Arial" w:hAnsi="Arial" w:cs="Arial"/>
        </w:rPr>
      </w:pPr>
      <w:r w:rsidRPr="6E7BA5FB">
        <w:rPr>
          <w:rFonts w:ascii="Arial" w:hAnsi="Arial" w:cs="Arial"/>
        </w:rPr>
        <w:t>Banco Central de la República Argentina. (</w:t>
      </w:r>
      <w:r w:rsidR="00073687" w:rsidRPr="6E7BA5FB">
        <w:rPr>
          <w:rFonts w:ascii="Arial" w:hAnsi="Arial" w:cs="Arial"/>
        </w:rPr>
        <w:t>22 de octubre de 1992</w:t>
      </w:r>
      <w:r w:rsidRPr="6E7BA5FB">
        <w:rPr>
          <w:rFonts w:ascii="Arial" w:hAnsi="Arial" w:cs="Arial"/>
        </w:rPr>
        <w:t xml:space="preserve">). </w:t>
      </w:r>
      <w:r w:rsidR="00892B9C" w:rsidRPr="6E7BA5FB">
        <w:rPr>
          <w:rFonts w:ascii="Arial" w:hAnsi="Arial" w:cs="Arial"/>
        </w:rPr>
        <w:t>Ley 24.144 | Carta Orgánica del BCRA</w:t>
      </w:r>
      <w:r w:rsidRPr="6E7BA5FB">
        <w:rPr>
          <w:rFonts w:ascii="Arial" w:hAnsi="Arial" w:cs="Arial"/>
        </w:rPr>
        <w:t>.</w:t>
      </w:r>
      <w:r w:rsidR="00105E1A" w:rsidRPr="6E7BA5FB">
        <w:rPr>
          <w:rFonts w:ascii="Arial" w:hAnsi="Arial" w:cs="Arial"/>
        </w:rPr>
        <w:t xml:space="preserve"> </w:t>
      </w:r>
      <w:hyperlink r:id="rId18">
        <w:r w:rsidR="00105E1A" w:rsidRPr="6E7BA5FB">
          <w:rPr>
            <w:rStyle w:val="Hipervnculo"/>
            <w:rFonts w:ascii="Arial" w:hAnsi="Arial" w:cs="Arial"/>
          </w:rPr>
          <w:t>https://www.bcra.gob.ar/Institucional/Carta_Organica.asp</w:t>
        </w:r>
      </w:hyperlink>
    </w:p>
    <w:p w14:paraId="130F3788" w14:textId="77777777" w:rsidR="004A795F" w:rsidRPr="00182FC7" w:rsidRDefault="004A795F" w:rsidP="004A795F">
      <w:pPr>
        <w:spacing w:line="360" w:lineRule="auto"/>
        <w:ind w:left="720" w:hanging="720"/>
        <w:jc w:val="both"/>
        <w:rPr>
          <w:rFonts w:ascii="Arial" w:hAnsi="Arial" w:cs="Arial"/>
        </w:rPr>
      </w:pPr>
      <w:r w:rsidRPr="00182FC7">
        <w:rPr>
          <w:rFonts w:ascii="Arial" w:hAnsi="Arial" w:cs="Arial"/>
        </w:rPr>
        <w:t xml:space="preserve">Cancelas, M., Filipuzzi, J. M., Gallardo, A. E. y Nicolau, J. E. (2025a). </w:t>
      </w:r>
      <w:r w:rsidRPr="00182FC7">
        <w:rPr>
          <w:rFonts w:ascii="Arial" w:hAnsi="Arial" w:cs="Arial"/>
          <w:i/>
          <w:iCs/>
        </w:rPr>
        <w:t>Análisis de Series Temporales. Trabajo Práctico N° 1</w:t>
      </w:r>
      <w:r w:rsidRPr="00182FC7">
        <w:rPr>
          <w:rFonts w:ascii="Arial" w:hAnsi="Arial" w:cs="Arial"/>
        </w:rPr>
        <w:t xml:space="preserve"> [Archivo PDF]. https://alumniiaeedu-my.sharepoint.com/:b:/g/personal/mcancelas_mail_austral_edu_ar/EUlRzBBZJalJpbDsSoXZ76YBukhCr06fOcU6qKsdFTF3Rw?e=ltVT0J</w:t>
      </w:r>
    </w:p>
    <w:p w14:paraId="750378A0" w14:textId="4F766EB4" w:rsidR="00975C54" w:rsidRPr="00182FC7" w:rsidRDefault="00975C54" w:rsidP="00975C54">
      <w:pPr>
        <w:spacing w:line="360" w:lineRule="auto"/>
        <w:ind w:left="720" w:hanging="720"/>
        <w:jc w:val="both"/>
        <w:rPr>
          <w:rFonts w:ascii="Arial" w:hAnsi="Arial" w:cs="Arial"/>
        </w:rPr>
      </w:pPr>
      <w:r w:rsidRPr="00182FC7">
        <w:rPr>
          <w:rFonts w:ascii="Arial" w:hAnsi="Arial" w:cs="Arial"/>
        </w:rPr>
        <w:t>Cancelas, M., Filipuzzi, J. M., Gallardo, A. E. y Nicolau, J. E. (2025</w:t>
      </w:r>
      <w:r w:rsidR="004A795F" w:rsidRPr="00182FC7">
        <w:rPr>
          <w:rFonts w:ascii="Arial" w:hAnsi="Arial" w:cs="Arial"/>
        </w:rPr>
        <w:t>b</w:t>
      </w:r>
      <w:r w:rsidRPr="00182FC7">
        <w:rPr>
          <w:rFonts w:ascii="Arial" w:hAnsi="Arial" w:cs="Arial"/>
        </w:rPr>
        <w:t xml:space="preserve">). </w:t>
      </w:r>
      <w:r w:rsidRPr="00182FC7">
        <w:rPr>
          <w:rFonts w:ascii="Arial" w:hAnsi="Arial" w:cs="Arial"/>
          <w:i/>
          <w:iCs/>
        </w:rPr>
        <w:t>Análisis de Series Temporales - Trabajo práctico N° 2</w:t>
      </w:r>
      <w:r w:rsidRPr="00182FC7">
        <w:rPr>
          <w:rFonts w:ascii="Arial" w:hAnsi="Arial" w:cs="Arial"/>
        </w:rPr>
        <w:t xml:space="preserve"> [</w:t>
      </w:r>
      <w:r w:rsidRPr="00182FC7">
        <w:rPr>
          <w:rFonts w:ascii="Arial" w:hAnsi="Arial" w:cs="Arial"/>
          <w:i/>
          <w:iCs/>
        </w:rPr>
        <w:t>Script</w:t>
      </w:r>
      <w:r w:rsidRPr="00182FC7">
        <w:rPr>
          <w:rFonts w:ascii="Arial" w:hAnsi="Arial" w:cs="Arial"/>
        </w:rPr>
        <w:t xml:space="preserve"> Google Colab]. </w:t>
      </w:r>
      <w:r w:rsidR="00FB5A7E" w:rsidRPr="00182FC7">
        <w:rPr>
          <w:rFonts w:ascii="Arial" w:hAnsi="Arial" w:cs="Arial"/>
        </w:rPr>
        <w:t>https://colab.research.google.com/drive/11MgUN05C-FFwQDxayr1YNqSSFsAteAx8?usp=sharing</w:t>
      </w:r>
    </w:p>
    <w:p w14:paraId="0836D0A7" w14:textId="3DEB96C8" w:rsidR="005144A6" w:rsidRPr="00182FC7" w:rsidRDefault="005144A6" w:rsidP="00F061C3">
      <w:pPr>
        <w:spacing w:line="360" w:lineRule="auto"/>
        <w:ind w:left="720" w:hanging="720"/>
        <w:jc w:val="both"/>
        <w:rPr>
          <w:rFonts w:ascii="Arial" w:hAnsi="Arial" w:cs="Arial"/>
        </w:rPr>
      </w:pPr>
      <w:r w:rsidRPr="00182FC7">
        <w:rPr>
          <w:rFonts w:ascii="Arial" w:hAnsi="Arial" w:cs="Arial"/>
          <w:lang w:val="en-US"/>
        </w:rPr>
        <w:t xml:space="preserve">Chatfield, </w:t>
      </w:r>
      <w:r w:rsidR="00F061C3" w:rsidRPr="00182FC7">
        <w:rPr>
          <w:rFonts w:ascii="Arial" w:hAnsi="Arial" w:cs="Arial"/>
          <w:lang w:val="en-US"/>
        </w:rPr>
        <w:t xml:space="preserve">C. y Xing, H. (2019). </w:t>
      </w:r>
      <w:r w:rsidR="00F061C3" w:rsidRPr="00182FC7">
        <w:rPr>
          <w:rFonts w:ascii="Arial" w:hAnsi="Arial" w:cs="Arial"/>
          <w:i/>
          <w:iCs/>
          <w:lang w:val="en-US"/>
        </w:rPr>
        <w:t>The Analysis of Time Series. An Introduction with R</w:t>
      </w:r>
      <w:r w:rsidR="00F061C3" w:rsidRPr="00182FC7">
        <w:rPr>
          <w:rFonts w:ascii="Arial" w:hAnsi="Arial" w:cs="Arial"/>
          <w:lang w:val="en-US"/>
        </w:rPr>
        <w:t xml:space="preserve">. (7ª ed.). </w:t>
      </w:r>
      <w:r w:rsidR="00A26083" w:rsidRPr="00182FC7">
        <w:rPr>
          <w:rFonts w:ascii="Arial" w:hAnsi="Arial" w:cs="Arial"/>
        </w:rPr>
        <w:t>CRC Press</w:t>
      </w:r>
    </w:p>
    <w:p w14:paraId="5C1C2BAE" w14:textId="0828AAEE" w:rsidR="00927A56" w:rsidRDefault="00927A56" w:rsidP="001573BC">
      <w:pPr>
        <w:spacing w:line="360" w:lineRule="auto"/>
        <w:ind w:left="720" w:hanging="720"/>
        <w:jc w:val="both"/>
        <w:rPr>
          <w:rFonts w:ascii="Arial" w:hAnsi="Arial" w:cs="Arial"/>
        </w:rPr>
      </w:pPr>
      <w:r>
        <w:rPr>
          <w:rFonts w:ascii="Arial" w:hAnsi="Arial" w:cs="Arial"/>
        </w:rPr>
        <w:t xml:space="preserve">Das, A. et al. (2024). </w:t>
      </w:r>
      <w:r w:rsidRPr="007F57E4">
        <w:rPr>
          <w:rFonts w:ascii="Arial" w:hAnsi="Arial" w:cs="Arial"/>
          <w:i/>
          <w:iCs/>
        </w:rPr>
        <w:t>Long-term Forecasting with TiDE: Time-series Dense Encoder</w:t>
      </w:r>
      <w:r>
        <w:rPr>
          <w:rFonts w:ascii="Arial" w:hAnsi="Arial" w:cs="Arial"/>
        </w:rPr>
        <w:t xml:space="preserve">. </w:t>
      </w:r>
      <w:r w:rsidR="0083367A" w:rsidRPr="007F57E4">
        <w:rPr>
          <w:rFonts w:ascii="Arial" w:hAnsi="Arial" w:cs="Arial"/>
          <w:i/>
          <w:iCs/>
        </w:rPr>
        <w:t>OpenReview.net</w:t>
      </w:r>
      <w:r w:rsidR="0083367A">
        <w:rPr>
          <w:rFonts w:ascii="Arial" w:hAnsi="Arial" w:cs="Arial"/>
        </w:rPr>
        <w:t xml:space="preserve">. </w:t>
      </w:r>
      <w:r w:rsidR="007F57E4" w:rsidRPr="007F57E4">
        <w:rPr>
          <w:rFonts w:ascii="Arial" w:hAnsi="Arial" w:cs="Arial"/>
        </w:rPr>
        <w:t>https://openreview.net/pdf?id=pCbC3aQB5W</w:t>
      </w:r>
    </w:p>
    <w:p w14:paraId="1CB5986B" w14:textId="776AED3D" w:rsidR="007A4C41" w:rsidRDefault="007A4C41" w:rsidP="001573BC">
      <w:pPr>
        <w:spacing w:line="360" w:lineRule="auto"/>
        <w:ind w:left="720" w:hanging="720"/>
        <w:jc w:val="both"/>
        <w:rPr>
          <w:rFonts w:ascii="Arial" w:hAnsi="Arial" w:cs="Arial"/>
        </w:rPr>
      </w:pPr>
      <w:r w:rsidRPr="00182FC7">
        <w:rPr>
          <w:rFonts w:ascii="Arial" w:hAnsi="Arial" w:cs="Arial"/>
        </w:rPr>
        <w:t>Del Rosso, R. (202</w:t>
      </w:r>
      <w:r w:rsidR="0014449A" w:rsidRPr="00182FC7">
        <w:rPr>
          <w:rFonts w:ascii="Arial" w:hAnsi="Arial" w:cs="Arial"/>
        </w:rPr>
        <w:t>5</w:t>
      </w:r>
      <w:r w:rsidR="00D53B02">
        <w:rPr>
          <w:rFonts w:ascii="Arial" w:hAnsi="Arial" w:cs="Arial"/>
        </w:rPr>
        <w:t>a</w:t>
      </w:r>
      <w:r w:rsidRPr="00182FC7">
        <w:rPr>
          <w:rFonts w:ascii="Arial" w:hAnsi="Arial" w:cs="Arial"/>
        </w:rPr>
        <w:t xml:space="preserve">). </w:t>
      </w:r>
      <w:r w:rsidR="007C603E" w:rsidRPr="00182FC7">
        <w:rPr>
          <w:rFonts w:ascii="Arial" w:hAnsi="Arial" w:cs="Arial"/>
          <w:i/>
          <w:iCs/>
        </w:rPr>
        <w:t>Análisis de Series Temporales. Clase 1- Introducción</w:t>
      </w:r>
      <w:r w:rsidR="007C603E" w:rsidRPr="00182FC7">
        <w:rPr>
          <w:rFonts w:ascii="Arial" w:hAnsi="Arial" w:cs="Arial"/>
        </w:rPr>
        <w:t xml:space="preserve"> [Archivo PDF]. </w:t>
      </w:r>
      <w:r w:rsidR="0014449A" w:rsidRPr="00182FC7">
        <w:rPr>
          <w:rFonts w:ascii="Arial" w:hAnsi="Arial" w:cs="Arial"/>
        </w:rPr>
        <w:t>https://campusvirtual.austral.edu.ar/pluginfile.php/3284433/mod_resource/content/1/Clase%201%20-%20Asincrónico.pdf</w:t>
      </w:r>
    </w:p>
    <w:p w14:paraId="0E2804A3" w14:textId="577E700B" w:rsidR="00D53B02" w:rsidRDefault="00D53B02" w:rsidP="00821550">
      <w:pPr>
        <w:spacing w:line="360" w:lineRule="auto"/>
        <w:ind w:left="720" w:hanging="720"/>
        <w:jc w:val="both"/>
        <w:rPr>
          <w:rFonts w:ascii="Arial" w:hAnsi="Arial" w:cs="Arial"/>
        </w:rPr>
      </w:pPr>
      <w:r w:rsidRPr="00182FC7">
        <w:rPr>
          <w:rFonts w:ascii="Arial" w:hAnsi="Arial" w:cs="Arial"/>
        </w:rPr>
        <w:t>Del Rosso, R. (2025</w:t>
      </w:r>
      <w:r>
        <w:rPr>
          <w:rFonts w:ascii="Arial" w:hAnsi="Arial" w:cs="Arial"/>
        </w:rPr>
        <w:t>b</w:t>
      </w:r>
      <w:r w:rsidRPr="00182FC7">
        <w:rPr>
          <w:rFonts w:ascii="Arial" w:hAnsi="Arial" w:cs="Arial"/>
        </w:rPr>
        <w:t xml:space="preserve">). </w:t>
      </w:r>
      <w:r w:rsidRPr="00182FC7">
        <w:rPr>
          <w:rFonts w:ascii="Arial" w:hAnsi="Arial" w:cs="Arial"/>
          <w:i/>
          <w:iCs/>
        </w:rPr>
        <w:t xml:space="preserve">Análisis de Series Temporales. </w:t>
      </w:r>
      <w:r w:rsidR="0066304A" w:rsidRPr="0066304A">
        <w:rPr>
          <w:rFonts w:ascii="Arial" w:hAnsi="Arial" w:cs="Arial"/>
          <w:i/>
          <w:iCs/>
        </w:rPr>
        <w:t>Clase 6 - Ensambles para Series de Tiempo</w:t>
      </w:r>
      <w:r w:rsidR="00F34E72">
        <w:rPr>
          <w:rFonts w:ascii="Arial" w:hAnsi="Arial" w:cs="Arial"/>
          <w:i/>
          <w:iCs/>
        </w:rPr>
        <w:t xml:space="preserve"> </w:t>
      </w:r>
      <w:r w:rsidRPr="00182FC7">
        <w:rPr>
          <w:rFonts w:ascii="Arial" w:hAnsi="Arial" w:cs="Arial"/>
        </w:rPr>
        <w:t>[Archivo PDF].</w:t>
      </w:r>
      <w:r w:rsidR="00F34E72">
        <w:rPr>
          <w:rFonts w:ascii="Arial" w:hAnsi="Arial" w:cs="Arial"/>
        </w:rPr>
        <w:t xml:space="preserve"> </w:t>
      </w:r>
      <w:r w:rsidR="00F34E72" w:rsidRPr="00F34E72">
        <w:rPr>
          <w:rFonts w:ascii="Arial" w:hAnsi="Arial" w:cs="Arial"/>
        </w:rPr>
        <w:t>https://campusvirtual.austral.edu.ar/pluginfile.php/3284499/mod_resource/content/3/Clase%206%20-%20Ensambles.pdf</w:t>
      </w:r>
    </w:p>
    <w:p w14:paraId="1BC424B6" w14:textId="698C21BD" w:rsidR="00821550" w:rsidRDefault="00821550" w:rsidP="00FA2588">
      <w:pPr>
        <w:spacing w:line="360" w:lineRule="auto"/>
        <w:ind w:left="720" w:hanging="720"/>
        <w:jc w:val="both"/>
        <w:rPr>
          <w:rFonts w:ascii="Arial" w:hAnsi="Arial" w:cs="Arial"/>
        </w:rPr>
      </w:pPr>
      <w:r w:rsidRPr="00182FC7">
        <w:rPr>
          <w:rFonts w:ascii="Arial" w:hAnsi="Arial" w:cs="Arial"/>
        </w:rPr>
        <w:t>Del Rosso, R. (2025</w:t>
      </w:r>
      <w:r>
        <w:rPr>
          <w:rFonts w:ascii="Arial" w:hAnsi="Arial" w:cs="Arial"/>
        </w:rPr>
        <w:t>c</w:t>
      </w:r>
      <w:r w:rsidRPr="00182FC7">
        <w:rPr>
          <w:rFonts w:ascii="Arial" w:hAnsi="Arial" w:cs="Arial"/>
        </w:rPr>
        <w:t xml:space="preserve">). </w:t>
      </w:r>
      <w:r w:rsidRPr="00182FC7">
        <w:rPr>
          <w:rFonts w:ascii="Arial" w:hAnsi="Arial" w:cs="Arial"/>
          <w:i/>
          <w:iCs/>
        </w:rPr>
        <w:t xml:space="preserve">Análisis de Series Temporales. </w:t>
      </w:r>
      <w:r w:rsidRPr="00821550">
        <w:rPr>
          <w:rFonts w:ascii="Arial" w:hAnsi="Arial" w:cs="Arial"/>
          <w:i/>
          <w:iCs/>
        </w:rPr>
        <w:t>Clase 7 - AutoML para Series de Tiempo</w:t>
      </w:r>
      <w:r>
        <w:rPr>
          <w:rFonts w:ascii="Arial" w:hAnsi="Arial" w:cs="Arial"/>
          <w:i/>
          <w:iCs/>
        </w:rPr>
        <w:t xml:space="preserve"> </w:t>
      </w:r>
      <w:r w:rsidRPr="00182FC7">
        <w:rPr>
          <w:rFonts w:ascii="Arial" w:hAnsi="Arial" w:cs="Arial"/>
        </w:rPr>
        <w:t>[Archivo PDF].</w:t>
      </w:r>
      <w:r w:rsidR="00FA2588">
        <w:rPr>
          <w:rFonts w:ascii="Arial" w:hAnsi="Arial" w:cs="Arial"/>
        </w:rPr>
        <w:t xml:space="preserve"> </w:t>
      </w:r>
      <w:r w:rsidRPr="00F34E72">
        <w:rPr>
          <w:rFonts w:ascii="Arial" w:hAnsi="Arial" w:cs="Arial"/>
        </w:rPr>
        <w:t>https://campusvirtual.austral.edu.ar/pluginfile.php/3284499/mod_resource/content/3/Clase%206%20-%20Ensambles.pdf</w:t>
      </w:r>
    </w:p>
    <w:p w14:paraId="2DDC6676" w14:textId="69C3EF06" w:rsidR="00A72C98" w:rsidRPr="00182FC7" w:rsidRDefault="00C257F2" w:rsidP="001573BC">
      <w:pPr>
        <w:spacing w:line="360" w:lineRule="auto"/>
        <w:ind w:left="720" w:hanging="720"/>
        <w:jc w:val="both"/>
        <w:rPr>
          <w:rFonts w:ascii="Arial" w:hAnsi="Arial" w:cs="Arial"/>
        </w:rPr>
      </w:pPr>
      <w:r w:rsidRPr="00182FC7">
        <w:rPr>
          <w:rFonts w:ascii="Arial" w:hAnsi="Arial" w:cs="Arial"/>
        </w:rPr>
        <w:t>Diamante</w:t>
      </w:r>
      <w:r w:rsidR="00A72C98" w:rsidRPr="00182FC7">
        <w:rPr>
          <w:rFonts w:ascii="Arial" w:hAnsi="Arial" w:cs="Arial"/>
        </w:rPr>
        <w:t xml:space="preserve">, </w:t>
      </w:r>
      <w:r w:rsidRPr="00182FC7">
        <w:rPr>
          <w:rFonts w:ascii="Arial" w:hAnsi="Arial" w:cs="Arial"/>
        </w:rPr>
        <w:t>S</w:t>
      </w:r>
      <w:r w:rsidR="00A72C98" w:rsidRPr="00182FC7">
        <w:rPr>
          <w:rFonts w:ascii="Arial" w:hAnsi="Arial" w:cs="Arial"/>
        </w:rPr>
        <w:t>. (</w:t>
      </w:r>
      <w:r w:rsidR="00F42E3F" w:rsidRPr="00182FC7">
        <w:rPr>
          <w:rFonts w:ascii="Arial" w:hAnsi="Arial" w:cs="Arial"/>
        </w:rPr>
        <w:t>30</w:t>
      </w:r>
      <w:r w:rsidR="005917AB" w:rsidRPr="00182FC7">
        <w:rPr>
          <w:rFonts w:ascii="Arial" w:hAnsi="Arial" w:cs="Arial"/>
        </w:rPr>
        <w:t xml:space="preserve"> de </w:t>
      </w:r>
      <w:r w:rsidR="00F42E3F" w:rsidRPr="00182FC7">
        <w:rPr>
          <w:rFonts w:ascii="Arial" w:hAnsi="Arial" w:cs="Arial"/>
        </w:rPr>
        <w:t>juli</w:t>
      </w:r>
      <w:r w:rsidR="005917AB" w:rsidRPr="00182FC7">
        <w:rPr>
          <w:rFonts w:ascii="Arial" w:hAnsi="Arial" w:cs="Arial"/>
        </w:rPr>
        <w:t xml:space="preserve">o de </w:t>
      </w:r>
      <w:r w:rsidR="00A72C98" w:rsidRPr="00182FC7">
        <w:rPr>
          <w:rFonts w:ascii="Arial" w:hAnsi="Arial" w:cs="Arial"/>
        </w:rPr>
        <w:t>202</w:t>
      </w:r>
      <w:r w:rsidR="00F42E3F" w:rsidRPr="00182FC7">
        <w:rPr>
          <w:rFonts w:ascii="Arial" w:hAnsi="Arial" w:cs="Arial"/>
        </w:rPr>
        <w:t>4</w:t>
      </w:r>
      <w:r w:rsidR="00A72C98" w:rsidRPr="00182FC7">
        <w:rPr>
          <w:rFonts w:ascii="Arial" w:hAnsi="Arial" w:cs="Arial"/>
        </w:rPr>
        <w:t>).</w:t>
      </w:r>
      <w:r w:rsidR="00F42E3F" w:rsidRPr="00182FC7">
        <w:rPr>
          <w:rFonts w:ascii="Arial" w:hAnsi="Arial" w:cs="Arial"/>
        </w:rPr>
        <w:t xml:space="preserve"> </w:t>
      </w:r>
      <w:r w:rsidR="001573BC" w:rsidRPr="00182FC7">
        <w:rPr>
          <w:rFonts w:ascii="Arial" w:hAnsi="Arial" w:cs="Arial"/>
          <w:i/>
          <w:iCs/>
        </w:rPr>
        <w:t>Los bancos hablan de una situación “desesperante” en las bóvedas por acumulación de billetes viejos</w:t>
      </w:r>
      <w:r w:rsidR="001573BC" w:rsidRPr="00182FC7">
        <w:rPr>
          <w:rFonts w:ascii="Arial" w:hAnsi="Arial" w:cs="Arial"/>
        </w:rPr>
        <w:t>. La Nación. https://www.lanacion.com.ar/economia/los-bancos-hablan-de-una-situacion-desesperante-en-las-bovedas-por-acumulacion-de-billetes-viejos-nid30072024/</w:t>
      </w:r>
    </w:p>
    <w:p w14:paraId="7E4AFD50" w14:textId="27EDE202" w:rsidR="004521EA" w:rsidRPr="00182FC7" w:rsidRDefault="003E499A" w:rsidP="001573BC">
      <w:pPr>
        <w:spacing w:line="360" w:lineRule="auto"/>
        <w:ind w:left="720" w:hanging="720"/>
        <w:jc w:val="both"/>
        <w:rPr>
          <w:rFonts w:ascii="Arial" w:hAnsi="Arial" w:cs="Arial"/>
        </w:rPr>
      </w:pPr>
      <w:r w:rsidRPr="00182FC7">
        <w:rPr>
          <w:rFonts w:ascii="Arial" w:hAnsi="Arial" w:cs="Arial"/>
        </w:rPr>
        <w:lastRenderedPageBreak/>
        <w:t>Filas</w:t>
      </w:r>
      <w:r w:rsidR="004521EA" w:rsidRPr="00182FC7">
        <w:rPr>
          <w:rFonts w:ascii="Arial" w:hAnsi="Arial" w:cs="Arial"/>
        </w:rPr>
        <w:t xml:space="preserve">, </w:t>
      </w:r>
      <w:r w:rsidRPr="00182FC7">
        <w:rPr>
          <w:rFonts w:ascii="Arial" w:hAnsi="Arial" w:cs="Arial"/>
        </w:rPr>
        <w:t>C</w:t>
      </w:r>
      <w:r w:rsidR="004521EA" w:rsidRPr="00182FC7">
        <w:rPr>
          <w:rFonts w:ascii="Arial" w:hAnsi="Arial" w:cs="Arial"/>
        </w:rPr>
        <w:t>. (</w:t>
      </w:r>
      <w:r w:rsidRPr="00182FC7">
        <w:rPr>
          <w:rFonts w:ascii="Arial" w:hAnsi="Arial" w:cs="Arial"/>
        </w:rPr>
        <w:t>21</w:t>
      </w:r>
      <w:r w:rsidR="004521EA" w:rsidRPr="00182FC7">
        <w:rPr>
          <w:rFonts w:ascii="Arial" w:hAnsi="Arial" w:cs="Arial"/>
        </w:rPr>
        <w:t xml:space="preserve"> de ju</w:t>
      </w:r>
      <w:r w:rsidRPr="00182FC7">
        <w:rPr>
          <w:rFonts w:ascii="Arial" w:hAnsi="Arial" w:cs="Arial"/>
        </w:rPr>
        <w:t>n</w:t>
      </w:r>
      <w:r w:rsidR="004521EA" w:rsidRPr="00182FC7">
        <w:rPr>
          <w:rFonts w:ascii="Arial" w:hAnsi="Arial" w:cs="Arial"/>
        </w:rPr>
        <w:t>io de 202</w:t>
      </w:r>
      <w:r w:rsidRPr="00182FC7">
        <w:rPr>
          <w:rFonts w:ascii="Arial" w:hAnsi="Arial" w:cs="Arial"/>
        </w:rPr>
        <w:t>5</w:t>
      </w:r>
      <w:r w:rsidR="004521EA" w:rsidRPr="00182FC7">
        <w:rPr>
          <w:rFonts w:ascii="Arial" w:hAnsi="Arial" w:cs="Arial"/>
        </w:rPr>
        <w:t xml:space="preserve">). </w:t>
      </w:r>
      <w:r w:rsidR="001573BC" w:rsidRPr="00182FC7">
        <w:rPr>
          <w:rFonts w:ascii="Arial" w:hAnsi="Arial" w:cs="Arial"/>
          <w:i/>
          <w:iCs/>
        </w:rPr>
        <w:t>Bóvedas hasta el techo, un sistema que no alcanza y el caso de Brasil: por qué el BCRA estudia quemar billetes</w:t>
      </w:r>
      <w:r w:rsidR="001573BC" w:rsidRPr="00182FC7">
        <w:rPr>
          <w:rFonts w:ascii="Arial" w:hAnsi="Arial" w:cs="Arial"/>
        </w:rPr>
        <w:t>. Clarín. https://www.clarin.com/economia/bovedas-techo-sistema-alcanza-caso-brasil-bcra-estudia-quemar-billetes_0_3PrVLLvZ6N.html</w:t>
      </w:r>
    </w:p>
    <w:p w14:paraId="35B3ED87" w14:textId="2848BCBC" w:rsidR="00A54968" w:rsidRPr="00182FC7" w:rsidRDefault="00A54968" w:rsidP="001573BC">
      <w:pPr>
        <w:spacing w:line="360" w:lineRule="auto"/>
        <w:ind w:left="720" w:hanging="720"/>
        <w:jc w:val="both"/>
        <w:rPr>
          <w:rFonts w:ascii="Arial" w:hAnsi="Arial" w:cs="Arial"/>
          <w:lang w:val="en-US"/>
        </w:rPr>
      </w:pPr>
      <w:r w:rsidRPr="61FA198A">
        <w:rPr>
          <w:rFonts w:ascii="Arial" w:hAnsi="Arial" w:cs="Arial"/>
        </w:rPr>
        <w:t xml:space="preserve">Gujarati, D. </w:t>
      </w:r>
      <w:r w:rsidR="00FC3BE1" w:rsidRPr="61FA198A">
        <w:rPr>
          <w:rFonts w:ascii="Arial" w:hAnsi="Arial" w:cs="Arial"/>
        </w:rPr>
        <w:t xml:space="preserve">N. </w:t>
      </w:r>
      <w:r w:rsidRPr="61FA198A">
        <w:rPr>
          <w:rFonts w:ascii="Arial" w:hAnsi="Arial" w:cs="Arial"/>
        </w:rPr>
        <w:t xml:space="preserve">y Porter, D. </w:t>
      </w:r>
      <w:r w:rsidR="00FC3BE1" w:rsidRPr="61FA198A">
        <w:rPr>
          <w:rFonts w:ascii="Arial" w:hAnsi="Arial" w:cs="Arial"/>
        </w:rPr>
        <w:t xml:space="preserve">C. </w:t>
      </w:r>
      <w:r w:rsidRPr="61FA198A">
        <w:rPr>
          <w:rFonts w:ascii="Arial" w:hAnsi="Arial" w:cs="Arial"/>
        </w:rPr>
        <w:t xml:space="preserve">(2010). </w:t>
      </w:r>
      <w:r w:rsidR="00BB16F1" w:rsidRPr="61FA198A">
        <w:rPr>
          <w:rFonts w:ascii="Arial" w:hAnsi="Arial" w:cs="Arial"/>
          <w:i/>
          <w:iCs/>
          <w:lang w:val="en-US"/>
        </w:rPr>
        <w:t>Econometría</w:t>
      </w:r>
      <w:r w:rsidR="00BB16F1" w:rsidRPr="61FA198A">
        <w:rPr>
          <w:rFonts w:ascii="Arial" w:hAnsi="Arial" w:cs="Arial"/>
          <w:lang w:val="en-US"/>
        </w:rPr>
        <w:t xml:space="preserve">. </w:t>
      </w:r>
      <w:r w:rsidR="004F2DA4" w:rsidRPr="61FA198A">
        <w:rPr>
          <w:rFonts w:ascii="Arial" w:hAnsi="Arial" w:cs="Arial"/>
          <w:lang w:val="en-US"/>
        </w:rPr>
        <w:t>(5</w:t>
      </w:r>
      <w:r w:rsidR="00B80E1B" w:rsidRPr="61FA198A">
        <w:rPr>
          <w:rFonts w:ascii="Arial" w:hAnsi="Arial" w:cs="Arial"/>
          <w:lang w:val="en-US"/>
        </w:rPr>
        <w:t>ª ed.). McGraw-Hill.</w:t>
      </w:r>
    </w:p>
    <w:p w14:paraId="426B1D8F" w14:textId="4B16F35E" w:rsidR="0DFD2F3F" w:rsidRDefault="0DFD2F3F" w:rsidP="61FA198A">
      <w:pPr>
        <w:spacing w:line="360" w:lineRule="auto"/>
        <w:ind w:left="720" w:hanging="720"/>
        <w:jc w:val="both"/>
        <w:rPr>
          <w:rFonts w:ascii="Arial" w:hAnsi="Arial" w:cs="Arial"/>
          <w:lang w:val="en-US"/>
        </w:rPr>
      </w:pPr>
      <w:r w:rsidRPr="61FA198A">
        <w:rPr>
          <w:rFonts w:ascii="Arial" w:hAnsi="Arial" w:cs="Arial"/>
          <w:lang w:val="en-US"/>
        </w:rPr>
        <w:t>Hochreiter, S., &amp; Schmidhuber, J. (1997). Long Short-Term Memory. Neural Computation, 9(8), 1735–1780. https://doi.org/10.1162/neco.1997.9.8.1735</w:t>
      </w:r>
    </w:p>
    <w:p w14:paraId="0DEBDE13" w14:textId="1B3233DF" w:rsidR="27A7FCB3" w:rsidRPr="004962D0" w:rsidRDefault="00B601AD" w:rsidP="27A7FCB3">
      <w:pPr>
        <w:spacing w:line="360" w:lineRule="auto"/>
        <w:ind w:left="720" w:hanging="720"/>
        <w:jc w:val="both"/>
        <w:rPr>
          <w:rFonts w:ascii="Arial" w:hAnsi="Arial" w:cs="Arial"/>
          <w:lang w:val="en-US"/>
        </w:rPr>
      </w:pPr>
      <w:r w:rsidRPr="004962D0">
        <w:rPr>
          <w:rFonts w:ascii="Arial" w:hAnsi="Arial" w:cs="Arial"/>
          <w:lang w:val="en-US"/>
        </w:rPr>
        <w:t>IBM.</w:t>
      </w:r>
      <w:r w:rsidR="756290C7" w:rsidRPr="004962D0">
        <w:rPr>
          <w:rFonts w:ascii="Arial" w:hAnsi="Arial" w:cs="Arial"/>
          <w:lang w:val="en-US"/>
        </w:rPr>
        <w:t xml:space="preserve"> </w:t>
      </w:r>
      <w:r w:rsidR="2409FB6C" w:rsidRPr="004962D0">
        <w:rPr>
          <w:rFonts w:ascii="Arial" w:hAnsi="Arial" w:cs="Arial"/>
          <w:lang w:val="en-US"/>
        </w:rPr>
        <w:t>(</w:t>
      </w:r>
      <w:r w:rsidR="004962D0" w:rsidRPr="004962D0">
        <w:rPr>
          <w:rFonts w:ascii="Arial" w:hAnsi="Arial" w:cs="Arial"/>
          <w:lang w:val="en-US"/>
        </w:rPr>
        <w:t>22 de septiembre de 2021</w:t>
      </w:r>
      <w:r w:rsidR="756290C7" w:rsidRPr="004962D0">
        <w:rPr>
          <w:rFonts w:ascii="Arial" w:hAnsi="Arial" w:cs="Arial"/>
          <w:lang w:val="en-US"/>
        </w:rPr>
        <w:t xml:space="preserve">). </w:t>
      </w:r>
      <w:r w:rsidR="004962D0" w:rsidRPr="004962D0">
        <w:rPr>
          <w:rFonts w:ascii="Arial" w:hAnsi="Arial" w:cs="Arial"/>
          <w:i/>
          <w:lang w:val="en-US"/>
        </w:rPr>
        <w:t>What is machine learning?</w:t>
      </w:r>
      <w:r w:rsidR="007F57E4">
        <w:rPr>
          <w:rFonts w:ascii="Arial" w:hAnsi="Arial" w:cs="Arial"/>
          <w:iCs/>
          <w:lang w:val="en-US"/>
        </w:rPr>
        <w:t>,</w:t>
      </w:r>
      <w:r w:rsidR="004962D0">
        <w:rPr>
          <w:rFonts w:ascii="Arial" w:hAnsi="Arial" w:cs="Arial"/>
          <w:lang w:val="en-US"/>
        </w:rPr>
        <w:t xml:space="preserve"> </w:t>
      </w:r>
      <w:r w:rsidR="00D23921">
        <w:rPr>
          <w:rFonts w:ascii="Arial" w:hAnsi="Arial" w:cs="Arial"/>
          <w:lang w:val="en-US"/>
        </w:rPr>
        <w:t xml:space="preserve">IBM. </w:t>
      </w:r>
      <w:r w:rsidR="004962D0" w:rsidRPr="004962D0">
        <w:rPr>
          <w:rFonts w:ascii="Arial" w:hAnsi="Arial" w:cs="Arial"/>
          <w:lang w:val="en-US"/>
        </w:rPr>
        <w:t>https://www.ibm.com/think/topics/machine-learning</w:t>
      </w:r>
    </w:p>
    <w:p w14:paraId="54B95F80" w14:textId="0721DFDE" w:rsidR="004A3CA5" w:rsidRDefault="00DD584B" w:rsidP="003C11A9">
      <w:pPr>
        <w:spacing w:line="360" w:lineRule="auto"/>
        <w:ind w:left="720" w:hanging="720"/>
        <w:jc w:val="both"/>
        <w:rPr>
          <w:rFonts w:ascii="Arial" w:hAnsi="Arial" w:cs="Arial"/>
          <w:lang w:val="en-US"/>
        </w:rPr>
      </w:pPr>
      <w:r>
        <w:rPr>
          <w:rFonts w:ascii="Arial" w:hAnsi="Arial" w:cs="Arial"/>
          <w:lang w:val="en-US"/>
        </w:rPr>
        <w:t>Kakkos</w:t>
      </w:r>
      <w:r w:rsidR="004A3CA5" w:rsidRPr="004A3CA5">
        <w:rPr>
          <w:rFonts w:ascii="Arial" w:hAnsi="Arial" w:cs="Arial"/>
          <w:lang w:val="en-US"/>
        </w:rPr>
        <w:t xml:space="preserve">, </w:t>
      </w:r>
      <w:r>
        <w:rPr>
          <w:rFonts w:ascii="Arial" w:hAnsi="Arial" w:cs="Arial"/>
          <w:lang w:val="en-US"/>
        </w:rPr>
        <w:t>I</w:t>
      </w:r>
      <w:r w:rsidR="004A3CA5" w:rsidRPr="004A3CA5">
        <w:rPr>
          <w:rFonts w:ascii="Arial" w:hAnsi="Arial" w:cs="Arial"/>
          <w:lang w:val="en-US"/>
        </w:rPr>
        <w:t>.</w:t>
      </w:r>
      <w:r>
        <w:rPr>
          <w:rFonts w:ascii="Arial" w:hAnsi="Arial" w:cs="Arial"/>
          <w:lang w:val="en-US"/>
        </w:rPr>
        <w:t xml:space="preserve"> et al</w:t>
      </w:r>
      <w:r w:rsidR="004A3CA5" w:rsidRPr="004A3CA5">
        <w:rPr>
          <w:rFonts w:ascii="Arial" w:hAnsi="Arial" w:cs="Arial"/>
          <w:lang w:val="en-US"/>
        </w:rPr>
        <w:t>. (20</w:t>
      </w:r>
      <w:r>
        <w:rPr>
          <w:rFonts w:ascii="Arial" w:hAnsi="Arial" w:cs="Arial"/>
          <w:lang w:val="en-US"/>
        </w:rPr>
        <w:t>23</w:t>
      </w:r>
      <w:r w:rsidR="004A3CA5" w:rsidRPr="004A3CA5">
        <w:rPr>
          <w:rFonts w:ascii="Arial" w:hAnsi="Arial" w:cs="Arial"/>
          <w:lang w:val="en-US"/>
        </w:rPr>
        <w:t xml:space="preserve">). </w:t>
      </w:r>
      <w:r w:rsidRPr="00DD584B">
        <w:rPr>
          <w:rFonts w:ascii="Arial" w:hAnsi="Arial" w:cs="Arial"/>
          <w:i/>
          <w:iCs/>
          <w:lang w:val="en-US"/>
        </w:rPr>
        <w:t>A Review of ARIMA vs. Machine Learning Approaches for</w:t>
      </w:r>
      <w:r w:rsidR="00A607E7">
        <w:rPr>
          <w:rFonts w:ascii="Arial" w:hAnsi="Arial" w:cs="Arial"/>
          <w:i/>
          <w:iCs/>
          <w:lang w:val="en-US"/>
        </w:rPr>
        <w:t xml:space="preserve"> </w:t>
      </w:r>
      <w:r w:rsidRPr="00DD584B">
        <w:rPr>
          <w:rFonts w:ascii="Arial" w:hAnsi="Arial" w:cs="Arial"/>
          <w:i/>
          <w:iCs/>
          <w:lang w:val="en-US"/>
        </w:rPr>
        <w:t>Time Series Forecasting in Data Driven Networks</w:t>
      </w:r>
      <w:r w:rsidR="004A3CA5" w:rsidRPr="004A3CA5">
        <w:rPr>
          <w:rFonts w:ascii="Arial" w:hAnsi="Arial" w:cs="Arial"/>
          <w:lang w:val="en-US"/>
        </w:rPr>
        <w:t xml:space="preserve">. </w:t>
      </w:r>
      <w:r w:rsidR="004A3CA5" w:rsidRPr="00053179">
        <w:rPr>
          <w:rFonts w:ascii="Arial" w:hAnsi="Arial" w:cs="Arial"/>
          <w:i/>
          <w:iCs/>
          <w:lang w:val="en-US"/>
        </w:rPr>
        <w:t>MDPI</w:t>
      </w:r>
      <w:r w:rsidR="004A3CA5" w:rsidRPr="004A3CA5">
        <w:rPr>
          <w:rFonts w:ascii="Arial" w:hAnsi="Arial" w:cs="Arial"/>
          <w:lang w:val="en-US"/>
        </w:rPr>
        <w:t>. https://doi.org/10.3390/</w:t>
      </w:r>
      <w:r w:rsidR="00792E42">
        <w:rPr>
          <w:rFonts w:ascii="Arial" w:hAnsi="Arial" w:cs="Arial"/>
          <w:lang w:val="en-US"/>
        </w:rPr>
        <w:t>fi15</w:t>
      </w:r>
      <w:r w:rsidR="00A607E7">
        <w:rPr>
          <w:rFonts w:ascii="Arial" w:hAnsi="Arial" w:cs="Arial"/>
          <w:lang w:val="en-US"/>
        </w:rPr>
        <w:t>080255</w:t>
      </w:r>
    </w:p>
    <w:p w14:paraId="4C695424" w14:textId="5544FBE3" w:rsidR="00066638" w:rsidRDefault="00066638" w:rsidP="00066638">
      <w:pPr>
        <w:spacing w:line="360" w:lineRule="auto"/>
        <w:ind w:left="720" w:hanging="720"/>
        <w:jc w:val="both"/>
        <w:rPr>
          <w:rFonts w:ascii="Arial" w:hAnsi="Arial" w:cs="Arial"/>
          <w:lang w:val="en-US"/>
        </w:rPr>
      </w:pPr>
      <w:r>
        <w:rPr>
          <w:rFonts w:ascii="Arial" w:hAnsi="Arial" w:cs="Arial"/>
          <w:lang w:val="en-US"/>
        </w:rPr>
        <w:t xml:space="preserve">Ke, G. et al. (2017). </w:t>
      </w:r>
      <w:r w:rsidRPr="008B1C2C">
        <w:rPr>
          <w:rFonts w:ascii="Arial" w:hAnsi="Arial" w:cs="Arial"/>
          <w:i/>
          <w:iCs/>
          <w:lang w:val="en-US"/>
        </w:rPr>
        <w:t>LightGBM: A Highly Efficient Gradient Boosting Decision Tree</w:t>
      </w:r>
      <w:r w:rsidR="00C9089E">
        <w:rPr>
          <w:rFonts w:ascii="Arial" w:hAnsi="Arial" w:cs="Arial"/>
          <w:lang w:val="en-US"/>
        </w:rPr>
        <w:t xml:space="preserve">. </w:t>
      </w:r>
      <w:r w:rsidR="003F69C6" w:rsidRPr="003F69C6">
        <w:rPr>
          <w:rFonts w:ascii="Arial" w:hAnsi="Arial" w:cs="Arial"/>
          <w:lang w:val="en-US"/>
        </w:rPr>
        <w:t>31st Conference on Neural Information Processing Systems (NIPS 2017), Long Beach, CA, USA.</w:t>
      </w:r>
      <w:r w:rsidR="008B1C2C">
        <w:rPr>
          <w:rFonts w:ascii="Arial" w:hAnsi="Arial" w:cs="Arial"/>
          <w:lang w:val="en-US"/>
        </w:rPr>
        <w:t xml:space="preserve"> </w:t>
      </w:r>
      <w:r w:rsidR="008B1C2C" w:rsidRPr="008B1C2C">
        <w:rPr>
          <w:rFonts w:ascii="Arial" w:hAnsi="Arial" w:cs="Arial"/>
          <w:lang w:val="en-US"/>
        </w:rPr>
        <w:t>https://proceedings.neurips.cc/paper_files/paper/2017/file/6449f44a102fde848669bdd9eb6b76fa-Paper.pdf</w:t>
      </w:r>
    </w:p>
    <w:p w14:paraId="55DF0349" w14:textId="11601CEB" w:rsidR="00810DD2" w:rsidRDefault="00810DD2" w:rsidP="00D85583">
      <w:pPr>
        <w:spacing w:line="360" w:lineRule="auto"/>
        <w:ind w:left="720" w:hanging="720"/>
        <w:jc w:val="both"/>
        <w:rPr>
          <w:rFonts w:ascii="Arial" w:hAnsi="Arial" w:cs="Arial"/>
          <w:lang w:val="en-US"/>
        </w:rPr>
      </w:pPr>
      <w:r>
        <w:rPr>
          <w:rFonts w:ascii="Arial" w:hAnsi="Arial" w:cs="Arial"/>
          <w:lang w:val="en-US"/>
        </w:rPr>
        <w:t xml:space="preserve">LeDell, E. y Poirier, S. (2020). </w:t>
      </w:r>
      <w:r w:rsidRPr="00810DD2">
        <w:rPr>
          <w:rFonts w:ascii="Arial" w:hAnsi="Arial" w:cs="Arial"/>
          <w:i/>
          <w:iCs/>
          <w:lang w:val="en-US"/>
        </w:rPr>
        <w:t>H2O AutoML: Scalable Automatic Machine Learning</w:t>
      </w:r>
      <w:r>
        <w:rPr>
          <w:rFonts w:ascii="Arial" w:hAnsi="Arial" w:cs="Arial"/>
          <w:lang w:val="en-US"/>
        </w:rPr>
        <w:t xml:space="preserve">. </w:t>
      </w:r>
      <w:r w:rsidR="0030327A" w:rsidRPr="0030327A">
        <w:rPr>
          <w:rFonts w:ascii="Arial" w:hAnsi="Arial" w:cs="Arial"/>
          <w:lang w:val="en-US"/>
        </w:rPr>
        <w:t>7th ICML Workshop on Automated Machine Learning (2020)</w:t>
      </w:r>
      <w:r w:rsidR="0030327A">
        <w:rPr>
          <w:rFonts w:ascii="Arial" w:hAnsi="Arial" w:cs="Arial"/>
          <w:lang w:val="en-US"/>
        </w:rPr>
        <w:t xml:space="preserve">. </w:t>
      </w:r>
      <w:r w:rsidR="0030327A" w:rsidRPr="0030327A">
        <w:rPr>
          <w:rFonts w:ascii="Arial" w:hAnsi="Arial" w:cs="Arial"/>
          <w:lang w:val="en-US"/>
        </w:rPr>
        <w:t>https://www.automl.org/wp-content/uploads/2020/07/AutoML_2020_paper_61.pdf</w:t>
      </w:r>
    </w:p>
    <w:p w14:paraId="26404E14" w14:textId="62579AEB" w:rsidR="00FE0190" w:rsidRPr="0070593C" w:rsidRDefault="00FE0190" w:rsidP="00D85583">
      <w:pPr>
        <w:spacing w:line="360" w:lineRule="auto"/>
        <w:ind w:left="720" w:hanging="720"/>
        <w:jc w:val="both"/>
        <w:rPr>
          <w:rFonts w:ascii="Arial" w:hAnsi="Arial" w:cs="Arial"/>
        </w:rPr>
      </w:pPr>
      <w:r w:rsidRPr="0070593C">
        <w:rPr>
          <w:rFonts w:ascii="Arial" w:hAnsi="Arial" w:cs="Arial"/>
          <w:lang w:val="en-US"/>
        </w:rPr>
        <w:t>L</w:t>
      </w:r>
      <w:r w:rsidR="0070593C">
        <w:rPr>
          <w:rFonts w:ascii="Arial" w:hAnsi="Arial" w:cs="Arial"/>
          <w:lang w:val="en-US"/>
        </w:rPr>
        <w:t>olea</w:t>
      </w:r>
      <w:r w:rsidRPr="0070593C">
        <w:rPr>
          <w:rFonts w:ascii="Arial" w:hAnsi="Arial" w:cs="Arial"/>
          <w:lang w:val="en-US"/>
        </w:rPr>
        <w:t xml:space="preserve">, </w:t>
      </w:r>
      <w:r w:rsidR="0070593C" w:rsidRPr="0070593C">
        <w:rPr>
          <w:rFonts w:ascii="Arial" w:hAnsi="Arial" w:cs="Arial"/>
          <w:lang w:val="en-US"/>
        </w:rPr>
        <w:t>I</w:t>
      </w:r>
      <w:r w:rsidRPr="0070593C">
        <w:rPr>
          <w:rFonts w:ascii="Arial" w:hAnsi="Arial" w:cs="Arial"/>
          <w:lang w:val="en-US"/>
        </w:rPr>
        <w:t>.</w:t>
      </w:r>
      <w:r w:rsidR="0065236D">
        <w:rPr>
          <w:rFonts w:ascii="Arial" w:hAnsi="Arial" w:cs="Arial"/>
          <w:lang w:val="en-US"/>
        </w:rPr>
        <w:t xml:space="preserve"> C.</w:t>
      </w:r>
      <w:r w:rsidR="0070593C">
        <w:rPr>
          <w:rFonts w:ascii="Arial" w:hAnsi="Arial" w:cs="Arial"/>
          <w:lang w:val="en-US"/>
        </w:rPr>
        <w:t xml:space="preserve">, </w:t>
      </w:r>
      <w:r w:rsidR="0065236D">
        <w:rPr>
          <w:rFonts w:ascii="Arial" w:hAnsi="Arial" w:cs="Arial"/>
          <w:lang w:val="en-US"/>
        </w:rPr>
        <w:t>Petrariu, I. R. y Giurgiu, A.</w:t>
      </w:r>
      <w:r w:rsidRPr="0070593C">
        <w:rPr>
          <w:rFonts w:ascii="Arial" w:hAnsi="Arial" w:cs="Arial"/>
          <w:lang w:val="en-US"/>
        </w:rPr>
        <w:t xml:space="preserve"> (2018). </w:t>
      </w:r>
      <w:r w:rsidR="00D85583" w:rsidRPr="00D85583">
        <w:rPr>
          <w:rFonts w:ascii="Arial" w:hAnsi="Arial" w:cs="Arial"/>
          <w:i/>
          <w:iCs/>
          <w:lang w:val="en-US"/>
        </w:rPr>
        <w:t>ARIMA vs. M</w:t>
      </w:r>
      <w:r w:rsidR="00D85583">
        <w:rPr>
          <w:rFonts w:ascii="Arial" w:hAnsi="Arial" w:cs="Arial"/>
          <w:i/>
          <w:iCs/>
          <w:lang w:val="en-US"/>
        </w:rPr>
        <w:t>achine</w:t>
      </w:r>
      <w:r w:rsidR="00D85583" w:rsidRPr="00D85583">
        <w:rPr>
          <w:rFonts w:ascii="Arial" w:hAnsi="Arial" w:cs="Arial"/>
          <w:i/>
          <w:iCs/>
          <w:lang w:val="en-US"/>
        </w:rPr>
        <w:t xml:space="preserve"> </w:t>
      </w:r>
      <w:r w:rsidR="00D85583">
        <w:rPr>
          <w:rFonts w:ascii="Arial" w:hAnsi="Arial" w:cs="Arial"/>
          <w:i/>
          <w:iCs/>
          <w:lang w:val="en-US"/>
        </w:rPr>
        <w:t>learning</w:t>
      </w:r>
      <w:r w:rsidR="00D85583" w:rsidRPr="00D85583">
        <w:rPr>
          <w:rFonts w:ascii="Arial" w:hAnsi="Arial" w:cs="Arial"/>
          <w:i/>
          <w:iCs/>
          <w:lang w:val="en-US"/>
        </w:rPr>
        <w:t xml:space="preserve"> </w:t>
      </w:r>
      <w:r w:rsidR="00D85583">
        <w:rPr>
          <w:rFonts w:ascii="Arial" w:hAnsi="Arial" w:cs="Arial"/>
          <w:i/>
          <w:iCs/>
          <w:lang w:val="en-US"/>
        </w:rPr>
        <w:t>in</w:t>
      </w:r>
      <w:r w:rsidR="00D85583" w:rsidRPr="00D85583">
        <w:rPr>
          <w:rFonts w:ascii="Arial" w:hAnsi="Arial" w:cs="Arial"/>
          <w:i/>
          <w:iCs/>
          <w:lang w:val="en-US"/>
        </w:rPr>
        <w:t xml:space="preserve"> </w:t>
      </w:r>
      <w:r w:rsidR="00D85583">
        <w:rPr>
          <w:rFonts w:ascii="Arial" w:hAnsi="Arial" w:cs="Arial"/>
          <w:i/>
          <w:iCs/>
          <w:lang w:val="en-US"/>
        </w:rPr>
        <w:t>terms</w:t>
      </w:r>
      <w:r w:rsidR="00D85583" w:rsidRPr="00D85583">
        <w:rPr>
          <w:rFonts w:ascii="Arial" w:hAnsi="Arial" w:cs="Arial"/>
          <w:i/>
          <w:iCs/>
          <w:lang w:val="en-US"/>
        </w:rPr>
        <w:t xml:space="preserve"> </w:t>
      </w:r>
      <w:r w:rsidR="00D85583">
        <w:rPr>
          <w:rFonts w:ascii="Arial" w:hAnsi="Arial" w:cs="Arial"/>
          <w:i/>
          <w:iCs/>
          <w:lang w:val="en-US"/>
        </w:rPr>
        <w:t>of</w:t>
      </w:r>
      <w:r w:rsidR="00D85583" w:rsidRPr="00D85583">
        <w:rPr>
          <w:rFonts w:ascii="Arial" w:hAnsi="Arial" w:cs="Arial"/>
          <w:i/>
          <w:iCs/>
          <w:lang w:val="en-US"/>
        </w:rPr>
        <w:t xml:space="preserve"> </w:t>
      </w:r>
      <w:r w:rsidR="00D85583">
        <w:rPr>
          <w:rFonts w:ascii="Arial" w:hAnsi="Arial" w:cs="Arial"/>
          <w:i/>
          <w:iCs/>
          <w:lang w:val="en-US"/>
        </w:rPr>
        <w:t>equity</w:t>
      </w:r>
      <w:r w:rsidR="00D85583" w:rsidRPr="00D85583">
        <w:rPr>
          <w:rFonts w:ascii="Arial" w:hAnsi="Arial" w:cs="Arial"/>
          <w:i/>
          <w:iCs/>
          <w:lang w:val="en-US"/>
        </w:rPr>
        <w:t xml:space="preserve"> </w:t>
      </w:r>
      <w:r w:rsidR="00D85583">
        <w:rPr>
          <w:rFonts w:ascii="Arial" w:hAnsi="Arial" w:cs="Arial"/>
          <w:i/>
          <w:iCs/>
          <w:lang w:val="en-US"/>
        </w:rPr>
        <w:t>market forecasting</w:t>
      </w:r>
      <w:r w:rsidR="003C11A9" w:rsidRPr="0070593C">
        <w:rPr>
          <w:rFonts w:ascii="Arial" w:hAnsi="Arial" w:cs="Arial"/>
          <w:lang w:val="en-US"/>
        </w:rPr>
        <w:t xml:space="preserve">. </w:t>
      </w:r>
      <w:r w:rsidR="004C67E8" w:rsidRPr="004C67E8">
        <w:rPr>
          <w:rFonts w:ascii="Arial" w:hAnsi="Arial" w:cs="Arial"/>
        </w:rPr>
        <w:t>Annals of Faculty of Economics, University of Oradea, Faculty of Economics, vol. 30(2), p</w:t>
      </w:r>
      <w:r w:rsidR="004C67E8">
        <w:rPr>
          <w:rFonts w:ascii="Arial" w:hAnsi="Arial" w:cs="Arial"/>
        </w:rPr>
        <w:t>p.</w:t>
      </w:r>
      <w:r w:rsidR="004C67E8" w:rsidRPr="004C67E8">
        <w:rPr>
          <w:rFonts w:ascii="Arial" w:hAnsi="Arial" w:cs="Arial"/>
        </w:rPr>
        <w:t xml:space="preserve"> 299-308</w:t>
      </w:r>
      <w:r w:rsidR="003C11A9" w:rsidRPr="0070593C">
        <w:rPr>
          <w:rFonts w:ascii="Arial" w:hAnsi="Arial" w:cs="Arial"/>
        </w:rPr>
        <w:t>.</w:t>
      </w:r>
    </w:p>
    <w:p w14:paraId="1600D588" w14:textId="3BDDC54D" w:rsidR="00615D5C" w:rsidRDefault="00615D5C" w:rsidP="001573BC">
      <w:pPr>
        <w:spacing w:line="360" w:lineRule="auto"/>
        <w:ind w:left="720" w:hanging="720"/>
        <w:jc w:val="both"/>
        <w:rPr>
          <w:rFonts w:ascii="Arial" w:hAnsi="Arial" w:cs="Arial"/>
        </w:rPr>
      </w:pPr>
      <w:r>
        <w:rPr>
          <w:rFonts w:ascii="Arial" w:hAnsi="Arial" w:cs="Arial"/>
        </w:rPr>
        <w:t xml:space="preserve">Lutkevich, B. (24 de junio de 2024). </w:t>
      </w:r>
      <w:r w:rsidR="004918A6" w:rsidRPr="004918A6">
        <w:rPr>
          <w:rFonts w:ascii="Arial" w:hAnsi="Arial" w:cs="Arial"/>
          <w:i/>
          <w:iCs/>
        </w:rPr>
        <w:t>automated machine learning (AutoML)</w:t>
      </w:r>
      <w:r w:rsidR="004918A6">
        <w:rPr>
          <w:rFonts w:ascii="Arial" w:hAnsi="Arial" w:cs="Arial"/>
        </w:rPr>
        <w:t xml:space="preserve">. </w:t>
      </w:r>
      <w:r w:rsidR="00EA0DBA">
        <w:rPr>
          <w:rFonts w:ascii="Arial" w:hAnsi="Arial" w:cs="Arial"/>
        </w:rPr>
        <w:t xml:space="preserve">TechTarget. </w:t>
      </w:r>
      <w:r w:rsidR="00EA0DBA" w:rsidRPr="00EA0DBA">
        <w:rPr>
          <w:rFonts w:ascii="Arial" w:hAnsi="Arial" w:cs="Arial"/>
        </w:rPr>
        <w:t>https://www.techtarget.com/searchenterpriseai/definition/automated-machine-learning-AutoML</w:t>
      </w:r>
    </w:p>
    <w:p w14:paraId="173E59B1" w14:textId="532D902C" w:rsidR="002E470D" w:rsidRPr="00182FC7" w:rsidRDefault="002E470D" w:rsidP="001573BC">
      <w:pPr>
        <w:spacing w:line="360" w:lineRule="auto"/>
        <w:ind w:left="720" w:hanging="720"/>
        <w:jc w:val="both"/>
        <w:rPr>
          <w:rFonts w:ascii="Arial" w:hAnsi="Arial" w:cs="Arial"/>
          <w:lang w:val="en-US"/>
        </w:rPr>
      </w:pPr>
      <w:r w:rsidRPr="00182FC7">
        <w:rPr>
          <w:rFonts w:ascii="Arial" w:hAnsi="Arial" w:cs="Arial"/>
        </w:rPr>
        <w:t xml:space="preserve">Mauricio, J. A. (2007). </w:t>
      </w:r>
      <w:r w:rsidRPr="00182FC7">
        <w:rPr>
          <w:rFonts w:ascii="Arial" w:hAnsi="Arial" w:cs="Arial"/>
          <w:i/>
          <w:iCs/>
        </w:rPr>
        <w:t>Introducción al Análisis de Series Temporales</w:t>
      </w:r>
      <w:r w:rsidRPr="00182FC7">
        <w:rPr>
          <w:rFonts w:ascii="Arial" w:hAnsi="Arial" w:cs="Arial"/>
        </w:rPr>
        <w:t xml:space="preserve">. </w:t>
      </w:r>
      <w:r w:rsidR="00562DE9" w:rsidRPr="00182FC7">
        <w:rPr>
          <w:rFonts w:ascii="Arial" w:hAnsi="Arial" w:cs="Arial"/>
          <w:lang w:val="en-US"/>
        </w:rPr>
        <w:t>Universidad Complutense de Madrid.</w:t>
      </w:r>
    </w:p>
    <w:p w14:paraId="43755FCF" w14:textId="75FDCD6E" w:rsidR="00050EEB" w:rsidRPr="00182FC7" w:rsidRDefault="00050EEB" w:rsidP="005F6962">
      <w:pPr>
        <w:spacing w:line="360" w:lineRule="auto"/>
        <w:ind w:left="720" w:hanging="720"/>
        <w:jc w:val="both"/>
        <w:rPr>
          <w:rFonts w:ascii="Arial" w:hAnsi="Arial" w:cs="Arial"/>
          <w:lang w:val="en-US"/>
        </w:rPr>
      </w:pPr>
      <w:r w:rsidRPr="00182FC7">
        <w:rPr>
          <w:rFonts w:ascii="Arial" w:hAnsi="Arial" w:cs="Arial"/>
          <w:lang w:val="en-US"/>
        </w:rPr>
        <w:t xml:space="preserve">Nielsen, A. (2020). </w:t>
      </w:r>
      <w:r w:rsidR="005F6962" w:rsidRPr="00182FC7">
        <w:rPr>
          <w:rFonts w:ascii="Arial" w:hAnsi="Arial" w:cs="Arial"/>
          <w:i/>
          <w:iCs/>
          <w:lang w:val="en-US"/>
        </w:rPr>
        <w:t>Practical Time Series Analysis</w:t>
      </w:r>
      <w:r w:rsidR="009B65D3" w:rsidRPr="00182FC7">
        <w:rPr>
          <w:rFonts w:ascii="Arial" w:hAnsi="Arial" w:cs="Arial"/>
          <w:i/>
          <w:iCs/>
          <w:lang w:val="en-US"/>
        </w:rPr>
        <w:t xml:space="preserve">. </w:t>
      </w:r>
      <w:r w:rsidR="005F6962" w:rsidRPr="00182FC7">
        <w:rPr>
          <w:rFonts w:ascii="Arial" w:hAnsi="Arial" w:cs="Arial"/>
          <w:i/>
          <w:iCs/>
          <w:lang w:val="en-US"/>
        </w:rPr>
        <w:t>Prediction with Statistics and</w:t>
      </w:r>
      <w:r w:rsidR="009B65D3" w:rsidRPr="00182FC7">
        <w:rPr>
          <w:rFonts w:ascii="Arial" w:hAnsi="Arial" w:cs="Arial"/>
          <w:i/>
          <w:iCs/>
          <w:lang w:val="en-US"/>
        </w:rPr>
        <w:t xml:space="preserve"> </w:t>
      </w:r>
      <w:r w:rsidR="005F6962" w:rsidRPr="00182FC7">
        <w:rPr>
          <w:rFonts w:ascii="Arial" w:hAnsi="Arial" w:cs="Arial"/>
          <w:i/>
          <w:iCs/>
          <w:lang w:val="en-US"/>
        </w:rPr>
        <w:t>Machine Learning</w:t>
      </w:r>
      <w:r w:rsidR="009B65D3" w:rsidRPr="00182FC7">
        <w:rPr>
          <w:rFonts w:ascii="Arial" w:hAnsi="Arial" w:cs="Arial"/>
          <w:lang w:val="en-US"/>
        </w:rPr>
        <w:t>. O’Reilly Media, Inc.</w:t>
      </w:r>
    </w:p>
    <w:p w14:paraId="266C03A6" w14:textId="141E91F3" w:rsidR="5C008ACE" w:rsidRDefault="5C008ACE" w:rsidP="76865BC2">
      <w:pPr>
        <w:spacing w:line="360" w:lineRule="auto"/>
        <w:ind w:left="720" w:hanging="720"/>
        <w:jc w:val="both"/>
        <w:rPr>
          <w:rFonts w:ascii="Arial" w:hAnsi="Arial" w:cs="Arial"/>
          <w:lang w:val="en-US"/>
        </w:rPr>
      </w:pPr>
      <w:r w:rsidRPr="76865BC2">
        <w:rPr>
          <w:rFonts w:ascii="Arial" w:hAnsi="Arial" w:cs="Arial"/>
          <w:lang w:val="en-US"/>
        </w:rPr>
        <w:t xml:space="preserve">Olivares, K. G., Challu, C., Marcjasz, G., Weron, R., &amp; Dubrawski, A. (2021). </w:t>
      </w:r>
      <w:r w:rsidRPr="76865BC2">
        <w:rPr>
          <w:rFonts w:ascii="Arial" w:hAnsi="Arial" w:cs="Arial"/>
          <w:i/>
          <w:iCs/>
          <w:lang w:val="en-US"/>
        </w:rPr>
        <w:t>Neural basis expansion analysis with exogenous variables: Forecasting electricity prices with NBEATSx</w:t>
      </w:r>
      <w:r w:rsidRPr="76865BC2">
        <w:rPr>
          <w:rFonts w:ascii="Arial" w:hAnsi="Arial" w:cs="Arial"/>
          <w:lang w:val="en-US"/>
        </w:rPr>
        <w:t>. arXiv preprint. https://arxiv.org/abs/2104.05522</w:t>
      </w:r>
    </w:p>
    <w:p w14:paraId="3E0066E9" w14:textId="0D9E9B5C" w:rsidR="4F63EB12" w:rsidRDefault="4F63EB12" w:rsidP="76865BC2">
      <w:pPr>
        <w:spacing w:line="360" w:lineRule="auto"/>
        <w:ind w:left="720" w:hanging="720"/>
        <w:jc w:val="both"/>
        <w:rPr>
          <w:rFonts w:ascii="Arial" w:hAnsi="Arial" w:cs="Arial"/>
          <w:lang w:val="en-US"/>
        </w:rPr>
      </w:pPr>
      <w:r w:rsidRPr="76865BC2">
        <w:rPr>
          <w:rFonts w:ascii="Arial" w:hAnsi="Arial" w:cs="Arial"/>
          <w:lang w:val="en-US"/>
        </w:rPr>
        <w:lastRenderedPageBreak/>
        <w:t xml:space="preserve">Oreshkin, B. N., Carpov, D., Chapados, N., &amp; Bengio, Y. (2020). </w:t>
      </w:r>
      <w:r w:rsidRPr="76865BC2">
        <w:rPr>
          <w:rFonts w:ascii="Arial" w:hAnsi="Arial" w:cs="Arial"/>
          <w:i/>
          <w:iCs/>
          <w:lang w:val="en-US"/>
        </w:rPr>
        <w:t>N-BEATS: Neural basis expansion analysis for interpretable time series forecasting</w:t>
      </w:r>
      <w:r w:rsidRPr="76865BC2">
        <w:rPr>
          <w:rFonts w:ascii="Arial" w:hAnsi="Arial" w:cs="Arial"/>
          <w:lang w:val="en-US"/>
        </w:rPr>
        <w:t>. International Conference on Learning Representations (ICLR). https://arxiv.org/abs/1905.10437</w:t>
      </w:r>
    </w:p>
    <w:p w14:paraId="192DA992" w14:textId="19289ED4" w:rsidR="0030327A" w:rsidRDefault="0030327A" w:rsidP="0051107A">
      <w:pPr>
        <w:spacing w:line="360" w:lineRule="auto"/>
        <w:ind w:left="1416" w:hanging="1416"/>
        <w:jc w:val="both"/>
        <w:rPr>
          <w:rFonts w:ascii="Arial" w:hAnsi="Arial" w:cs="Arial"/>
        </w:rPr>
      </w:pPr>
      <w:r>
        <w:rPr>
          <w:rFonts w:ascii="Arial" w:hAnsi="Arial" w:cs="Arial"/>
        </w:rPr>
        <w:t>Pandey, P. (14 de octubre de 2019).</w:t>
      </w:r>
      <w:r w:rsidRPr="0030327A">
        <w:rPr>
          <w:rFonts w:ascii="Arial" w:hAnsi="Arial" w:cs="Arial"/>
          <w:i/>
          <w:iCs/>
        </w:rPr>
        <w:t xml:space="preserve"> A Deep dive into H2O’s AutoML</w:t>
      </w:r>
      <w:r>
        <w:rPr>
          <w:rFonts w:ascii="Arial" w:hAnsi="Arial" w:cs="Arial"/>
        </w:rPr>
        <w:t xml:space="preserve">. Towards data science. </w:t>
      </w:r>
      <w:r w:rsidRPr="0030327A">
        <w:rPr>
          <w:rFonts w:ascii="Arial" w:hAnsi="Arial" w:cs="Arial"/>
        </w:rPr>
        <w:t>https://towardsdatascience.com/a-deep-dive-into-h2os-automl-4b1fe51d3f3e/</w:t>
      </w:r>
    </w:p>
    <w:p w14:paraId="69818329" w14:textId="2F422FB9" w:rsidR="004E5D2F" w:rsidRDefault="004E5D2F" w:rsidP="0051107A">
      <w:pPr>
        <w:spacing w:line="360" w:lineRule="auto"/>
        <w:ind w:left="1416" w:hanging="1416"/>
        <w:jc w:val="both"/>
        <w:rPr>
          <w:rFonts w:ascii="Arial" w:hAnsi="Arial" w:cs="Arial"/>
          <w:lang w:val="en-US"/>
        </w:rPr>
      </w:pPr>
      <w:r>
        <w:rPr>
          <w:rFonts w:ascii="Arial" w:hAnsi="Arial" w:cs="Arial"/>
        </w:rPr>
        <w:t xml:space="preserve">Siami-Namini, S. y Siami Namin, A. (2018). </w:t>
      </w:r>
      <w:r w:rsidR="00F36FD7" w:rsidRPr="00F36FD7">
        <w:rPr>
          <w:rFonts w:ascii="Arial" w:hAnsi="Arial" w:cs="Arial"/>
          <w:i/>
          <w:iCs/>
        </w:rPr>
        <w:t>Forecasting Economics and Financial Time Series: ARIMA vs. LSTM</w:t>
      </w:r>
      <w:r w:rsidR="00CB52A7" w:rsidRPr="00CB52A7">
        <w:rPr>
          <w:rFonts w:ascii="Arial" w:hAnsi="Arial" w:cs="Arial"/>
        </w:rPr>
        <w:t xml:space="preserve">. </w:t>
      </w:r>
      <w:r w:rsidR="00CB52A7" w:rsidRPr="00CB52A7">
        <w:rPr>
          <w:rFonts w:ascii="Arial" w:hAnsi="Arial" w:cs="Arial"/>
          <w:i/>
          <w:iCs/>
        </w:rPr>
        <w:t>arXiv</w:t>
      </w:r>
      <w:r w:rsidR="00CB52A7" w:rsidRPr="00CB52A7">
        <w:rPr>
          <w:rFonts w:ascii="Arial" w:hAnsi="Arial" w:cs="Arial"/>
        </w:rPr>
        <w:t xml:space="preserve">. </w:t>
      </w:r>
      <w:r w:rsidR="00F36FD7" w:rsidRPr="00F36FD7">
        <w:rPr>
          <w:rFonts w:ascii="Arial" w:hAnsi="Arial" w:cs="Arial"/>
        </w:rPr>
        <w:t>https://doi.org/10.48550/arXiv.1803.06386</w:t>
      </w:r>
    </w:p>
    <w:p w14:paraId="56815402" w14:textId="7D48B62B" w:rsidR="00050EEB" w:rsidRPr="00182FC7" w:rsidRDefault="003969A0" w:rsidP="0051107A">
      <w:pPr>
        <w:spacing w:line="360" w:lineRule="auto"/>
        <w:ind w:left="1416" w:hanging="1416"/>
        <w:jc w:val="both"/>
        <w:rPr>
          <w:rFonts w:ascii="Arial" w:hAnsi="Arial" w:cs="Arial"/>
          <w:lang w:val="en-US"/>
        </w:rPr>
      </w:pPr>
      <w:r w:rsidRPr="61FA198A">
        <w:rPr>
          <w:rFonts w:ascii="Arial" w:hAnsi="Arial" w:cs="Arial"/>
          <w:lang w:val="en-US"/>
        </w:rPr>
        <w:t>Syracuse University.</w:t>
      </w:r>
      <w:r w:rsidR="3CE4EB2A" w:rsidRPr="61FA198A">
        <w:rPr>
          <w:rFonts w:ascii="Arial" w:hAnsi="Arial" w:cs="Arial"/>
          <w:lang w:val="en-US"/>
        </w:rPr>
        <w:t xml:space="preserve"> (</w:t>
      </w:r>
      <w:r w:rsidRPr="61FA198A">
        <w:rPr>
          <w:rFonts w:ascii="Arial" w:hAnsi="Arial" w:cs="Arial"/>
          <w:lang w:val="en-US"/>
        </w:rPr>
        <w:t xml:space="preserve">14 de febrero de </w:t>
      </w:r>
      <w:r w:rsidR="3CE4EB2A" w:rsidRPr="61FA198A">
        <w:rPr>
          <w:rFonts w:ascii="Arial" w:hAnsi="Arial" w:cs="Arial"/>
          <w:lang w:val="en-US"/>
        </w:rPr>
        <w:t>20</w:t>
      </w:r>
      <w:r w:rsidRPr="61FA198A">
        <w:rPr>
          <w:rFonts w:ascii="Arial" w:hAnsi="Arial" w:cs="Arial"/>
          <w:lang w:val="en-US"/>
        </w:rPr>
        <w:t>25</w:t>
      </w:r>
      <w:r w:rsidR="3CE4EB2A" w:rsidRPr="61FA198A">
        <w:rPr>
          <w:rFonts w:ascii="Arial" w:hAnsi="Arial" w:cs="Arial"/>
          <w:lang w:val="en-US"/>
        </w:rPr>
        <w:t xml:space="preserve">). </w:t>
      </w:r>
      <w:r w:rsidR="001A2D74" w:rsidRPr="61FA198A">
        <w:rPr>
          <w:rFonts w:ascii="Arial" w:hAnsi="Arial" w:cs="Arial"/>
          <w:i/>
          <w:iCs/>
          <w:lang w:val="en-US"/>
        </w:rPr>
        <w:t>What Is Machine Learning? Key Concepts and Real-World Uses</w:t>
      </w:r>
      <w:r w:rsidR="3CE4EB2A" w:rsidRPr="61FA198A">
        <w:rPr>
          <w:rFonts w:ascii="Arial" w:hAnsi="Arial" w:cs="Arial"/>
          <w:lang w:val="en-US"/>
        </w:rPr>
        <w:t xml:space="preserve">. </w:t>
      </w:r>
      <w:r w:rsidR="003B4EDC" w:rsidRPr="61FA198A">
        <w:rPr>
          <w:rFonts w:ascii="Arial" w:hAnsi="Arial" w:cs="Arial"/>
          <w:lang w:val="en-US"/>
        </w:rPr>
        <w:t>Syracuse University</w:t>
      </w:r>
      <w:r w:rsidR="3CE4EB2A" w:rsidRPr="61FA198A">
        <w:rPr>
          <w:rFonts w:ascii="Arial" w:hAnsi="Arial" w:cs="Arial"/>
          <w:lang w:val="en-US"/>
        </w:rPr>
        <w:t>.</w:t>
      </w:r>
      <w:r w:rsidR="003B4EDC" w:rsidRPr="61FA198A">
        <w:rPr>
          <w:rFonts w:ascii="Arial" w:hAnsi="Arial" w:cs="Arial"/>
          <w:lang w:val="en-US"/>
        </w:rPr>
        <w:t xml:space="preserve"> </w:t>
      </w:r>
      <w:hyperlink r:id="rId19">
        <w:r w:rsidR="003B4EDC" w:rsidRPr="61FA198A">
          <w:rPr>
            <w:rStyle w:val="Hipervnculo"/>
            <w:rFonts w:ascii="Arial" w:hAnsi="Arial" w:cs="Arial"/>
            <w:lang w:val="en-US"/>
          </w:rPr>
          <w:t>https://ischool.syracuse.edu/what-is-machine-learning/</w:t>
        </w:r>
      </w:hyperlink>
    </w:p>
    <w:p w14:paraId="65D094C4" w14:textId="18120CAF" w:rsidR="7F1428E8" w:rsidRDefault="7F1428E8" w:rsidP="61FA198A">
      <w:pPr>
        <w:spacing w:line="360" w:lineRule="auto"/>
        <w:ind w:left="1416" w:hanging="1416"/>
        <w:jc w:val="both"/>
        <w:rPr>
          <w:rFonts w:ascii="Arial" w:hAnsi="Arial" w:cs="Arial"/>
          <w:lang w:val="en-US"/>
        </w:rPr>
      </w:pPr>
      <w:r w:rsidRPr="61FA198A">
        <w:rPr>
          <w:rFonts w:ascii="Arial" w:hAnsi="Arial" w:cs="Arial"/>
          <w:lang w:val="en-US"/>
        </w:rPr>
        <w:t>Zheng, Y., Liu, Q., Chen, E., Ge, Y., &amp; Zhao, J. L. (2014). Time Series Classification Using Multi-Channels Deep Convolutional Neural Networks. Web-Age Information Management.</w:t>
      </w:r>
    </w:p>
    <w:p w14:paraId="37B76EE5" w14:textId="77777777" w:rsidR="00D447DA" w:rsidRDefault="00D447DA" w:rsidP="0051107A">
      <w:pPr>
        <w:spacing w:line="360" w:lineRule="auto"/>
        <w:ind w:left="1416" w:hanging="1416"/>
        <w:jc w:val="both"/>
        <w:rPr>
          <w:rFonts w:ascii="Arial" w:hAnsi="Arial" w:cs="Arial"/>
          <w:sz w:val="24"/>
          <w:szCs w:val="24"/>
          <w:lang w:val="en-US"/>
        </w:rPr>
      </w:pPr>
    </w:p>
    <w:p w14:paraId="0822E7FD" w14:textId="3E2A82C4" w:rsidR="00D447DA" w:rsidRDefault="00D447DA">
      <w:pPr>
        <w:rPr>
          <w:rFonts w:ascii="Arial" w:hAnsi="Arial" w:cs="Arial"/>
          <w:sz w:val="24"/>
          <w:szCs w:val="24"/>
          <w:highlight w:val="yellow"/>
          <w:lang w:val="en-US"/>
        </w:rPr>
      </w:pPr>
      <w:r>
        <w:rPr>
          <w:rFonts w:ascii="Arial" w:hAnsi="Arial" w:cs="Arial"/>
          <w:sz w:val="24"/>
          <w:szCs w:val="24"/>
          <w:highlight w:val="yellow"/>
          <w:lang w:val="en-US"/>
        </w:rPr>
        <w:br w:type="page"/>
      </w:r>
    </w:p>
    <w:p w14:paraId="6E26B3CD" w14:textId="04C7489D" w:rsidR="00D447DA" w:rsidRDefault="00D447DA" w:rsidP="001F3F63">
      <w:pPr>
        <w:pStyle w:val="Ttulo1"/>
        <w:spacing w:line="360" w:lineRule="auto"/>
        <w:jc w:val="center"/>
      </w:pPr>
      <w:bookmarkStart w:id="21" w:name="_Toc205652128"/>
      <w:r>
        <w:lastRenderedPageBreak/>
        <w:t xml:space="preserve">Apéndice A. </w:t>
      </w:r>
      <w:r w:rsidR="00A5309B">
        <w:t>Variables obtenidas con la</w:t>
      </w:r>
      <w:r w:rsidR="00AF6B83">
        <w:t>s</w:t>
      </w:r>
      <w:r w:rsidR="00A5309B">
        <w:t xml:space="preserve"> API</w:t>
      </w:r>
      <w:r w:rsidR="00575D23">
        <w:t>s</w:t>
      </w:r>
      <w:r w:rsidR="00A5309B">
        <w:t xml:space="preserve"> del BCRA</w:t>
      </w:r>
      <w:bookmarkEnd w:id="21"/>
    </w:p>
    <w:p w14:paraId="1ABB6F60" w14:textId="16C073D6" w:rsidR="00013227" w:rsidRPr="005E1A80" w:rsidRDefault="00D121F2" w:rsidP="00013227">
      <w:pPr>
        <w:rPr>
          <w:rFonts w:ascii="Arial" w:hAnsi="Arial" w:cs="Arial"/>
          <w:b/>
          <w:bCs/>
        </w:rPr>
      </w:pPr>
      <w:r w:rsidRPr="005E1A80">
        <w:rPr>
          <w:rFonts w:ascii="Arial" w:hAnsi="Arial" w:cs="Arial"/>
          <w:b/>
          <w:bCs/>
        </w:rPr>
        <w:t xml:space="preserve">Tabla </w:t>
      </w:r>
      <w:r w:rsidR="000A556D" w:rsidRPr="005E1A80">
        <w:rPr>
          <w:rFonts w:ascii="Arial" w:hAnsi="Arial" w:cs="Arial"/>
          <w:b/>
          <w:bCs/>
        </w:rPr>
        <w:t>A</w:t>
      </w:r>
      <w:r w:rsidRPr="005E1A80">
        <w:rPr>
          <w:rFonts w:ascii="Arial" w:hAnsi="Arial" w:cs="Arial"/>
          <w:b/>
          <w:bCs/>
        </w:rPr>
        <w:t>1</w:t>
      </w:r>
    </w:p>
    <w:p w14:paraId="4A35DDFB" w14:textId="2EC235D6" w:rsidR="00D121F2" w:rsidRPr="005E1A80" w:rsidRDefault="00D121F2" w:rsidP="00013227">
      <w:pPr>
        <w:rPr>
          <w:rFonts w:ascii="Arial" w:hAnsi="Arial" w:cs="Arial"/>
          <w:i/>
          <w:iCs/>
        </w:rPr>
      </w:pPr>
      <w:r w:rsidRPr="005E1A80">
        <w:rPr>
          <w:rFonts w:ascii="Arial" w:hAnsi="Arial" w:cs="Arial"/>
          <w:i/>
          <w:iCs/>
        </w:rPr>
        <w:t>Variables obtenidas con la API de Estadísticas</w:t>
      </w:r>
      <w:r w:rsidR="001361CB" w:rsidRPr="005E1A80">
        <w:rPr>
          <w:rFonts w:ascii="Arial" w:hAnsi="Arial" w:cs="Arial"/>
          <w:i/>
          <w:iCs/>
        </w:rPr>
        <w:t xml:space="preserve"> Monetarias</w:t>
      </w:r>
      <w:r w:rsidRPr="005E1A80">
        <w:rPr>
          <w:rFonts w:ascii="Arial" w:hAnsi="Arial" w:cs="Arial"/>
          <w:i/>
          <w:iCs/>
        </w:rPr>
        <w:t xml:space="preserve"> del BCRA</w:t>
      </w:r>
    </w:p>
    <w:tbl>
      <w:tblPr>
        <w:tblStyle w:val="Tablaconcuadrcula"/>
        <w:tblW w:w="0" w:type="auto"/>
        <w:jc w:val="center"/>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3827"/>
        <w:gridCol w:w="709"/>
        <w:gridCol w:w="4496"/>
      </w:tblGrid>
      <w:tr w:rsidR="00093475" w:rsidRPr="005E1A80" w14:paraId="09DA534F" w14:textId="68206E94" w:rsidTr="009E72D5">
        <w:trPr>
          <w:trHeight w:val="208"/>
          <w:tblHeader/>
          <w:jc w:val="center"/>
        </w:trPr>
        <w:tc>
          <w:tcPr>
            <w:tcW w:w="704" w:type="dxa"/>
            <w:tcBorders>
              <w:top w:val="single" w:sz="4" w:space="0" w:color="auto"/>
              <w:bottom w:val="single" w:sz="4" w:space="0" w:color="auto"/>
            </w:tcBorders>
            <w:vAlign w:val="center"/>
          </w:tcPr>
          <w:p w14:paraId="45C52801" w14:textId="6AD97D02"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ID</w:t>
            </w:r>
          </w:p>
        </w:tc>
        <w:tc>
          <w:tcPr>
            <w:tcW w:w="3827" w:type="dxa"/>
            <w:tcBorders>
              <w:top w:val="single" w:sz="4" w:space="0" w:color="auto"/>
              <w:bottom w:val="single" w:sz="4" w:space="0" w:color="auto"/>
            </w:tcBorders>
            <w:vAlign w:val="center"/>
          </w:tcPr>
          <w:p w14:paraId="379C7FA9" w14:textId="5354E48F"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Variable</w:t>
            </w:r>
          </w:p>
        </w:tc>
        <w:tc>
          <w:tcPr>
            <w:tcW w:w="709" w:type="dxa"/>
            <w:tcBorders>
              <w:top w:val="single" w:sz="4" w:space="0" w:color="auto"/>
              <w:bottom w:val="single" w:sz="4" w:space="0" w:color="auto"/>
            </w:tcBorders>
            <w:vAlign w:val="center"/>
          </w:tcPr>
          <w:p w14:paraId="7DB8230E" w14:textId="5A2C9B78"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ID</w:t>
            </w:r>
          </w:p>
        </w:tc>
        <w:tc>
          <w:tcPr>
            <w:tcW w:w="4496" w:type="dxa"/>
            <w:tcBorders>
              <w:top w:val="single" w:sz="4" w:space="0" w:color="auto"/>
              <w:bottom w:val="single" w:sz="4" w:space="0" w:color="auto"/>
            </w:tcBorders>
            <w:vAlign w:val="center"/>
          </w:tcPr>
          <w:p w14:paraId="3F3F16EE" w14:textId="7C553FEE" w:rsidR="00093475" w:rsidRPr="005E1A80" w:rsidRDefault="00093475" w:rsidP="00093475">
            <w:pPr>
              <w:spacing w:line="360" w:lineRule="auto"/>
              <w:jc w:val="center"/>
              <w:rPr>
                <w:rFonts w:ascii="Arial" w:hAnsi="Arial" w:cs="Arial"/>
                <w:b/>
                <w:bCs/>
                <w:lang w:val="en-US"/>
              </w:rPr>
            </w:pPr>
            <w:r w:rsidRPr="005E1A80">
              <w:rPr>
                <w:rFonts w:ascii="Arial" w:hAnsi="Arial" w:cs="Arial"/>
                <w:b/>
                <w:bCs/>
                <w:lang w:val="en-US"/>
              </w:rPr>
              <w:t>Variable</w:t>
            </w:r>
          </w:p>
        </w:tc>
      </w:tr>
      <w:tr w:rsidR="00F5627F" w:rsidRPr="005E1A80" w14:paraId="179D967E" w14:textId="18BDCB6F" w:rsidTr="00901A41">
        <w:tblPrEx>
          <w:jc w:val="left"/>
        </w:tblPrEx>
        <w:trPr>
          <w:trHeight w:val="300"/>
        </w:trPr>
        <w:tc>
          <w:tcPr>
            <w:tcW w:w="704" w:type="dxa"/>
            <w:tcBorders>
              <w:top w:val="single" w:sz="4" w:space="0" w:color="auto"/>
            </w:tcBorders>
            <w:noWrap/>
            <w:vAlign w:val="center"/>
            <w:hideMark/>
          </w:tcPr>
          <w:p w14:paraId="4E53E08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46</w:t>
            </w:r>
          </w:p>
        </w:tc>
        <w:tc>
          <w:tcPr>
            <w:tcW w:w="3827" w:type="dxa"/>
            <w:tcBorders>
              <w:top w:val="single" w:sz="4" w:space="0" w:color="auto"/>
            </w:tcBorders>
            <w:noWrap/>
            <w:vAlign w:val="center"/>
            <w:hideMark/>
          </w:tcPr>
          <w:p w14:paraId="02DA9BF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Total de factores de explicación de la variación de la Base Monetaria (en millones de $)  </w:t>
            </w:r>
          </w:p>
        </w:tc>
        <w:tc>
          <w:tcPr>
            <w:tcW w:w="709" w:type="dxa"/>
            <w:tcBorders>
              <w:top w:val="single" w:sz="4" w:space="0" w:color="auto"/>
            </w:tcBorders>
            <w:vAlign w:val="center"/>
          </w:tcPr>
          <w:p w14:paraId="1091DB98" w14:textId="2C428AF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123</w:t>
            </w:r>
          </w:p>
        </w:tc>
        <w:tc>
          <w:tcPr>
            <w:tcW w:w="4496" w:type="dxa"/>
            <w:tcBorders>
              <w:top w:val="single" w:sz="4" w:space="0" w:color="auto"/>
            </w:tcBorders>
            <w:vAlign w:val="center"/>
          </w:tcPr>
          <w:p w14:paraId="443215A0" w14:textId="0FD9967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en dólares mediante tarjetas de crédito otorgados al sector privado(en millones de USD) </w:t>
            </w:r>
          </w:p>
        </w:tc>
      </w:tr>
      <w:tr w:rsidR="00F5627F" w:rsidRPr="005E1A80" w14:paraId="28C71C9C" w14:textId="30A63DD6" w:rsidTr="00901A41">
        <w:tblPrEx>
          <w:jc w:val="left"/>
        </w:tblPrEx>
        <w:trPr>
          <w:trHeight w:val="300"/>
        </w:trPr>
        <w:tc>
          <w:tcPr>
            <w:tcW w:w="704" w:type="dxa"/>
            <w:noWrap/>
            <w:vAlign w:val="center"/>
            <w:hideMark/>
          </w:tcPr>
          <w:p w14:paraId="13A311C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47</w:t>
            </w:r>
          </w:p>
        </w:tc>
        <w:tc>
          <w:tcPr>
            <w:tcW w:w="3827" w:type="dxa"/>
            <w:noWrap/>
            <w:vAlign w:val="center"/>
            <w:hideMark/>
          </w:tcPr>
          <w:p w14:paraId="71ECE98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compras netas de divisas al sector privado y otros (en millones de $)  </w:t>
            </w:r>
          </w:p>
        </w:tc>
        <w:tc>
          <w:tcPr>
            <w:tcW w:w="709" w:type="dxa"/>
            <w:vAlign w:val="center"/>
          </w:tcPr>
          <w:p w14:paraId="495CED8D" w14:textId="0C6EFB7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124</w:t>
            </w:r>
          </w:p>
        </w:tc>
        <w:tc>
          <w:tcPr>
            <w:tcW w:w="4496" w:type="dxa"/>
            <w:vAlign w:val="center"/>
          </w:tcPr>
          <w:p w14:paraId="749F061E" w14:textId="18B2D868"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préstamos en dólares otorgados al sector privado (en millones de USD)  </w:t>
            </w:r>
          </w:p>
        </w:tc>
      </w:tr>
      <w:tr w:rsidR="00F5627F" w:rsidRPr="005E1A80" w14:paraId="6DDCD38E" w14:textId="5BA6733F" w:rsidTr="00901A41">
        <w:tblPrEx>
          <w:jc w:val="left"/>
        </w:tblPrEx>
        <w:trPr>
          <w:trHeight w:val="300"/>
        </w:trPr>
        <w:tc>
          <w:tcPr>
            <w:tcW w:w="704" w:type="dxa"/>
            <w:noWrap/>
            <w:vAlign w:val="center"/>
            <w:hideMark/>
          </w:tcPr>
          <w:p w14:paraId="79A1543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48</w:t>
            </w:r>
          </w:p>
        </w:tc>
        <w:tc>
          <w:tcPr>
            <w:tcW w:w="3827" w:type="dxa"/>
            <w:noWrap/>
            <w:vAlign w:val="center"/>
            <w:hideMark/>
          </w:tcPr>
          <w:p w14:paraId="3D2920D1"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compras netas de divisas al Tesoro Nacional (en millones de $)  </w:t>
            </w:r>
          </w:p>
        </w:tc>
        <w:tc>
          <w:tcPr>
            <w:tcW w:w="709" w:type="dxa"/>
            <w:vAlign w:val="center"/>
          </w:tcPr>
          <w:p w14:paraId="0C29B840" w14:textId="2024DA23"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125</w:t>
            </w:r>
          </w:p>
        </w:tc>
        <w:tc>
          <w:tcPr>
            <w:tcW w:w="4496" w:type="dxa"/>
            <w:vAlign w:val="center"/>
          </w:tcPr>
          <w:p w14:paraId="1BA01B05" w14:textId="40D127B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préstamos otorgados al sector privado en dólares (en millones de USD)  </w:t>
            </w:r>
          </w:p>
        </w:tc>
      </w:tr>
      <w:tr w:rsidR="00F5627F" w:rsidRPr="005E1A80" w14:paraId="7440AB41" w14:textId="5B6BBD60" w:rsidTr="00901A41">
        <w:tblPrEx>
          <w:jc w:val="left"/>
        </w:tblPrEx>
        <w:trPr>
          <w:trHeight w:val="300"/>
        </w:trPr>
        <w:tc>
          <w:tcPr>
            <w:tcW w:w="704" w:type="dxa"/>
            <w:noWrap/>
            <w:vAlign w:val="center"/>
            <w:hideMark/>
          </w:tcPr>
          <w:p w14:paraId="4BACE26D"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49</w:t>
            </w:r>
          </w:p>
        </w:tc>
        <w:tc>
          <w:tcPr>
            <w:tcW w:w="3827" w:type="dxa"/>
            <w:noWrap/>
            <w:vAlign w:val="center"/>
            <w:hideMark/>
          </w:tcPr>
          <w:p w14:paraId="4277428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los adelantos transitorios al Tesoro Nacional (en millones de $)  </w:t>
            </w:r>
          </w:p>
        </w:tc>
        <w:tc>
          <w:tcPr>
            <w:tcW w:w="709" w:type="dxa"/>
            <w:vAlign w:val="center"/>
          </w:tcPr>
          <w:p w14:paraId="47F5D17E" w14:textId="32ED576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126</w:t>
            </w:r>
          </w:p>
        </w:tc>
        <w:tc>
          <w:tcPr>
            <w:tcW w:w="4496" w:type="dxa"/>
            <w:vAlign w:val="center"/>
          </w:tcPr>
          <w:p w14:paraId="4F4CEF4E" w14:textId="563E953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préstamos otorgados al sector privado en dólares  expresado en pesos (en millones de $)  </w:t>
            </w:r>
          </w:p>
        </w:tc>
      </w:tr>
      <w:tr w:rsidR="00F5627F" w:rsidRPr="005E1A80" w14:paraId="6678CD22" w14:textId="0621CA22" w:rsidTr="00901A41">
        <w:tblPrEx>
          <w:jc w:val="left"/>
        </w:tblPrEx>
        <w:trPr>
          <w:trHeight w:val="300"/>
        </w:trPr>
        <w:tc>
          <w:tcPr>
            <w:tcW w:w="704" w:type="dxa"/>
            <w:noWrap/>
            <w:vAlign w:val="center"/>
            <w:hideMark/>
          </w:tcPr>
          <w:p w14:paraId="6FF6D7D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50</w:t>
            </w:r>
          </w:p>
        </w:tc>
        <w:tc>
          <w:tcPr>
            <w:tcW w:w="3827" w:type="dxa"/>
            <w:noWrap/>
            <w:vAlign w:val="center"/>
            <w:hideMark/>
          </w:tcPr>
          <w:p w14:paraId="6BC4583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transferencia de utilidades al Tesoro Nacional (en millones de $)  </w:t>
            </w:r>
          </w:p>
        </w:tc>
        <w:tc>
          <w:tcPr>
            <w:tcW w:w="709" w:type="dxa"/>
            <w:vAlign w:val="center"/>
          </w:tcPr>
          <w:p w14:paraId="5C655101" w14:textId="39EEF21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127</w:t>
            </w:r>
          </w:p>
        </w:tc>
        <w:tc>
          <w:tcPr>
            <w:tcW w:w="4496" w:type="dxa"/>
            <w:vAlign w:val="center"/>
          </w:tcPr>
          <w:p w14:paraId="59542955" w14:textId="1ECA1C0C"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total de préstamos otorgados del sector privado en pesos y moneda extranjera  expresado en pesos (en</w:t>
            </w:r>
          </w:p>
        </w:tc>
      </w:tr>
      <w:tr w:rsidR="00F5627F" w:rsidRPr="005E1A80" w14:paraId="43F43021" w14:textId="4878F493" w:rsidTr="00901A41">
        <w:tblPrEx>
          <w:jc w:val="left"/>
        </w:tblPrEx>
        <w:trPr>
          <w:trHeight w:val="300"/>
        </w:trPr>
        <w:tc>
          <w:tcPr>
            <w:tcW w:w="704" w:type="dxa"/>
            <w:noWrap/>
            <w:vAlign w:val="center"/>
            <w:hideMark/>
          </w:tcPr>
          <w:p w14:paraId="4362702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51</w:t>
            </w:r>
          </w:p>
        </w:tc>
        <w:tc>
          <w:tcPr>
            <w:tcW w:w="3827" w:type="dxa"/>
            <w:noWrap/>
            <w:vAlign w:val="center"/>
            <w:hideMark/>
          </w:tcPr>
          <w:p w14:paraId="3274BFF0"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del resto de operaciones con el Tesoro Nacional  (en millones de $)  </w:t>
            </w:r>
          </w:p>
        </w:tc>
        <w:tc>
          <w:tcPr>
            <w:tcW w:w="709" w:type="dxa"/>
            <w:vAlign w:val="center"/>
          </w:tcPr>
          <w:p w14:paraId="68859BAE" w14:textId="4AA2BAF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128</w:t>
            </w:r>
          </w:p>
        </w:tc>
        <w:tc>
          <w:tcPr>
            <w:tcW w:w="4496" w:type="dxa"/>
            <w:vAlign w:val="center"/>
          </w:tcPr>
          <w:p w14:paraId="634B8AA2" w14:textId="5FEBA84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total de operaciones TNA (en %)  </w:t>
            </w:r>
          </w:p>
        </w:tc>
      </w:tr>
      <w:tr w:rsidR="00F5627F" w:rsidRPr="005E1A80" w14:paraId="7CDC6D31" w14:textId="6E4FD468" w:rsidTr="00901A41">
        <w:tblPrEx>
          <w:jc w:val="left"/>
        </w:tblPrEx>
        <w:trPr>
          <w:trHeight w:val="300"/>
        </w:trPr>
        <w:tc>
          <w:tcPr>
            <w:tcW w:w="704" w:type="dxa"/>
            <w:noWrap/>
            <w:vAlign w:val="center"/>
            <w:hideMark/>
          </w:tcPr>
          <w:p w14:paraId="09E748F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52</w:t>
            </w:r>
          </w:p>
        </w:tc>
        <w:tc>
          <w:tcPr>
            <w:tcW w:w="3827" w:type="dxa"/>
            <w:noWrap/>
            <w:vAlign w:val="center"/>
            <w:hideMark/>
          </w:tcPr>
          <w:p w14:paraId="08E60F0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operaciones de pases (en millones de $)  </w:t>
            </w:r>
          </w:p>
        </w:tc>
        <w:tc>
          <w:tcPr>
            <w:tcW w:w="709" w:type="dxa"/>
            <w:vAlign w:val="center"/>
          </w:tcPr>
          <w:p w14:paraId="26B43E11" w14:textId="6EA403C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129</w:t>
            </w:r>
          </w:p>
        </w:tc>
        <w:tc>
          <w:tcPr>
            <w:tcW w:w="4496" w:type="dxa"/>
            <w:vAlign w:val="center"/>
          </w:tcPr>
          <w:p w14:paraId="07949AE3" w14:textId="25330FBE"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hasta $100.000  TNA (en %)  </w:t>
            </w:r>
          </w:p>
        </w:tc>
      </w:tr>
      <w:tr w:rsidR="00F5627F" w:rsidRPr="005E1A80" w14:paraId="5460A4C4" w14:textId="64EF49FE" w:rsidTr="00901A41">
        <w:tblPrEx>
          <w:jc w:val="left"/>
        </w:tblPrEx>
        <w:trPr>
          <w:trHeight w:val="300"/>
        </w:trPr>
        <w:tc>
          <w:tcPr>
            <w:tcW w:w="704" w:type="dxa"/>
            <w:noWrap/>
            <w:vAlign w:val="center"/>
            <w:hideMark/>
          </w:tcPr>
          <w:p w14:paraId="2F55DA3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53</w:t>
            </w:r>
          </w:p>
        </w:tc>
        <w:tc>
          <w:tcPr>
            <w:tcW w:w="3827" w:type="dxa"/>
            <w:noWrap/>
            <w:vAlign w:val="center"/>
            <w:hideMark/>
          </w:tcPr>
          <w:p w14:paraId="0BA1AC6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LELIQ y NOTALIQ (en millones de $)  </w:t>
            </w:r>
          </w:p>
        </w:tc>
        <w:tc>
          <w:tcPr>
            <w:tcW w:w="709" w:type="dxa"/>
            <w:vAlign w:val="center"/>
          </w:tcPr>
          <w:p w14:paraId="3CB9A2F6" w14:textId="32EFA31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130</w:t>
            </w:r>
          </w:p>
        </w:tc>
        <w:tc>
          <w:tcPr>
            <w:tcW w:w="4496" w:type="dxa"/>
            <w:vAlign w:val="center"/>
          </w:tcPr>
          <w:p w14:paraId="4AF691E1" w14:textId="2E50BCF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hasta $100.000  TEA (en %)  </w:t>
            </w:r>
          </w:p>
        </w:tc>
      </w:tr>
      <w:tr w:rsidR="00F5627F" w:rsidRPr="005E1A80" w14:paraId="69C832BD" w14:textId="3F046D53" w:rsidTr="00901A41">
        <w:tblPrEx>
          <w:jc w:val="left"/>
        </w:tblPrEx>
        <w:trPr>
          <w:trHeight w:val="300"/>
        </w:trPr>
        <w:tc>
          <w:tcPr>
            <w:tcW w:w="704" w:type="dxa"/>
            <w:noWrap/>
            <w:vAlign w:val="center"/>
            <w:hideMark/>
          </w:tcPr>
          <w:p w14:paraId="1A9DE4D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54</w:t>
            </w:r>
          </w:p>
        </w:tc>
        <w:tc>
          <w:tcPr>
            <w:tcW w:w="3827" w:type="dxa"/>
            <w:noWrap/>
            <w:vAlign w:val="center"/>
            <w:hideMark/>
          </w:tcPr>
          <w:p w14:paraId="3662078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los redescuentos y adelantos (en millones de $)  </w:t>
            </w:r>
          </w:p>
        </w:tc>
        <w:tc>
          <w:tcPr>
            <w:tcW w:w="709" w:type="dxa"/>
            <w:vAlign w:val="center"/>
          </w:tcPr>
          <w:p w14:paraId="02F856C8" w14:textId="6A6E232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131</w:t>
            </w:r>
          </w:p>
        </w:tc>
        <w:tc>
          <w:tcPr>
            <w:tcW w:w="4496" w:type="dxa"/>
            <w:vAlign w:val="center"/>
          </w:tcPr>
          <w:p w14:paraId="27E2EB89" w14:textId="1E4662D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pesos  de 30-44 días  de más de $1.000.000  TNA (en %)  </w:t>
            </w:r>
          </w:p>
        </w:tc>
      </w:tr>
      <w:tr w:rsidR="00F5627F" w:rsidRPr="005E1A80" w14:paraId="7B87F86F" w14:textId="5647D1AD" w:rsidTr="00901A41">
        <w:tblPrEx>
          <w:jc w:val="left"/>
        </w:tblPrEx>
        <w:trPr>
          <w:trHeight w:val="300"/>
        </w:trPr>
        <w:tc>
          <w:tcPr>
            <w:tcW w:w="704" w:type="dxa"/>
            <w:noWrap/>
            <w:vAlign w:val="center"/>
            <w:hideMark/>
          </w:tcPr>
          <w:p w14:paraId="404F754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55</w:t>
            </w:r>
          </w:p>
        </w:tc>
        <w:tc>
          <w:tcPr>
            <w:tcW w:w="3827" w:type="dxa"/>
            <w:noWrap/>
            <w:vAlign w:val="center"/>
            <w:hideMark/>
          </w:tcPr>
          <w:p w14:paraId="4353A90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Efecto monetario de los intereses  primas y remuneración de cuentas corrientes asociados a op. de pases  LEL</w:t>
            </w:r>
          </w:p>
        </w:tc>
        <w:tc>
          <w:tcPr>
            <w:tcW w:w="709" w:type="dxa"/>
            <w:vAlign w:val="center"/>
          </w:tcPr>
          <w:p w14:paraId="663CBC3A" w14:textId="0D4A67E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132</w:t>
            </w:r>
          </w:p>
        </w:tc>
        <w:tc>
          <w:tcPr>
            <w:tcW w:w="4496" w:type="dxa"/>
            <w:vAlign w:val="center"/>
          </w:tcPr>
          <w:p w14:paraId="1C43BA22" w14:textId="7A812A0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dólares  de 30-44 días  total de operaciones  TNA (en %)  </w:t>
            </w:r>
          </w:p>
        </w:tc>
      </w:tr>
      <w:tr w:rsidR="00F5627F" w:rsidRPr="005E1A80" w14:paraId="318553EC" w14:textId="3D942F8D" w:rsidTr="00901A41">
        <w:tblPrEx>
          <w:jc w:val="left"/>
        </w:tblPrEx>
        <w:trPr>
          <w:trHeight w:val="300"/>
        </w:trPr>
        <w:tc>
          <w:tcPr>
            <w:tcW w:w="704" w:type="dxa"/>
            <w:noWrap/>
            <w:vAlign w:val="center"/>
            <w:hideMark/>
          </w:tcPr>
          <w:p w14:paraId="2A52AF7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56</w:t>
            </w:r>
          </w:p>
        </w:tc>
        <w:tc>
          <w:tcPr>
            <w:tcW w:w="3827" w:type="dxa"/>
            <w:noWrap/>
            <w:vAlign w:val="center"/>
            <w:hideMark/>
          </w:tcPr>
          <w:p w14:paraId="412131E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LEBAC y NOBAC (en millones de $)  </w:t>
            </w:r>
          </w:p>
        </w:tc>
        <w:tc>
          <w:tcPr>
            <w:tcW w:w="709" w:type="dxa"/>
            <w:vAlign w:val="center"/>
          </w:tcPr>
          <w:p w14:paraId="64E6FE65" w14:textId="4835A32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133</w:t>
            </w:r>
          </w:p>
        </w:tc>
        <w:tc>
          <w:tcPr>
            <w:tcW w:w="4496" w:type="dxa"/>
            <w:vAlign w:val="center"/>
          </w:tcPr>
          <w:p w14:paraId="78F10AFD" w14:textId="4CC12F4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dólares  de 30-44 días  hasta $100.000  TNA (en %)  </w:t>
            </w:r>
          </w:p>
        </w:tc>
      </w:tr>
      <w:tr w:rsidR="00F5627F" w:rsidRPr="005E1A80" w14:paraId="0731F134" w14:textId="55D90978" w:rsidTr="00901A41">
        <w:tblPrEx>
          <w:jc w:val="left"/>
        </w:tblPrEx>
        <w:trPr>
          <w:trHeight w:val="300"/>
        </w:trPr>
        <w:tc>
          <w:tcPr>
            <w:tcW w:w="704" w:type="dxa"/>
            <w:noWrap/>
            <w:vAlign w:val="center"/>
            <w:hideMark/>
          </w:tcPr>
          <w:p w14:paraId="62F1641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57</w:t>
            </w:r>
          </w:p>
        </w:tc>
        <w:tc>
          <w:tcPr>
            <w:tcW w:w="3827" w:type="dxa"/>
            <w:noWrap/>
            <w:vAlign w:val="center"/>
            <w:hideMark/>
          </w:tcPr>
          <w:p w14:paraId="619AB581"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del rescate de cuasimonedas (en millones de $)  </w:t>
            </w:r>
          </w:p>
        </w:tc>
        <w:tc>
          <w:tcPr>
            <w:tcW w:w="709" w:type="dxa"/>
            <w:vAlign w:val="center"/>
          </w:tcPr>
          <w:p w14:paraId="0B406BE9" w14:textId="2A400A1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134</w:t>
            </w:r>
          </w:p>
        </w:tc>
        <w:tc>
          <w:tcPr>
            <w:tcW w:w="4496" w:type="dxa"/>
            <w:vAlign w:val="center"/>
          </w:tcPr>
          <w:p w14:paraId="024D2587" w14:textId="75CFF6E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depósitos a plazo fijo en dólares  de 30-44 días  de mas de USD1.000.000  TNA (en %)  </w:t>
            </w:r>
          </w:p>
        </w:tc>
      </w:tr>
      <w:tr w:rsidR="00F5627F" w:rsidRPr="005E1A80" w14:paraId="40BDCE2C" w14:textId="03F0ECC9" w:rsidTr="00901A41">
        <w:tblPrEx>
          <w:jc w:val="left"/>
        </w:tblPrEx>
        <w:trPr>
          <w:trHeight w:val="300"/>
        </w:trPr>
        <w:tc>
          <w:tcPr>
            <w:tcW w:w="704" w:type="dxa"/>
            <w:noWrap/>
            <w:vAlign w:val="center"/>
            <w:hideMark/>
          </w:tcPr>
          <w:p w14:paraId="21FF1B7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58</w:t>
            </w:r>
          </w:p>
        </w:tc>
        <w:tc>
          <w:tcPr>
            <w:tcW w:w="3827" w:type="dxa"/>
            <w:noWrap/>
            <w:vAlign w:val="center"/>
            <w:hideMark/>
          </w:tcPr>
          <w:p w14:paraId="52CDEB0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Efecto monetario de las operaciones con Letras Fiscales de Liquidez (en millones de $)  </w:t>
            </w:r>
          </w:p>
        </w:tc>
        <w:tc>
          <w:tcPr>
            <w:tcW w:w="709" w:type="dxa"/>
            <w:vAlign w:val="center"/>
          </w:tcPr>
          <w:p w14:paraId="32D9C32E" w14:textId="463F36D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135</w:t>
            </w:r>
          </w:p>
        </w:tc>
        <w:tc>
          <w:tcPr>
            <w:tcW w:w="4496" w:type="dxa"/>
            <w:vAlign w:val="center"/>
          </w:tcPr>
          <w:p w14:paraId="4CB8873A" w14:textId="0227779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TAMAR total bancos  TNA (en %)  </w:t>
            </w:r>
          </w:p>
        </w:tc>
      </w:tr>
      <w:tr w:rsidR="00F5627F" w:rsidRPr="005E1A80" w14:paraId="0898B3EB" w14:textId="40BF4B05" w:rsidTr="00901A41">
        <w:tblPrEx>
          <w:jc w:val="left"/>
        </w:tblPrEx>
        <w:trPr>
          <w:trHeight w:val="300"/>
        </w:trPr>
        <w:tc>
          <w:tcPr>
            <w:tcW w:w="704" w:type="dxa"/>
            <w:noWrap/>
            <w:vAlign w:val="center"/>
            <w:hideMark/>
          </w:tcPr>
          <w:p w14:paraId="4C9B400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59</w:t>
            </w:r>
          </w:p>
        </w:tc>
        <w:tc>
          <w:tcPr>
            <w:tcW w:w="3827" w:type="dxa"/>
            <w:noWrap/>
            <w:vAlign w:val="center"/>
            <w:hideMark/>
          </w:tcPr>
          <w:p w14:paraId="7AF448C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Otras operaciones que explican la variación de la base monetaria (en millones de $)  </w:t>
            </w:r>
          </w:p>
        </w:tc>
        <w:tc>
          <w:tcPr>
            <w:tcW w:w="709" w:type="dxa"/>
            <w:vAlign w:val="center"/>
          </w:tcPr>
          <w:p w14:paraId="7F5240B7" w14:textId="3F2409D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136</w:t>
            </w:r>
          </w:p>
        </w:tc>
        <w:tc>
          <w:tcPr>
            <w:tcW w:w="4496" w:type="dxa"/>
            <w:vAlign w:val="center"/>
          </w:tcPr>
          <w:p w14:paraId="05ADD297" w14:textId="649A4E1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TAMAR de bancos privados TNA (en %)  </w:t>
            </w:r>
          </w:p>
        </w:tc>
      </w:tr>
      <w:tr w:rsidR="00F5627F" w:rsidRPr="005E1A80" w14:paraId="3B01A2F7" w14:textId="2B285675" w:rsidTr="00901A41">
        <w:tblPrEx>
          <w:jc w:val="left"/>
        </w:tblPrEx>
        <w:trPr>
          <w:trHeight w:val="300"/>
        </w:trPr>
        <w:tc>
          <w:tcPr>
            <w:tcW w:w="704" w:type="dxa"/>
            <w:noWrap/>
            <w:vAlign w:val="center"/>
            <w:hideMark/>
          </w:tcPr>
          <w:p w14:paraId="653AE5B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60</w:t>
            </w:r>
          </w:p>
        </w:tc>
        <w:tc>
          <w:tcPr>
            <w:tcW w:w="3827" w:type="dxa"/>
            <w:noWrap/>
            <w:vAlign w:val="center"/>
            <w:hideMark/>
          </w:tcPr>
          <w:p w14:paraId="1F8B387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billetes y monedas en poder del público (en millones de $)  </w:t>
            </w:r>
          </w:p>
        </w:tc>
        <w:tc>
          <w:tcPr>
            <w:tcW w:w="709" w:type="dxa"/>
            <w:vAlign w:val="center"/>
          </w:tcPr>
          <w:p w14:paraId="0689028E" w14:textId="0EB339D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137</w:t>
            </w:r>
          </w:p>
        </w:tc>
        <w:tc>
          <w:tcPr>
            <w:tcW w:w="4496" w:type="dxa"/>
            <w:vAlign w:val="center"/>
          </w:tcPr>
          <w:p w14:paraId="4589A2F7" w14:textId="0CBF241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TAMAR de bancos privados TEA (en %)  </w:t>
            </w:r>
          </w:p>
        </w:tc>
      </w:tr>
      <w:tr w:rsidR="00F5627F" w:rsidRPr="005E1A80" w14:paraId="0850E00F" w14:textId="7319146A" w:rsidTr="00901A41">
        <w:tblPrEx>
          <w:jc w:val="left"/>
        </w:tblPrEx>
        <w:trPr>
          <w:trHeight w:val="300"/>
        </w:trPr>
        <w:tc>
          <w:tcPr>
            <w:tcW w:w="704" w:type="dxa"/>
            <w:noWrap/>
            <w:vAlign w:val="center"/>
            <w:hideMark/>
          </w:tcPr>
          <w:p w14:paraId="48D5BBFD"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61</w:t>
            </w:r>
          </w:p>
        </w:tc>
        <w:tc>
          <w:tcPr>
            <w:tcW w:w="3827" w:type="dxa"/>
            <w:noWrap/>
            <w:vAlign w:val="center"/>
            <w:hideMark/>
          </w:tcPr>
          <w:p w14:paraId="4A99C61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billetes y monedas en entidades financieras (en millones de $)  </w:t>
            </w:r>
          </w:p>
        </w:tc>
        <w:tc>
          <w:tcPr>
            <w:tcW w:w="709" w:type="dxa"/>
            <w:vAlign w:val="center"/>
          </w:tcPr>
          <w:p w14:paraId="1A794679" w14:textId="1BD802D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138</w:t>
            </w:r>
          </w:p>
        </w:tc>
        <w:tc>
          <w:tcPr>
            <w:tcW w:w="4496" w:type="dxa"/>
            <w:vAlign w:val="center"/>
          </w:tcPr>
          <w:p w14:paraId="24311089" w14:textId="48F190F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BADLAR total bancos  TNA (en %)  </w:t>
            </w:r>
          </w:p>
        </w:tc>
      </w:tr>
      <w:tr w:rsidR="00F5627F" w:rsidRPr="005E1A80" w14:paraId="44D38AA6" w14:textId="7F6CDB06" w:rsidTr="00901A41">
        <w:tblPrEx>
          <w:jc w:val="left"/>
        </w:tblPrEx>
        <w:trPr>
          <w:trHeight w:val="300"/>
        </w:trPr>
        <w:tc>
          <w:tcPr>
            <w:tcW w:w="704" w:type="dxa"/>
            <w:noWrap/>
            <w:vAlign w:val="center"/>
            <w:hideMark/>
          </w:tcPr>
          <w:p w14:paraId="21B05D6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62</w:t>
            </w:r>
          </w:p>
        </w:tc>
        <w:tc>
          <w:tcPr>
            <w:tcW w:w="3827" w:type="dxa"/>
            <w:noWrap/>
            <w:vAlign w:val="center"/>
            <w:hideMark/>
          </w:tcPr>
          <w:p w14:paraId="05FC8DA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cheques cancelatorios (en millones de $)  </w:t>
            </w:r>
          </w:p>
        </w:tc>
        <w:tc>
          <w:tcPr>
            <w:tcW w:w="709" w:type="dxa"/>
            <w:vAlign w:val="center"/>
          </w:tcPr>
          <w:p w14:paraId="3BA44403" w14:textId="76539A5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139</w:t>
            </w:r>
          </w:p>
        </w:tc>
        <w:tc>
          <w:tcPr>
            <w:tcW w:w="4496" w:type="dxa"/>
            <w:vAlign w:val="center"/>
          </w:tcPr>
          <w:p w14:paraId="0E1B6E58" w14:textId="0055CFEF"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BADLAR de bancos privados TNA (en %)  </w:t>
            </w:r>
          </w:p>
        </w:tc>
      </w:tr>
      <w:tr w:rsidR="00F5627F" w:rsidRPr="005E1A80" w14:paraId="2C815D52" w14:textId="20720D59" w:rsidTr="00901A41">
        <w:tblPrEx>
          <w:jc w:val="left"/>
        </w:tblPrEx>
        <w:trPr>
          <w:trHeight w:val="300"/>
        </w:trPr>
        <w:tc>
          <w:tcPr>
            <w:tcW w:w="704" w:type="dxa"/>
            <w:noWrap/>
            <w:vAlign w:val="center"/>
            <w:hideMark/>
          </w:tcPr>
          <w:p w14:paraId="027ADE9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63</w:t>
            </w:r>
          </w:p>
        </w:tc>
        <w:tc>
          <w:tcPr>
            <w:tcW w:w="3827" w:type="dxa"/>
            <w:noWrap/>
            <w:vAlign w:val="center"/>
            <w:hideMark/>
          </w:tcPr>
          <w:p w14:paraId="3EBB24D9"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cuentas corrientes en pesos en el BCRA  (en millones de $)  </w:t>
            </w:r>
          </w:p>
        </w:tc>
        <w:tc>
          <w:tcPr>
            <w:tcW w:w="709" w:type="dxa"/>
            <w:vAlign w:val="center"/>
          </w:tcPr>
          <w:p w14:paraId="366E5998" w14:textId="7716B7E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140</w:t>
            </w:r>
          </w:p>
        </w:tc>
        <w:tc>
          <w:tcPr>
            <w:tcW w:w="4496" w:type="dxa"/>
            <w:vAlign w:val="center"/>
          </w:tcPr>
          <w:p w14:paraId="5276CD39" w14:textId="3D99D59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BADLAR de bancos privados TEA (en %)  </w:t>
            </w:r>
          </w:p>
        </w:tc>
      </w:tr>
      <w:tr w:rsidR="00F5627F" w:rsidRPr="005E1A80" w14:paraId="7C8A8BAD" w14:textId="49BD4DD4" w:rsidTr="00901A41">
        <w:tblPrEx>
          <w:jc w:val="left"/>
        </w:tblPrEx>
        <w:trPr>
          <w:trHeight w:val="300"/>
        </w:trPr>
        <w:tc>
          <w:tcPr>
            <w:tcW w:w="704" w:type="dxa"/>
            <w:noWrap/>
            <w:vAlign w:val="center"/>
            <w:hideMark/>
          </w:tcPr>
          <w:p w14:paraId="79E5DE0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64</w:t>
            </w:r>
          </w:p>
        </w:tc>
        <w:tc>
          <w:tcPr>
            <w:tcW w:w="3827" w:type="dxa"/>
            <w:noWrap/>
            <w:vAlign w:val="center"/>
            <w:hideMark/>
          </w:tcPr>
          <w:p w14:paraId="0283276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la base monetaria (en millones de $)  </w:t>
            </w:r>
          </w:p>
        </w:tc>
        <w:tc>
          <w:tcPr>
            <w:tcW w:w="709" w:type="dxa"/>
            <w:vAlign w:val="center"/>
          </w:tcPr>
          <w:p w14:paraId="281B2252" w14:textId="51A4AED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141</w:t>
            </w:r>
          </w:p>
        </w:tc>
        <w:tc>
          <w:tcPr>
            <w:tcW w:w="4496" w:type="dxa"/>
            <w:vAlign w:val="center"/>
          </w:tcPr>
          <w:p w14:paraId="7E5F92FB" w14:textId="35D460E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TM20 total bancos  TNA (en %)  </w:t>
            </w:r>
          </w:p>
        </w:tc>
      </w:tr>
      <w:tr w:rsidR="00F5627F" w:rsidRPr="005E1A80" w14:paraId="2848F3AC" w14:textId="13D1CD92" w:rsidTr="00901A41">
        <w:tblPrEx>
          <w:jc w:val="left"/>
        </w:tblPrEx>
        <w:trPr>
          <w:trHeight w:val="300"/>
        </w:trPr>
        <w:tc>
          <w:tcPr>
            <w:tcW w:w="704" w:type="dxa"/>
            <w:noWrap/>
            <w:vAlign w:val="center"/>
            <w:hideMark/>
          </w:tcPr>
          <w:p w14:paraId="6A1D6B1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65</w:t>
            </w:r>
          </w:p>
        </w:tc>
        <w:tc>
          <w:tcPr>
            <w:tcW w:w="3827" w:type="dxa"/>
            <w:noWrap/>
            <w:vAlign w:val="center"/>
            <w:hideMark/>
          </w:tcPr>
          <w:p w14:paraId="05A1B92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cuasimonedas (en millones de $)  </w:t>
            </w:r>
          </w:p>
        </w:tc>
        <w:tc>
          <w:tcPr>
            <w:tcW w:w="709" w:type="dxa"/>
            <w:vAlign w:val="center"/>
          </w:tcPr>
          <w:p w14:paraId="0BD0049D" w14:textId="2F96158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142</w:t>
            </w:r>
          </w:p>
        </w:tc>
        <w:tc>
          <w:tcPr>
            <w:tcW w:w="4496" w:type="dxa"/>
            <w:vAlign w:val="center"/>
          </w:tcPr>
          <w:p w14:paraId="72C82065" w14:textId="2BC47179"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TM20 de bancos privados  TNA (en %)  </w:t>
            </w:r>
          </w:p>
        </w:tc>
      </w:tr>
      <w:tr w:rsidR="00F5627F" w:rsidRPr="005E1A80" w14:paraId="401A40E8" w14:textId="71955204" w:rsidTr="00901A41">
        <w:tblPrEx>
          <w:jc w:val="left"/>
        </w:tblPrEx>
        <w:trPr>
          <w:trHeight w:val="300"/>
        </w:trPr>
        <w:tc>
          <w:tcPr>
            <w:tcW w:w="704" w:type="dxa"/>
            <w:noWrap/>
            <w:vAlign w:val="center"/>
            <w:hideMark/>
          </w:tcPr>
          <w:p w14:paraId="11B8D38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66</w:t>
            </w:r>
          </w:p>
        </w:tc>
        <w:tc>
          <w:tcPr>
            <w:tcW w:w="3827" w:type="dxa"/>
            <w:noWrap/>
            <w:vAlign w:val="center"/>
            <w:hideMark/>
          </w:tcPr>
          <w:p w14:paraId="7A984EF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la base monetaria más variación diaria de cuasimonedas (en millones de $)  </w:t>
            </w:r>
          </w:p>
        </w:tc>
        <w:tc>
          <w:tcPr>
            <w:tcW w:w="709" w:type="dxa"/>
            <w:vAlign w:val="center"/>
          </w:tcPr>
          <w:p w14:paraId="27243824" w14:textId="2A4206D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143</w:t>
            </w:r>
          </w:p>
        </w:tc>
        <w:tc>
          <w:tcPr>
            <w:tcW w:w="4496" w:type="dxa"/>
            <w:vAlign w:val="center"/>
          </w:tcPr>
          <w:p w14:paraId="08785F3D" w14:textId="420D8F2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TM20 de bancos privados  TEA (en %)  </w:t>
            </w:r>
          </w:p>
        </w:tc>
      </w:tr>
      <w:tr w:rsidR="00F5627F" w:rsidRPr="005E1A80" w14:paraId="21A67B70" w14:textId="4F43F1EB" w:rsidTr="00901A41">
        <w:tblPrEx>
          <w:jc w:val="left"/>
        </w:tblPrEx>
        <w:trPr>
          <w:trHeight w:val="300"/>
        </w:trPr>
        <w:tc>
          <w:tcPr>
            <w:tcW w:w="704" w:type="dxa"/>
            <w:noWrap/>
            <w:vAlign w:val="center"/>
            <w:hideMark/>
          </w:tcPr>
          <w:p w14:paraId="4A38E2C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67</w:t>
            </w:r>
          </w:p>
        </w:tc>
        <w:tc>
          <w:tcPr>
            <w:tcW w:w="3827" w:type="dxa"/>
            <w:noWrap/>
            <w:vAlign w:val="center"/>
            <w:hideMark/>
          </w:tcPr>
          <w:p w14:paraId="036054E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billetes y monedas en poder del público (en millones de $)  </w:t>
            </w:r>
          </w:p>
        </w:tc>
        <w:tc>
          <w:tcPr>
            <w:tcW w:w="709" w:type="dxa"/>
            <w:vAlign w:val="center"/>
          </w:tcPr>
          <w:p w14:paraId="4A1D228A" w14:textId="1D394FE4"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144</w:t>
            </w:r>
          </w:p>
        </w:tc>
        <w:tc>
          <w:tcPr>
            <w:tcW w:w="4496" w:type="dxa"/>
            <w:vAlign w:val="center"/>
          </w:tcPr>
          <w:p w14:paraId="7CA4A014" w14:textId="3ABAA25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interés de préstamos personales en pesos  TNA (en %)  </w:t>
            </w:r>
          </w:p>
        </w:tc>
      </w:tr>
      <w:tr w:rsidR="00F5627F" w:rsidRPr="005E1A80" w14:paraId="37F68FE7" w14:textId="21F73799" w:rsidTr="00901A41">
        <w:tblPrEx>
          <w:jc w:val="left"/>
        </w:tblPrEx>
        <w:trPr>
          <w:trHeight w:val="300"/>
        </w:trPr>
        <w:tc>
          <w:tcPr>
            <w:tcW w:w="704" w:type="dxa"/>
            <w:noWrap/>
            <w:vAlign w:val="center"/>
            <w:hideMark/>
          </w:tcPr>
          <w:p w14:paraId="0ADA36C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68</w:t>
            </w:r>
          </w:p>
        </w:tc>
        <w:tc>
          <w:tcPr>
            <w:tcW w:w="3827" w:type="dxa"/>
            <w:noWrap/>
            <w:vAlign w:val="center"/>
            <w:hideMark/>
          </w:tcPr>
          <w:p w14:paraId="707447E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billetes y monedas en entidades financieras (en millones de $)  </w:t>
            </w:r>
          </w:p>
        </w:tc>
        <w:tc>
          <w:tcPr>
            <w:tcW w:w="709" w:type="dxa"/>
            <w:vAlign w:val="center"/>
          </w:tcPr>
          <w:p w14:paraId="2A46EB12" w14:textId="24F1B1A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145</w:t>
            </w:r>
          </w:p>
        </w:tc>
        <w:tc>
          <w:tcPr>
            <w:tcW w:w="4496" w:type="dxa"/>
            <w:vAlign w:val="center"/>
          </w:tcPr>
          <w:p w14:paraId="241CA4E7" w14:textId="67391E4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Tasa de interés por adelantos en cuenta corriente en pesos  con acuerdo de 1 a 7 días y de 10 millones o má</w:t>
            </w:r>
          </w:p>
        </w:tc>
      </w:tr>
      <w:tr w:rsidR="00F5627F" w:rsidRPr="005E1A80" w14:paraId="777F4562" w14:textId="3E31F7E5" w:rsidTr="00901A41">
        <w:tblPrEx>
          <w:jc w:val="left"/>
        </w:tblPrEx>
        <w:trPr>
          <w:trHeight w:val="300"/>
        </w:trPr>
        <w:tc>
          <w:tcPr>
            <w:tcW w:w="704" w:type="dxa"/>
            <w:noWrap/>
            <w:vAlign w:val="center"/>
            <w:hideMark/>
          </w:tcPr>
          <w:p w14:paraId="08FB72D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69</w:t>
            </w:r>
          </w:p>
        </w:tc>
        <w:tc>
          <w:tcPr>
            <w:tcW w:w="3827" w:type="dxa"/>
            <w:noWrap/>
            <w:vAlign w:val="center"/>
            <w:hideMark/>
          </w:tcPr>
          <w:p w14:paraId="3171D82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cheques cancelatorios (en millones de $)  </w:t>
            </w:r>
          </w:p>
        </w:tc>
        <w:tc>
          <w:tcPr>
            <w:tcW w:w="709" w:type="dxa"/>
            <w:vAlign w:val="center"/>
          </w:tcPr>
          <w:p w14:paraId="10A03ABA" w14:textId="154C202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146</w:t>
            </w:r>
          </w:p>
        </w:tc>
        <w:tc>
          <w:tcPr>
            <w:tcW w:w="4496" w:type="dxa"/>
            <w:vAlign w:val="center"/>
          </w:tcPr>
          <w:p w14:paraId="1DFFE55C" w14:textId="247A4A2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Tasa de interés por operaciones de préstamos entre entidades financieras locales privadas (BAIBAR  TNA  en</w:t>
            </w:r>
          </w:p>
        </w:tc>
      </w:tr>
      <w:tr w:rsidR="00F5627F" w:rsidRPr="005E1A80" w14:paraId="2D847C81" w14:textId="32CC27EF" w:rsidTr="00901A41">
        <w:tblPrEx>
          <w:jc w:val="left"/>
        </w:tblPrEx>
        <w:trPr>
          <w:trHeight w:val="300"/>
        </w:trPr>
        <w:tc>
          <w:tcPr>
            <w:tcW w:w="704" w:type="dxa"/>
            <w:noWrap/>
            <w:vAlign w:val="center"/>
            <w:hideMark/>
          </w:tcPr>
          <w:p w14:paraId="6895B74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70</w:t>
            </w:r>
          </w:p>
        </w:tc>
        <w:tc>
          <w:tcPr>
            <w:tcW w:w="3827" w:type="dxa"/>
            <w:noWrap/>
            <w:vAlign w:val="center"/>
            <w:hideMark/>
          </w:tcPr>
          <w:p w14:paraId="52A560E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cuentas corrientes en pesos en el BCRA (en millones de $)  </w:t>
            </w:r>
          </w:p>
        </w:tc>
        <w:tc>
          <w:tcPr>
            <w:tcW w:w="709" w:type="dxa"/>
            <w:vAlign w:val="center"/>
          </w:tcPr>
          <w:p w14:paraId="7DFCE9F5" w14:textId="027B15F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147</w:t>
            </w:r>
          </w:p>
        </w:tc>
        <w:tc>
          <w:tcPr>
            <w:tcW w:w="4496" w:type="dxa"/>
            <w:vAlign w:val="center"/>
          </w:tcPr>
          <w:p w14:paraId="5D24C0E8" w14:textId="4706FBE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Monto de operaciones de préstamos entre entidades financieras locales privados (BAIBAR  en millones de $)  </w:t>
            </w:r>
          </w:p>
        </w:tc>
      </w:tr>
      <w:tr w:rsidR="00F5627F" w:rsidRPr="005E1A80" w14:paraId="18DF8A9A" w14:textId="705D6FC0" w:rsidTr="00901A41">
        <w:tblPrEx>
          <w:jc w:val="left"/>
        </w:tblPrEx>
        <w:trPr>
          <w:trHeight w:val="300"/>
        </w:trPr>
        <w:tc>
          <w:tcPr>
            <w:tcW w:w="704" w:type="dxa"/>
            <w:noWrap/>
            <w:vAlign w:val="center"/>
            <w:hideMark/>
          </w:tcPr>
          <w:p w14:paraId="4EA925D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71</w:t>
            </w:r>
          </w:p>
        </w:tc>
        <w:tc>
          <w:tcPr>
            <w:tcW w:w="3827" w:type="dxa"/>
            <w:noWrap/>
            <w:vAlign w:val="center"/>
            <w:hideMark/>
          </w:tcPr>
          <w:p w14:paraId="4A1EC10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base monetaria (en millones de $)  </w:t>
            </w:r>
          </w:p>
        </w:tc>
        <w:tc>
          <w:tcPr>
            <w:tcW w:w="709" w:type="dxa"/>
            <w:vAlign w:val="center"/>
          </w:tcPr>
          <w:p w14:paraId="1BAACF23" w14:textId="71FB805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148</w:t>
            </w:r>
          </w:p>
        </w:tc>
        <w:tc>
          <w:tcPr>
            <w:tcW w:w="4496" w:type="dxa"/>
            <w:vAlign w:val="center"/>
          </w:tcPr>
          <w:p w14:paraId="4B951B46" w14:textId="5877D19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interes por operaciones de préstamos entre entidades financieras locales  TNA (en %)  </w:t>
            </w:r>
          </w:p>
        </w:tc>
      </w:tr>
      <w:tr w:rsidR="00F5627F" w:rsidRPr="005E1A80" w14:paraId="726ED5A7" w14:textId="0F7BE270" w:rsidTr="00901A41">
        <w:tblPrEx>
          <w:jc w:val="left"/>
        </w:tblPrEx>
        <w:trPr>
          <w:trHeight w:val="300"/>
        </w:trPr>
        <w:tc>
          <w:tcPr>
            <w:tcW w:w="704" w:type="dxa"/>
            <w:noWrap/>
            <w:vAlign w:val="center"/>
            <w:hideMark/>
          </w:tcPr>
          <w:p w14:paraId="52D4E8B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72</w:t>
            </w:r>
          </w:p>
        </w:tc>
        <w:tc>
          <w:tcPr>
            <w:tcW w:w="3827" w:type="dxa"/>
            <w:noWrap/>
            <w:vAlign w:val="center"/>
            <w:hideMark/>
          </w:tcPr>
          <w:p w14:paraId="4CF1C71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cuasimonedas (en millones de $)  </w:t>
            </w:r>
          </w:p>
        </w:tc>
        <w:tc>
          <w:tcPr>
            <w:tcW w:w="709" w:type="dxa"/>
            <w:vAlign w:val="center"/>
          </w:tcPr>
          <w:p w14:paraId="61AE625D" w14:textId="07B0600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149</w:t>
            </w:r>
          </w:p>
        </w:tc>
        <w:tc>
          <w:tcPr>
            <w:tcW w:w="4496" w:type="dxa"/>
            <w:vAlign w:val="center"/>
          </w:tcPr>
          <w:p w14:paraId="1EAA8ED3" w14:textId="1461B688"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Monto de operaciones de préstamos entre entidades financieras locales (en millones de $)  </w:t>
            </w:r>
          </w:p>
        </w:tc>
      </w:tr>
      <w:tr w:rsidR="00F5627F" w:rsidRPr="005E1A80" w14:paraId="6FB5E3B3" w14:textId="2E3A468D" w:rsidTr="00901A41">
        <w:tblPrEx>
          <w:jc w:val="left"/>
        </w:tblPrEx>
        <w:trPr>
          <w:trHeight w:val="300"/>
        </w:trPr>
        <w:tc>
          <w:tcPr>
            <w:tcW w:w="704" w:type="dxa"/>
            <w:noWrap/>
            <w:vAlign w:val="center"/>
            <w:hideMark/>
          </w:tcPr>
          <w:p w14:paraId="210758E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73</w:t>
            </w:r>
          </w:p>
        </w:tc>
        <w:tc>
          <w:tcPr>
            <w:tcW w:w="3827" w:type="dxa"/>
            <w:noWrap/>
            <w:vAlign w:val="center"/>
            <w:hideMark/>
          </w:tcPr>
          <w:p w14:paraId="31E9C1A0"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base monetaria más cuasimonedas (en millones de $)  </w:t>
            </w:r>
          </w:p>
        </w:tc>
        <w:tc>
          <w:tcPr>
            <w:tcW w:w="709" w:type="dxa"/>
            <w:vAlign w:val="center"/>
          </w:tcPr>
          <w:p w14:paraId="169CEB68" w14:textId="03A430C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150</w:t>
            </w:r>
          </w:p>
        </w:tc>
        <w:tc>
          <w:tcPr>
            <w:tcW w:w="4496" w:type="dxa"/>
            <w:vAlign w:val="center"/>
          </w:tcPr>
          <w:p w14:paraId="0CB15AFB" w14:textId="4CF05D6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 de interes por operaciones de pases entre terceros a 1 día  TNA (en %)  </w:t>
            </w:r>
          </w:p>
        </w:tc>
      </w:tr>
      <w:tr w:rsidR="00F5627F" w:rsidRPr="005E1A80" w14:paraId="10D05469" w14:textId="1BDDE2CC" w:rsidTr="00901A41">
        <w:tblPrEx>
          <w:jc w:val="left"/>
        </w:tblPrEx>
        <w:trPr>
          <w:trHeight w:val="300"/>
        </w:trPr>
        <w:tc>
          <w:tcPr>
            <w:tcW w:w="704" w:type="dxa"/>
            <w:noWrap/>
            <w:vAlign w:val="center"/>
            <w:hideMark/>
          </w:tcPr>
          <w:p w14:paraId="2FED3C4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74</w:t>
            </w:r>
          </w:p>
        </w:tc>
        <w:tc>
          <w:tcPr>
            <w:tcW w:w="3827" w:type="dxa"/>
            <w:noWrap/>
            <w:vAlign w:val="center"/>
            <w:hideMark/>
          </w:tcPr>
          <w:p w14:paraId="3B2EE33C"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reservas internacionales (excluidas asignaciones DEG 2009  en millones de USD)  </w:t>
            </w:r>
          </w:p>
        </w:tc>
        <w:tc>
          <w:tcPr>
            <w:tcW w:w="709" w:type="dxa"/>
            <w:vAlign w:val="center"/>
          </w:tcPr>
          <w:p w14:paraId="599CBB07" w14:textId="3C3BC562"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151</w:t>
            </w:r>
          </w:p>
        </w:tc>
        <w:tc>
          <w:tcPr>
            <w:tcW w:w="4496" w:type="dxa"/>
            <w:vAlign w:val="center"/>
          </w:tcPr>
          <w:p w14:paraId="2A525B64" w14:textId="5C10045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Monto de operaciones de pases entre terceros (en millones de $)  </w:t>
            </w:r>
          </w:p>
        </w:tc>
      </w:tr>
      <w:tr w:rsidR="00F5627F" w:rsidRPr="005E1A80" w14:paraId="59FB3C65" w14:textId="1C66BE2D" w:rsidTr="00901A41">
        <w:tblPrEx>
          <w:jc w:val="left"/>
        </w:tblPrEx>
        <w:trPr>
          <w:trHeight w:val="300"/>
        </w:trPr>
        <w:tc>
          <w:tcPr>
            <w:tcW w:w="704" w:type="dxa"/>
            <w:noWrap/>
            <w:vAlign w:val="center"/>
            <w:hideMark/>
          </w:tcPr>
          <w:p w14:paraId="2342EAE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75</w:t>
            </w:r>
          </w:p>
        </w:tc>
        <w:tc>
          <w:tcPr>
            <w:tcW w:w="3827" w:type="dxa"/>
            <w:noWrap/>
            <w:vAlign w:val="center"/>
            <w:hideMark/>
          </w:tcPr>
          <w:p w14:paraId="593B7B6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oro  divisas  colocaciones a plazo y otros activos de reserva (en millones de USD)  </w:t>
            </w:r>
          </w:p>
        </w:tc>
        <w:tc>
          <w:tcPr>
            <w:tcW w:w="709" w:type="dxa"/>
            <w:vAlign w:val="center"/>
          </w:tcPr>
          <w:p w14:paraId="1C319329" w14:textId="6D8338D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152</w:t>
            </w:r>
          </w:p>
        </w:tc>
        <w:tc>
          <w:tcPr>
            <w:tcW w:w="4496" w:type="dxa"/>
            <w:vAlign w:val="center"/>
          </w:tcPr>
          <w:p w14:paraId="2C9A957F" w14:textId="5E29B6D9"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pases pasivos para el BCRA (incluye pases pasivos con FCI  en millones de $)  </w:t>
            </w:r>
          </w:p>
        </w:tc>
      </w:tr>
      <w:tr w:rsidR="00F5627F" w:rsidRPr="005E1A80" w14:paraId="53FBF20E" w14:textId="42FBF945" w:rsidTr="00901A41">
        <w:tblPrEx>
          <w:jc w:val="left"/>
        </w:tblPrEx>
        <w:trPr>
          <w:trHeight w:val="300"/>
        </w:trPr>
        <w:tc>
          <w:tcPr>
            <w:tcW w:w="704" w:type="dxa"/>
            <w:noWrap/>
            <w:vAlign w:val="center"/>
            <w:hideMark/>
          </w:tcPr>
          <w:p w14:paraId="1648DE3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76</w:t>
            </w:r>
          </w:p>
        </w:tc>
        <w:tc>
          <w:tcPr>
            <w:tcW w:w="3827" w:type="dxa"/>
            <w:noWrap/>
            <w:vAlign w:val="center"/>
            <w:hideMark/>
          </w:tcPr>
          <w:p w14:paraId="048095B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divisas-pase pasivo en dólares con el exterior (en millones de USD)  </w:t>
            </w:r>
          </w:p>
        </w:tc>
        <w:tc>
          <w:tcPr>
            <w:tcW w:w="709" w:type="dxa"/>
            <w:vAlign w:val="center"/>
          </w:tcPr>
          <w:p w14:paraId="1CC7BD82" w14:textId="01589C2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153</w:t>
            </w:r>
          </w:p>
        </w:tc>
        <w:tc>
          <w:tcPr>
            <w:tcW w:w="4496" w:type="dxa"/>
            <w:vAlign w:val="center"/>
          </w:tcPr>
          <w:p w14:paraId="5796B424" w14:textId="3F6AEDD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pases pasivos del BCRA con fondos comunes de inversión (en millones de $)  </w:t>
            </w:r>
          </w:p>
        </w:tc>
      </w:tr>
      <w:tr w:rsidR="00F5627F" w:rsidRPr="005E1A80" w14:paraId="01E302E0" w14:textId="36AC88EE" w:rsidTr="00901A41">
        <w:tblPrEx>
          <w:jc w:val="left"/>
        </w:tblPrEx>
        <w:trPr>
          <w:trHeight w:val="300"/>
        </w:trPr>
        <w:tc>
          <w:tcPr>
            <w:tcW w:w="704" w:type="dxa"/>
            <w:noWrap/>
            <w:vAlign w:val="center"/>
            <w:hideMark/>
          </w:tcPr>
          <w:p w14:paraId="0381F0D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77</w:t>
            </w:r>
          </w:p>
        </w:tc>
        <w:tc>
          <w:tcPr>
            <w:tcW w:w="3827" w:type="dxa"/>
            <w:noWrap/>
            <w:vAlign w:val="center"/>
            <w:hideMark/>
          </w:tcPr>
          <w:p w14:paraId="2B01DF5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Total de variación diaria de las reservas internacionales (en millones de USD)  </w:t>
            </w:r>
          </w:p>
        </w:tc>
        <w:tc>
          <w:tcPr>
            <w:tcW w:w="709" w:type="dxa"/>
            <w:vAlign w:val="center"/>
          </w:tcPr>
          <w:p w14:paraId="5F3B5FFA" w14:textId="0433260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154</w:t>
            </w:r>
          </w:p>
        </w:tc>
        <w:tc>
          <w:tcPr>
            <w:tcW w:w="4496" w:type="dxa"/>
            <w:vAlign w:val="center"/>
          </w:tcPr>
          <w:p w14:paraId="140DE050" w14:textId="3945AB9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pases activos para el BCRA (en millones de $)  </w:t>
            </w:r>
          </w:p>
        </w:tc>
      </w:tr>
      <w:tr w:rsidR="00F5627F" w:rsidRPr="005E1A80" w14:paraId="0B2B2489" w14:textId="6AD3E0BC" w:rsidTr="00901A41">
        <w:tblPrEx>
          <w:jc w:val="left"/>
        </w:tblPrEx>
        <w:trPr>
          <w:trHeight w:val="300"/>
        </w:trPr>
        <w:tc>
          <w:tcPr>
            <w:tcW w:w="704" w:type="dxa"/>
            <w:noWrap/>
            <w:vAlign w:val="center"/>
            <w:hideMark/>
          </w:tcPr>
          <w:p w14:paraId="7CF20A2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78</w:t>
            </w:r>
          </w:p>
        </w:tc>
        <w:tc>
          <w:tcPr>
            <w:tcW w:w="3827" w:type="dxa"/>
            <w:noWrap/>
            <w:vAlign w:val="center"/>
            <w:hideMark/>
          </w:tcPr>
          <w:p w14:paraId="6C7CCF5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reservas internacionales por compra de divisas (en millones de USD)  </w:t>
            </w:r>
          </w:p>
        </w:tc>
        <w:tc>
          <w:tcPr>
            <w:tcW w:w="709" w:type="dxa"/>
            <w:vAlign w:val="center"/>
          </w:tcPr>
          <w:p w14:paraId="1D96CDB8" w14:textId="40D46E5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155</w:t>
            </w:r>
          </w:p>
        </w:tc>
        <w:tc>
          <w:tcPr>
            <w:tcW w:w="4496" w:type="dxa"/>
            <w:vAlign w:val="center"/>
          </w:tcPr>
          <w:p w14:paraId="5D617964" w14:textId="3098BE38"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LELIQ y NOTALIQ (en millones de $)  </w:t>
            </w:r>
          </w:p>
        </w:tc>
      </w:tr>
      <w:tr w:rsidR="00F5627F" w:rsidRPr="005E1A80" w14:paraId="69D50BD6" w14:textId="6355168B" w:rsidTr="00901A41">
        <w:tblPrEx>
          <w:jc w:val="left"/>
        </w:tblPrEx>
        <w:trPr>
          <w:trHeight w:val="300"/>
        </w:trPr>
        <w:tc>
          <w:tcPr>
            <w:tcW w:w="704" w:type="dxa"/>
            <w:noWrap/>
            <w:vAlign w:val="center"/>
            <w:hideMark/>
          </w:tcPr>
          <w:p w14:paraId="11254CD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79</w:t>
            </w:r>
          </w:p>
        </w:tc>
        <w:tc>
          <w:tcPr>
            <w:tcW w:w="3827" w:type="dxa"/>
            <w:noWrap/>
            <w:vAlign w:val="center"/>
            <w:hideMark/>
          </w:tcPr>
          <w:p w14:paraId="5F01F9B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Variación diaria de reservas internacionales por operaciones con organismos internacionales (en millones de</w:t>
            </w:r>
          </w:p>
        </w:tc>
        <w:tc>
          <w:tcPr>
            <w:tcW w:w="709" w:type="dxa"/>
            <w:vAlign w:val="center"/>
          </w:tcPr>
          <w:p w14:paraId="0394EDB8" w14:textId="6EC624E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156</w:t>
            </w:r>
          </w:p>
        </w:tc>
        <w:tc>
          <w:tcPr>
            <w:tcW w:w="4496" w:type="dxa"/>
            <w:vAlign w:val="center"/>
          </w:tcPr>
          <w:p w14:paraId="524EBBD8" w14:textId="4283E6A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LEBAC y NOBAC en Pesos  LEGAR y LEMIN  (en millones de $)  </w:t>
            </w:r>
          </w:p>
        </w:tc>
      </w:tr>
      <w:tr w:rsidR="00F5627F" w:rsidRPr="005E1A80" w14:paraId="72223952" w14:textId="25F0A341" w:rsidTr="00901A41">
        <w:tblPrEx>
          <w:jc w:val="left"/>
        </w:tblPrEx>
        <w:trPr>
          <w:trHeight w:val="300"/>
        </w:trPr>
        <w:tc>
          <w:tcPr>
            <w:tcW w:w="704" w:type="dxa"/>
            <w:noWrap/>
            <w:vAlign w:val="center"/>
            <w:hideMark/>
          </w:tcPr>
          <w:p w14:paraId="2D33F95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80</w:t>
            </w:r>
          </w:p>
        </w:tc>
        <w:tc>
          <w:tcPr>
            <w:tcW w:w="3827" w:type="dxa"/>
            <w:noWrap/>
            <w:vAlign w:val="center"/>
            <w:hideMark/>
          </w:tcPr>
          <w:p w14:paraId="3DF16E5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reservas internacionales por otras operaciones del sector público (en millones de USD)  </w:t>
            </w:r>
          </w:p>
        </w:tc>
        <w:tc>
          <w:tcPr>
            <w:tcW w:w="709" w:type="dxa"/>
            <w:vAlign w:val="center"/>
          </w:tcPr>
          <w:p w14:paraId="68C93C7F" w14:textId="59354C7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157</w:t>
            </w:r>
          </w:p>
        </w:tc>
        <w:tc>
          <w:tcPr>
            <w:tcW w:w="4496" w:type="dxa"/>
            <w:vAlign w:val="center"/>
          </w:tcPr>
          <w:p w14:paraId="1BB3C05E" w14:textId="6CC283D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LEBAC y NOBAC en Pesos de Entidades Financieras (en millones de $)  </w:t>
            </w:r>
          </w:p>
        </w:tc>
      </w:tr>
      <w:tr w:rsidR="00F5627F" w:rsidRPr="005E1A80" w14:paraId="53ABE962" w14:textId="078BFDC0" w:rsidTr="00901A41">
        <w:tblPrEx>
          <w:jc w:val="left"/>
        </w:tblPrEx>
        <w:trPr>
          <w:trHeight w:val="300"/>
        </w:trPr>
        <w:tc>
          <w:tcPr>
            <w:tcW w:w="704" w:type="dxa"/>
            <w:noWrap/>
            <w:vAlign w:val="center"/>
            <w:hideMark/>
          </w:tcPr>
          <w:p w14:paraId="25FDF07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81</w:t>
            </w:r>
          </w:p>
        </w:tc>
        <w:tc>
          <w:tcPr>
            <w:tcW w:w="3827" w:type="dxa"/>
            <w:noWrap/>
            <w:vAlign w:val="center"/>
            <w:hideMark/>
          </w:tcPr>
          <w:p w14:paraId="19FE811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Variación diaria de reservas internacionales por efectivo mínimo (en millones de USD)  </w:t>
            </w:r>
          </w:p>
        </w:tc>
        <w:tc>
          <w:tcPr>
            <w:tcW w:w="709" w:type="dxa"/>
            <w:vAlign w:val="center"/>
          </w:tcPr>
          <w:p w14:paraId="1688365F" w14:textId="7D487B1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158</w:t>
            </w:r>
          </w:p>
        </w:tc>
        <w:tc>
          <w:tcPr>
            <w:tcW w:w="4496" w:type="dxa"/>
            <w:vAlign w:val="center"/>
          </w:tcPr>
          <w:p w14:paraId="20925E08" w14:textId="60A6ECCE"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LEBAC en dólares  LEDIV y BOPREAL  (en millones de USD)  </w:t>
            </w:r>
          </w:p>
        </w:tc>
      </w:tr>
      <w:tr w:rsidR="00F5627F" w:rsidRPr="005E1A80" w14:paraId="0889B1AD" w14:textId="4AE2EB61" w:rsidTr="00901A41">
        <w:tblPrEx>
          <w:jc w:val="left"/>
        </w:tblPrEx>
        <w:trPr>
          <w:trHeight w:val="300"/>
        </w:trPr>
        <w:tc>
          <w:tcPr>
            <w:tcW w:w="704" w:type="dxa"/>
            <w:noWrap/>
            <w:vAlign w:val="center"/>
            <w:hideMark/>
          </w:tcPr>
          <w:p w14:paraId="0525491E"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82</w:t>
            </w:r>
          </w:p>
        </w:tc>
        <w:tc>
          <w:tcPr>
            <w:tcW w:w="3827" w:type="dxa"/>
            <w:noWrap/>
            <w:vAlign w:val="center"/>
            <w:hideMark/>
          </w:tcPr>
          <w:p w14:paraId="0272C8B0"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Variación diaria de reservas internacionales por otras operaciones no incluidas en otros rubros (en millones</w:t>
            </w:r>
          </w:p>
        </w:tc>
        <w:tc>
          <w:tcPr>
            <w:tcW w:w="709" w:type="dxa"/>
            <w:vAlign w:val="center"/>
          </w:tcPr>
          <w:p w14:paraId="31C74313" w14:textId="7ED797B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159</w:t>
            </w:r>
          </w:p>
        </w:tc>
        <w:tc>
          <w:tcPr>
            <w:tcW w:w="4496" w:type="dxa"/>
            <w:vAlign w:val="center"/>
          </w:tcPr>
          <w:p w14:paraId="7E6CB962" w14:textId="2FE525FF"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NOCOM (en millones de $)  </w:t>
            </w:r>
          </w:p>
        </w:tc>
      </w:tr>
      <w:tr w:rsidR="00F5627F" w:rsidRPr="005E1A80" w14:paraId="625816A2" w14:textId="2DDA0E36" w:rsidTr="00901A41">
        <w:tblPrEx>
          <w:jc w:val="left"/>
        </w:tblPrEx>
        <w:trPr>
          <w:trHeight w:val="300"/>
        </w:trPr>
        <w:tc>
          <w:tcPr>
            <w:tcW w:w="704" w:type="dxa"/>
            <w:noWrap/>
            <w:vAlign w:val="center"/>
            <w:hideMark/>
          </w:tcPr>
          <w:p w14:paraId="2571F3F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lastRenderedPageBreak/>
              <w:t>83</w:t>
            </w:r>
          </w:p>
        </w:tc>
        <w:tc>
          <w:tcPr>
            <w:tcW w:w="3827" w:type="dxa"/>
            <w:noWrap/>
            <w:vAlign w:val="center"/>
            <w:hideMark/>
          </w:tcPr>
          <w:p w14:paraId="1FAA464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Asignaciones de DEGs del año 2009 (en millones de USD)  </w:t>
            </w:r>
          </w:p>
        </w:tc>
        <w:tc>
          <w:tcPr>
            <w:tcW w:w="709" w:type="dxa"/>
            <w:vAlign w:val="center"/>
          </w:tcPr>
          <w:p w14:paraId="6E047BCF" w14:textId="04EF76B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160</w:t>
            </w:r>
          </w:p>
        </w:tc>
        <w:tc>
          <w:tcPr>
            <w:tcW w:w="4496" w:type="dxa"/>
            <w:vAlign w:val="center"/>
          </w:tcPr>
          <w:p w14:paraId="21600A02" w14:textId="71A9099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política monetaria  TNA (en %)  </w:t>
            </w:r>
          </w:p>
        </w:tc>
      </w:tr>
      <w:tr w:rsidR="00F5627F" w:rsidRPr="005E1A80" w14:paraId="218E06D7" w14:textId="14726FDB" w:rsidTr="00901A41">
        <w:tblPrEx>
          <w:jc w:val="left"/>
        </w:tblPrEx>
        <w:trPr>
          <w:trHeight w:val="300"/>
        </w:trPr>
        <w:tc>
          <w:tcPr>
            <w:tcW w:w="704" w:type="dxa"/>
            <w:noWrap/>
            <w:vAlign w:val="center"/>
            <w:hideMark/>
          </w:tcPr>
          <w:p w14:paraId="6869237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84</w:t>
            </w:r>
          </w:p>
        </w:tc>
        <w:tc>
          <w:tcPr>
            <w:tcW w:w="3827" w:type="dxa"/>
            <w:noWrap/>
            <w:vAlign w:val="center"/>
            <w:hideMark/>
          </w:tcPr>
          <w:p w14:paraId="2481C5C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Tipo de cambio peso / dólar estadounidense de valuación contable  </w:t>
            </w:r>
          </w:p>
        </w:tc>
        <w:tc>
          <w:tcPr>
            <w:tcW w:w="709" w:type="dxa"/>
            <w:vAlign w:val="center"/>
          </w:tcPr>
          <w:p w14:paraId="66794573" w14:textId="7CE2B76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161</w:t>
            </w:r>
          </w:p>
        </w:tc>
        <w:tc>
          <w:tcPr>
            <w:tcW w:w="4496" w:type="dxa"/>
            <w:vAlign w:val="center"/>
          </w:tcPr>
          <w:p w14:paraId="0539F2B6" w14:textId="20A2F5DD"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política monetaria  TEA (en %)  </w:t>
            </w:r>
          </w:p>
        </w:tc>
      </w:tr>
      <w:tr w:rsidR="00F5627F" w:rsidRPr="005E1A80" w14:paraId="7F335F1C" w14:textId="32A003F6" w:rsidTr="00901A41">
        <w:tblPrEx>
          <w:jc w:val="left"/>
        </w:tblPrEx>
        <w:trPr>
          <w:trHeight w:val="300"/>
        </w:trPr>
        <w:tc>
          <w:tcPr>
            <w:tcW w:w="704" w:type="dxa"/>
            <w:noWrap/>
            <w:vAlign w:val="center"/>
            <w:hideMark/>
          </w:tcPr>
          <w:p w14:paraId="60A936E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85</w:t>
            </w:r>
          </w:p>
        </w:tc>
        <w:tc>
          <w:tcPr>
            <w:tcW w:w="3827" w:type="dxa"/>
            <w:noWrap/>
            <w:vAlign w:val="center"/>
            <w:hideMark/>
          </w:tcPr>
          <w:p w14:paraId="56AB283C"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en cuentas corrientes de los sectores público y privado no financieros (en millo</w:t>
            </w:r>
          </w:p>
        </w:tc>
        <w:tc>
          <w:tcPr>
            <w:tcW w:w="709" w:type="dxa"/>
            <w:vAlign w:val="center"/>
          </w:tcPr>
          <w:p w14:paraId="0B1F49E8" w14:textId="26BED41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162</w:t>
            </w:r>
          </w:p>
        </w:tc>
        <w:tc>
          <w:tcPr>
            <w:tcW w:w="4496" w:type="dxa"/>
            <w:vAlign w:val="center"/>
          </w:tcPr>
          <w:p w14:paraId="3FC4CC69" w14:textId="01DC123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pasivos en pesos a 1 día  TNA (en %)  </w:t>
            </w:r>
          </w:p>
        </w:tc>
      </w:tr>
      <w:tr w:rsidR="00F5627F" w:rsidRPr="005E1A80" w14:paraId="552B204F" w14:textId="78A625D7" w:rsidTr="00901A41">
        <w:tblPrEx>
          <w:jc w:val="left"/>
        </w:tblPrEx>
        <w:trPr>
          <w:trHeight w:val="300"/>
        </w:trPr>
        <w:tc>
          <w:tcPr>
            <w:tcW w:w="704" w:type="dxa"/>
            <w:noWrap/>
            <w:vAlign w:val="center"/>
            <w:hideMark/>
          </w:tcPr>
          <w:p w14:paraId="70D4A2C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86</w:t>
            </w:r>
          </w:p>
        </w:tc>
        <w:tc>
          <w:tcPr>
            <w:tcW w:w="3827" w:type="dxa"/>
            <w:noWrap/>
            <w:vAlign w:val="center"/>
            <w:hideMark/>
          </w:tcPr>
          <w:p w14:paraId="287615B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en cajas de ahorro de los sectores público y privado no financieros (en millones</w:t>
            </w:r>
          </w:p>
        </w:tc>
        <w:tc>
          <w:tcPr>
            <w:tcW w:w="709" w:type="dxa"/>
            <w:vAlign w:val="center"/>
          </w:tcPr>
          <w:p w14:paraId="1D37BC39" w14:textId="72B27102"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163</w:t>
            </w:r>
          </w:p>
        </w:tc>
        <w:tc>
          <w:tcPr>
            <w:tcW w:w="4496" w:type="dxa"/>
            <w:vAlign w:val="center"/>
          </w:tcPr>
          <w:p w14:paraId="1906A9FC" w14:textId="42A6551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pasivos en pesos a 7 días  TNA (en %)  </w:t>
            </w:r>
          </w:p>
        </w:tc>
      </w:tr>
      <w:tr w:rsidR="00F5627F" w:rsidRPr="005E1A80" w14:paraId="1596B5BB" w14:textId="656013F7" w:rsidTr="00901A41">
        <w:tblPrEx>
          <w:jc w:val="left"/>
        </w:tblPrEx>
        <w:trPr>
          <w:trHeight w:val="300"/>
        </w:trPr>
        <w:tc>
          <w:tcPr>
            <w:tcW w:w="704" w:type="dxa"/>
            <w:noWrap/>
            <w:vAlign w:val="center"/>
            <w:hideMark/>
          </w:tcPr>
          <w:p w14:paraId="72835DF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87</w:t>
            </w:r>
          </w:p>
        </w:tc>
        <w:tc>
          <w:tcPr>
            <w:tcW w:w="3827" w:type="dxa"/>
            <w:noWrap/>
            <w:vAlign w:val="center"/>
            <w:hideMark/>
          </w:tcPr>
          <w:p w14:paraId="34B818A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no ajustables por CER/UVAs de los sectores público y privado no financie</w:t>
            </w:r>
          </w:p>
        </w:tc>
        <w:tc>
          <w:tcPr>
            <w:tcW w:w="709" w:type="dxa"/>
            <w:vAlign w:val="center"/>
          </w:tcPr>
          <w:p w14:paraId="4C75E7F5" w14:textId="021A109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164</w:t>
            </w:r>
          </w:p>
        </w:tc>
        <w:tc>
          <w:tcPr>
            <w:tcW w:w="4496" w:type="dxa"/>
            <w:vAlign w:val="center"/>
          </w:tcPr>
          <w:p w14:paraId="31EAE384" w14:textId="3CFC540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activos en pesos a 1 días  TNA (en %)  </w:t>
            </w:r>
          </w:p>
        </w:tc>
      </w:tr>
      <w:tr w:rsidR="00F5627F" w:rsidRPr="005E1A80" w14:paraId="3AABF538" w14:textId="67C88631" w:rsidTr="00901A41">
        <w:tblPrEx>
          <w:jc w:val="left"/>
        </w:tblPrEx>
        <w:trPr>
          <w:trHeight w:val="300"/>
        </w:trPr>
        <w:tc>
          <w:tcPr>
            <w:tcW w:w="704" w:type="dxa"/>
            <w:noWrap/>
            <w:vAlign w:val="center"/>
            <w:hideMark/>
          </w:tcPr>
          <w:p w14:paraId="51C6927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88</w:t>
            </w:r>
          </w:p>
        </w:tc>
        <w:tc>
          <w:tcPr>
            <w:tcW w:w="3827" w:type="dxa"/>
            <w:noWrap/>
            <w:vAlign w:val="center"/>
            <w:hideMark/>
          </w:tcPr>
          <w:p w14:paraId="49ED964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ajustables por CER/UVAs de los sectores público y privado no financieros</w:t>
            </w:r>
          </w:p>
        </w:tc>
        <w:tc>
          <w:tcPr>
            <w:tcW w:w="709" w:type="dxa"/>
            <w:vAlign w:val="center"/>
          </w:tcPr>
          <w:p w14:paraId="71F6C8D3" w14:textId="372FF665"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165</w:t>
            </w:r>
          </w:p>
        </w:tc>
        <w:tc>
          <w:tcPr>
            <w:tcW w:w="4496" w:type="dxa"/>
            <w:vAlign w:val="center"/>
          </w:tcPr>
          <w:p w14:paraId="12D0FB4B" w14:textId="460C6279"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del BCRA para pases activos en pesos a 7 días  TNA (en %)  </w:t>
            </w:r>
          </w:p>
        </w:tc>
      </w:tr>
      <w:tr w:rsidR="00F5627F" w:rsidRPr="005E1A80" w14:paraId="7898492D" w14:textId="282554C7" w:rsidTr="00901A41">
        <w:tblPrEx>
          <w:jc w:val="left"/>
        </w:tblPrEx>
        <w:trPr>
          <w:trHeight w:val="300"/>
        </w:trPr>
        <w:tc>
          <w:tcPr>
            <w:tcW w:w="704" w:type="dxa"/>
            <w:noWrap/>
            <w:vAlign w:val="center"/>
            <w:hideMark/>
          </w:tcPr>
          <w:p w14:paraId="71EB38B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89</w:t>
            </w:r>
          </w:p>
        </w:tc>
        <w:tc>
          <w:tcPr>
            <w:tcW w:w="3827" w:type="dxa"/>
            <w:noWrap/>
            <w:vAlign w:val="center"/>
            <w:hideMark/>
          </w:tcPr>
          <w:p w14:paraId="67EC8AD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depósitos en pesos de los sectores público y privado no financieros (en millones de $)  </w:t>
            </w:r>
          </w:p>
        </w:tc>
        <w:tc>
          <w:tcPr>
            <w:tcW w:w="709" w:type="dxa"/>
            <w:vAlign w:val="center"/>
          </w:tcPr>
          <w:p w14:paraId="6615365C" w14:textId="642A975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166</w:t>
            </w:r>
          </w:p>
        </w:tc>
        <w:tc>
          <w:tcPr>
            <w:tcW w:w="4496" w:type="dxa"/>
            <w:vAlign w:val="center"/>
          </w:tcPr>
          <w:p w14:paraId="3B320E7D" w14:textId="50FDE211"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 LELIQ de 1 mes  TNA (en %)  </w:t>
            </w:r>
          </w:p>
        </w:tc>
      </w:tr>
      <w:tr w:rsidR="00F5627F" w:rsidRPr="005E1A80" w14:paraId="25293D4E" w14:textId="2EF01139" w:rsidTr="00901A41">
        <w:tblPrEx>
          <w:jc w:val="left"/>
        </w:tblPrEx>
        <w:trPr>
          <w:trHeight w:val="300"/>
        </w:trPr>
        <w:tc>
          <w:tcPr>
            <w:tcW w:w="704" w:type="dxa"/>
            <w:noWrap/>
            <w:vAlign w:val="center"/>
            <w:hideMark/>
          </w:tcPr>
          <w:p w14:paraId="053C3E1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90</w:t>
            </w:r>
          </w:p>
        </w:tc>
        <w:tc>
          <w:tcPr>
            <w:tcW w:w="3827" w:type="dxa"/>
            <w:noWrap/>
            <w:vAlign w:val="center"/>
            <w:hideMark/>
          </w:tcPr>
          <w:p w14:paraId="7326737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CEDROS con CER de los sectores público y privado no financieros (en millones de $)  </w:t>
            </w:r>
          </w:p>
        </w:tc>
        <w:tc>
          <w:tcPr>
            <w:tcW w:w="709" w:type="dxa"/>
            <w:vAlign w:val="center"/>
          </w:tcPr>
          <w:p w14:paraId="51BF95ED" w14:textId="36D675C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167</w:t>
            </w:r>
          </w:p>
        </w:tc>
        <w:tc>
          <w:tcPr>
            <w:tcW w:w="4496" w:type="dxa"/>
            <w:vAlign w:val="center"/>
          </w:tcPr>
          <w:p w14:paraId="4AD18BC7" w14:textId="5C701CD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2 meses  TNA (en %)  </w:t>
            </w:r>
          </w:p>
        </w:tc>
      </w:tr>
      <w:tr w:rsidR="00F5627F" w:rsidRPr="005E1A80" w14:paraId="733D78E3" w14:textId="0E6A53BA" w:rsidTr="00901A41">
        <w:tblPrEx>
          <w:jc w:val="left"/>
        </w:tblPrEx>
        <w:trPr>
          <w:trHeight w:val="300"/>
        </w:trPr>
        <w:tc>
          <w:tcPr>
            <w:tcW w:w="704" w:type="dxa"/>
            <w:noWrap/>
            <w:vAlign w:val="center"/>
            <w:hideMark/>
          </w:tcPr>
          <w:p w14:paraId="3A21AA7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91</w:t>
            </w:r>
          </w:p>
        </w:tc>
        <w:tc>
          <w:tcPr>
            <w:tcW w:w="3827" w:type="dxa"/>
            <w:noWrap/>
            <w:vAlign w:val="center"/>
            <w:hideMark/>
          </w:tcPr>
          <w:p w14:paraId="38962606"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los depósitos en pesos de los sectores público y privados no financieros más CEDROS (en millones de</w:t>
            </w:r>
          </w:p>
        </w:tc>
        <w:tc>
          <w:tcPr>
            <w:tcW w:w="709" w:type="dxa"/>
            <w:vAlign w:val="center"/>
          </w:tcPr>
          <w:p w14:paraId="51082637" w14:textId="540F58F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168</w:t>
            </w:r>
          </w:p>
        </w:tc>
        <w:tc>
          <w:tcPr>
            <w:tcW w:w="4496" w:type="dxa"/>
            <w:vAlign w:val="center"/>
          </w:tcPr>
          <w:p w14:paraId="201AAEA9" w14:textId="6BD5EFE6"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3 meses  TNA (en %)  </w:t>
            </w:r>
          </w:p>
        </w:tc>
      </w:tr>
      <w:tr w:rsidR="00F5627F" w:rsidRPr="005E1A80" w14:paraId="55639084" w14:textId="4AA09F04" w:rsidTr="00901A41">
        <w:tblPrEx>
          <w:jc w:val="left"/>
        </w:tblPrEx>
        <w:trPr>
          <w:trHeight w:val="300"/>
        </w:trPr>
        <w:tc>
          <w:tcPr>
            <w:tcW w:w="704" w:type="dxa"/>
            <w:noWrap/>
            <w:vAlign w:val="center"/>
            <w:hideMark/>
          </w:tcPr>
          <w:p w14:paraId="18538BF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92</w:t>
            </w:r>
          </w:p>
        </w:tc>
        <w:tc>
          <w:tcPr>
            <w:tcW w:w="3827" w:type="dxa"/>
            <w:noWrap/>
            <w:vAlign w:val="center"/>
            <w:hideMark/>
          </w:tcPr>
          <w:p w14:paraId="582D1AA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BODEN de los sectores público y privado no financieros (en millones de $)  </w:t>
            </w:r>
          </w:p>
        </w:tc>
        <w:tc>
          <w:tcPr>
            <w:tcW w:w="709" w:type="dxa"/>
            <w:vAlign w:val="center"/>
          </w:tcPr>
          <w:p w14:paraId="7F2DE850" w14:textId="09612C6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169</w:t>
            </w:r>
          </w:p>
        </w:tc>
        <w:tc>
          <w:tcPr>
            <w:tcW w:w="4496" w:type="dxa"/>
            <w:vAlign w:val="center"/>
          </w:tcPr>
          <w:p w14:paraId="0F012669" w14:textId="6FF19AAC"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4 meses  TNA (en %)  </w:t>
            </w:r>
          </w:p>
        </w:tc>
      </w:tr>
      <w:tr w:rsidR="00F5627F" w:rsidRPr="005E1A80" w14:paraId="1FF74B2E" w14:textId="1C3C7815" w:rsidTr="00901A41">
        <w:tblPrEx>
          <w:jc w:val="left"/>
        </w:tblPrEx>
        <w:trPr>
          <w:trHeight w:val="300"/>
        </w:trPr>
        <w:tc>
          <w:tcPr>
            <w:tcW w:w="704" w:type="dxa"/>
            <w:noWrap/>
            <w:vAlign w:val="center"/>
            <w:hideMark/>
          </w:tcPr>
          <w:p w14:paraId="67AC05B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93</w:t>
            </w:r>
          </w:p>
        </w:tc>
        <w:tc>
          <w:tcPr>
            <w:tcW w:w="3827" w:type="dxa"/>
            <w:noWrap/>
            <w:vAlign w:val="center"/>
            <w:hideMark/>
          </w:tcPr>
          <w:p w14:paraId="4D64680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los depósitos en pesos de los sectores público y privados no financieros más CEDRO más BODEN (en mi</w:t>
            </w:r>
          </w:p>
        </w:tc>
        <w:tc>
          <w:tcPr>
            <w:tcW w:w="709" w:type="dxa"/>
            <w:vAlign w:val="center"/>
          </w:tcPr>
          <w:p w14:paraId="317E92CE" w14:textId="22C7B33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170</w:t>
            </w:r>
          </w:p>
        </w:tc>
        <w:tc>
          <w:tcPr>
            <w:tcW w:w="4496" w:type="dxa"/>
            <w:vAlign w:val="center"/>
          </w:tcPr>
          <w:p w14:paraId="56D774B3" w14:textId="6233333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5 meses  TNA (en %)  </w:t>
            </w:r>
          </w:p>
        </w:tc>
      </w:tr>
      <w:tr w:rsidR="00F5627F" w:rsidRPr="005E1A80" w14:paraId="3A576721" w14:textId="744F92DB" w:rsidTr="00901A41">
        <w:tblPrEx>
          <w:jc w:val="left"/>
        </w:tblPrEx>
        <w:trPr>
          <w:trHeight w:val="300"/>
        </w:trPr>
        <w:tc>
          <w:tcPr>
            <w:tcW w:w="704" w:type="dxa"/>
            <w:noWrap/>
            <w:vAlign w:val="center"/>
            <w:hideMark/>
          </w:tcPr>
          <w:p w14:paraId="6D0BE28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94</w:t>
            </w:r>
          </w:p>
        </w:tc>
        <w:tc>
          <w:tcPr>
            <w:tcW w:w="3827" w:type="dxa"/>
            <w:noWrap/>
            <w:vAlign w:val="center"/>
            <w:hideMark/>
          </w:tcPr>
          <w:p w14:paraId="7BFD2A9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pesos cuentas corrientes del sector privado no financiero (en millones de $)  </w:t>
            </w:r>
          </w:p>
        </w:tc>
        <w:tc>
          <w:tcPr>
            <w:tcW w:w="709" w:type="dxa"/>
            <w:vAlign w:val="center"/>
          </w:tcPr>
          <w:p w14:paraId="1240A336" w14:textId="61400CC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171</w:t>
            </w:r>
          </w:p>
        </w:tc>
        <w:tc>
          <w:tcPr>
            <w:tcW w:w="4496" w:type="dxa"/>
            <w:vAlign w:val="center"/>
          </w:tcPr>
          <w:p w14:paraId="2BC1E474" w14:textId="71374C0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 LELIQ a 6 meses  TNA (en %)  </w:t>
            </w:r>
          </w:p>
        </w:tc>
      </w:tr>
      <w:tr w:rsidR="00F5627F" w:rsidRPr="005E1A80" w14:paraId="1BDD9D69" w14:textId="573A9FD2" w:rsidTr="00901A41">
        <w:tblPrEx>
          <w:jc w:val="left"/>
        </w:tblPrEx>
        <w:trPr>
          <w:trHeight w:val="300"/>
        </w:trPr>
        <w:tc>
          <w:tcPr>
            <w:tcW w:w="704" w:type="dxa"/>
            <w:noWrap/>
            <w:vAlign w:val="center"/>
            <w:hideMark/>
          </w:tcPr>
          <w:p w14:paraId="461C1E1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95</w:t>
            </w:r>
          </w:p>
        </w:tc>
        <w:tc>
          <w:tcPr>
            <w:tcW w:w="3827" w:type="dxa"/>
            <w:noWrap/>
            <w:vAlign w:val="center"/>
            <w:hideMark/>
          </w:tcPr>
          <w:p w14:paraId="3FBB9F5E"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pesos en cajas de ahorro del sector privado no financiero (en millones de $)  </w:t>
            </w:r>
          </w:p>
        </w:tc>
        <w:tc>
          <w:tcPr>
            <w:tcW w:w="709" w:type="dxa"/>
            <w:vAlign w:val="center"/>
          </w:tcPr>
          <w:p w14:paraId="0579F6C1" w14:textId="716C1CDA"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172</w:t>
            </w:r>
          </w:p>
        </w:tc>
        <w:tc>
          <w:tcPr>
            <w:tcW w:w="4496" w:type="dxa"/>
            <w:vAlign w:val="center"/>
          </w:tcPr>
          <w:p w14:paraId="7F1214E6" w14:textId="5B9BCA8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7 meses  TNA (en %)  </w:t>
            </w:r>
          </w:p>
        </w:tc>
      </w:tr>
      <w:tr w:rsidR="00F5627F" w:rsidRPr="005E1A80" w14:paraId="42042825" w14:textId="5E5A5C95" w:rsidTr="00901A41">
        <w:tblPrEx>
          <w:jc w:val="left"/>
        </w:tblPrEx>
        <w:trPr>
          <w:trHeight w:val="300"/>
        </w:trPr>
        <w:tc>
          <w:tcPr>
            <w:tcW w:w="704" w:type="dxa"/>
            <w:noWrap/>
            <w:vAlign w:val="center"/>
            <w:hideMark/>
          </w:tcPr>
          <w:p w14:paraId="1FEC8AD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96</w:t>
            </w:r>
          </w:p>
        </w:tc>
        <w:tc>
          <w:tcPr>
            <w:tcW w:w="3827" w:type="dxa"/>
            <w:noWrap/>
            <w:vAlign w:val="center"/>
            <w:hideMark/>
          </w:tcPr>
          <w:p w14:paraId="5096BE0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no ajustables por CER/UVAs del sector privado no financiero (en millones</w:t>
            </w:r>
          </w:p>
        </w:tc>
        <w:tc>
          <w:tcPr>
            <w:tcW w:w="709" w:type="dxa"/>
            <w:vAlign w:val="center"/>
          </w:tcPr>
          <w:p w14:paraId="19083BD9" w14:textId="02B4CC0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173</w:t>
            </w:r>
          </w:p>
        </w:tc>
        <w:tc>
          <w:tcPr>
            <w:tcW w:w="4496" w:type="dxa"/>
            <w:vAlign w:val="center"/>
          </w:tcPr>
          <w:p w14:paraId="4B9E994B" w14:textId="6D04B4A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8 meses  TNA (en %)  </w:t>
            </w:r>
          </w:p>
        </w:tc>
      </w:tr>
      <w:tr w:rsidR="00F5627F" w:rsidRPr="005E1A80" w14:paraId="27FFE679" w14:textId="22492B9F" w:rsidTr="00901A41">
        <w:tblPrEx>
          <w:jc w:val="left"/>
        </w:tblPrEx>
        <w:trPr>
          <w:trHeight w:val="300"/>
        </w:trPr>
        <w:tc>
          <w:tcPr>
            <w:tcW w:w="704" w:type="dxa"/>
            <w:noWrap/>
            <w:vAlign w:val="center"/>
            <w:hideMark/>
          </w:tcPr>
          <w:p w14:paraId="3484EFF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97</w:t>
            </w:r>
          </w:p>
        </w:tc>
        <w:tc>
          <w:tcPr>
            <w:tcW w:w="3827" w:type="dxa"/>
            <w:noWrap/>
            <w:vAlign w:val="center"/>
            <w:hideMark/>
          </w:tcPr>
          <w:p w14:paraId="6AF7302C"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a plazo ajustables por CER/UVAs del sector privado no financiero (en millones de</w:t>
            </w:r>
          </w:p>
        </w:tc>
        <w:tc>
          <w:tcPr>
            <w:tcW w:w="709" w:type="dxa"/>
            <w:vAlign w:val="center"/>
          </w:tcPr>
          <w:p w14:paraId="42565CF9" w14:textId="6892A79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174</w:t>
            </w:r>
          </w:p>
        </w:tc>
        <w:tc>
          <w:tcPr>
            <w:tcW w:w="4496" w:type="dxa"/>
            <w:vAlign w:val="center"/>
          </w:tcPr>
          <w:p w14:paraId="6C1B37D8" w14:textId="5D34E6B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9 meses  TNA (en %)  </w:t>
            </w:r>
          </w:p>
        </w:tc>
      </w:tr>
      <w:tr w:rsidR="00F5627F" w:rsidRPr="005E1A80" w14:paraId="4644532F" w14:textId="0FEC2264" w:rsidTr="00901A41">
        <w:tblPrEx>
          <w:jc w:val="left"/>
        </w:tblPrEx>
        <w:trPr>
          <w:trHeight w:val="300"/>
        </w:trPr>
        <w:tc>
          <w:tcPr>
            <w:tcW w:w="704" w:type="dxa"/>
            <w:noWrap/>
            <w:vAlign w:val="center"/>
            <w:hideMark/>
          </w:tcPr>
          <w:p w14:paraId="1F396562"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98</w:t>
            </w:r>
          </w:p>
        </w:tc>
        <w:tc>
          <w:tcPr>
            <w:tcW w:w="3827" w:type="dxa"/>
            <w:noWrap/>
            <w:vAlign w:val="center"/>
            <w:hideMark/>
          </w:tcPr>
          <w:p w14:paraId="77F327A1"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depósitos en pesos del sector privado no financiero (en millones de $)  </w:t>
            </w:r>
          </w:p>
        </w:tc>
        <w:tc>
          <w:tcPr>
            <w:tcW w:w="709" w:type="dxa"/>
            <w:vAlign w:val="center"/>
          </w:tcPr>
          <w:p w14:paraId="0CD0F565" w14:textId="5183A23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175</w:t>
            </w:r>
          </w:p>
        </w:tc>
        <w:tc>
          <w:tcPr>
            <w:tcW w:w="4496" w:type="dxa"/>
            <w:vAlign w:val="center"/>
          </w:tcPr>
          <w:p w14:paraId="70F00EF9" w14:textId="41F215F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10 meses  TNA (en %)  </w:t>
            </w:r>
          </w:p>
        </w:tc>
      </w:tr>
      <w:tr w:rsidR="00F5627F" w:rsidRPr="005E1A80" w14:paraId="779DBC39" w14:textId="32E4DA7C" w:rsidTr="00901A41">
        <w:tblPrEx>
          <w:jc w:val="left"/>
        </w:tblPrEx>
        <w:trPr>
          <w:trHeight w:val="300"/>
        </w:trPr>
        <w:tc>
          <w:tcPr>
            <w:tcW w:w="704" w:type="dxa"/>
            <w:noWrap/>
            <w:vAlign w:val="center"/>
            <w:hideMark/>
          </w:tcPr>
          <w:p w14:paraId="46380A1D"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99</w:t>
            </w:r>
          </w:p>
        </w:tc>
        <w:tc>
          <w:tcPr>
            <w:tcW w:w="3827" w:type="dxa"/>
            <w:noWrap/>
            <w:vAlign w:val="center"/>
            <w:hideMark/>
          </w:tcPr>
          <w:p w14:paraId="6EE8E4C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CEDROS con CER del sector privado no financiero (en millones de $)  </w:t>
            </w:r>
          </w:p>
        </w:tc>
        <w:tc>
          <w:tcPr>
            <w:tcW w:w="709" w:type="dxa"/>
            <w:vAlign w:val="center"/>
          </w:tcPr>
          <w:p w14:paraId="577F17A9" w14:textId="7F42126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176</w:t>
            </w:r>
          </w:p>
        </w:tc>
        <w:tc>
          <w:tcPr>
            <w:tcW w:w="4496" w:type="dxa"/>
            <w:vAlign w:val="center"/>
          </w:tcPr>
          <w:p w14:paraId="109EA83B" w14:textId="24C8D98E"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11 meses  TNA (en %)  </w:t>
            </w:r>
          </w:p>
        </w:tc>
      </w:tr>
      <w:tr w:rsidR="00F5627F" w:rsidRPr="005E1A80" w14:paraId="2FBDD8B8" w14:textId="19476BE8" w:rsidTr="00901A41">
        <w:tblPrEx>
          <w:jc w:val="left"/>
        </w:tblPrEx>
        <w:trPr>
          <w:trHeight w:val="300"/>
        </w:trPr>
        <w:tc>
          <w:tcPr>
            <w:tcW w:w="704" w:type="dxa"/>
            <w:noWrap/>
            <w:vAlign w:val="center"/>
            <w:hideMark/>
          </w:tcPr>
          <w:p w14:paraId="794AC26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100</w:t>
            </w:r>
          </w:p>
        </w:tc>
        <w:tc>
          <w:tcPr>
            <w:tcW w:w="3827" w:type="dxa"/>
            <w:noWrap/>
            <w:vAlign w:val="center"/>
            <w:hideMark/>
          </w:tcPr>
          <w:p w14:paraId="440FDDD4"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los depósitos en pesos del sector privado no financiero más CEDROS (en millones de $)  </w:t>
            </w:r>
          </w:p>
        </w:tc>
        <w:tc>
          <w:tcPr>
            <w:tcW w:w="709" w:type="dxa"/>
            <w:vAlign w:val="center"/>
          </w:tcPr>
          <w:p w14:paraId="22D822C9" w14:textId="484ED1DC"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177</w:t>
            </w:r>
          </w:p>
        </w:tc>
        <w:tc>
          <w:tcPr>
            <w:tcW w:w="4496" w:type="dxa"/>
            <w:vAlign w:val="center"/>
          </w:tcPr>
          <w:p w14:paraId="64036F2F" w14:textId="12D5C46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12 meses  TNA (en %)  </w:t>
            </w:r>
          </w:p>
        </w:tc>
      </w:tr>
      <w:tr w:rsidR="00F5627F" w:rsidRPr="005E1A80" w14:paraId="654F91EB" w14:textId="33199F91" w:rsidTr="00901A41">
        <w:tblPrEx>
          <w:jc w:val="left"/>
        </w:tblPrEx>
        <w:trPr>
          <w:trHeight w:val="300"/>
        </w:trPr>
        <w:tc>
          <w:tcPr>
            <w:tcW w:w="704" w:type="dxa"/>
            <w:noWrap/>
            <w:vAlign w:val="center"/>
            <w:hideMark/>
          </w:tcPr>
          <w:p w14:paraId="212FE85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101</w:t>
            </w:r>
          </w:p>
        </w:tc>
        <w:tc>
          <w:tcPr>
            <w:tcW w:w="3827" w:type="dxa"/>
            <w:noWrap/>
            <w:vAlign w:val="center"/>
            <w:hideMark/>
          </w:tcPr>
          <w:p w14:paraId="45F1B8E9"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BODEN del sector privado no financiero (en millones de $)  </w:t>
            </w:r>
          </w:p>
        </w:tc>
        <w:tc>
          <w:tcPr>
            <w:tcW w:w="709" w:type="dxa"/>
            <w:vAlign w:val="center"/>
          </w:tcPr>
          <w:p w14:paraId="3C6CD6F3" w14:textId="2DDBA6D0"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178</w:t>
            </w:r>
          </w:p>
        </w:tc>
        <w:tc>
          <w:tcPr>
            <w:tcW w:w="4496" w:type="dxa"/>
            <w:vAlign w:val="center"/>
          </w:tcPr>
          <w:p w14:paraId="790B533E" w14:textId="5E9B50C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18 meses  TNA (en %)  </w:t>
            </w:r>
          </w:p>
        </w:tc>
      </w:tr>
      <w:tr w:rsidR="00F5627F" w:rsidRPr="005E1A80" w14:paraId="7C27FD6E" w14:textId="2596157E" w:rsidTr="00901A41">
        <w:tblPrEx>
          <w:jc w:val="left"/>
        </w:tblPrEx>
        <w:trPr>
          <w:trHeight w:val="300"/>
        </w:trPr>
        <w:tc>
          <w:tcPr>
            <w:tcW w:w="704" w:type="dxa"/>
            <w:noWrap/>
            <w:vAlign w:val="center"/>
            <w:hideMark/>
          </w:tcPr>
          <w:p w14:paraId="389DC4F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102</w:t>
            </w:r>
          </w:p>
        </w:tc>
        <w:tc>
          <w:tcPr>
            <w:tcW w:w="3827" w:type="dxa"/>
            <w:noWrap/>
            <w:vAlign w:val="center"/>
            <w:hideMark/>
          </w:tcPr>
          <w:p w14:paraId="1799A3A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los depósitos en pesos del sector privado no financiero más CEDRO más BODEN (en millones de $)  </w:t>
            </w:r>
          </w:p>
        </w:tc>
        <w:tc>
          <w:tcPr>
            <w:tcW w:w="709" w:type="dxa"/>
            <w:vAlign w:val="center"/>
          </w:tcPr>
          <w:p w14:paraId="03FE3AFB" w14:textId="0776CC9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179</w:t>
            </w:r>
          </w:p>
        </w:tc>
        <w:tc>
          <w:tcPr>
            <w:tcW w:w="4496" w:type="dxa"/>
            <w:vAlign w:val="center"/>
          </w:tcPr>
          <w:p w14:paraId="09C35353" w14:textId="7394999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de 24 meses  TNA (en %)  </w:t>
            </w:r>
          </w:p>
        </w:tc>
      </w:tr>
      <w:tr w:rsidR="00F5627F" w:rsidRPr="005E1A80" w14:paraId="11C1FA52" w14:textId="3FC8D986" w:rsidTr="00901A41">
        <w:tblPrEx>
          <w:jc w:val="left"/>
        </w:tblPrEx>
        <w:trPr>
          <w:trHeight w:val="300"/>
        </w:trPr>
        <w:tc>
          <w:tcPr>
            <w:tcW w:w="704" w:type="dxa"/>
            <w:noWrap/>
            <w:vAlign w:val="center"/>
            <w:hideMark/>
          </w:tcPr>
          <w:p w14:paraId="253254E8"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103</w:t>
            </w:r>
          </w:p>
        </w:tc>
        <w:tc>
          <w:tcPr>
            <w:tcW w:w="3827" w:type="dxa"/>
            <w:noWrap/>
            <w:vAlign w:val="center"/>
            <w:hideMark/>
          </w:tcPr>
          <w:p w14:paraId="16F00A25"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dólares de los sectores público y privado no financieros  expresados en pesos (en mil</w:t>
            </w:r>
          </w:p>
        </w:tc>
        <w:tc>
          <w:tcPr>
            <w:tcW w:w="709" w:type="dxa"/>
            <w:vAlign w:val="center"/>
          </w:tcPr>
          <w:p w14:paraId="43215E52" w14:textId="26D45D84"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180</w:t>
            </w:r>
          </w:p>
        </w:tc>
        <w:tc>
          <w:tcPr>
            <w:tcW w:w="4496" w:type="dxa"/>
            <w:vAlign w:val="center"/>
          </w:tcPr>
          <w:p w14:paraId="174DC41F" w14:textId="3C1464F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6 meses  TNA (en %)  </w:t>
            </w:r>
          </w:p>
        </w:tc>
      </w:tr>
      <w:tr w:rsidR="00F5627F" w:rsidRPr="005E1A80" w14:paraId="6A6D6CED" w14:textId="087376D3" w:rsidTr="00901A41">
        <w:tblPrEx>
          <w:jc w:val="left"/>
        </w:tblPrEx>
        <w:trPr>
          <w:trHeight w:val="300"/>
        </w:trPr>
        <w:tc>
          <w:tcPr>
            <w:tcW w:w="704" w:type="dxa"/>
            <w:noWrap/>
            <w:vAlign w:val="center"/>
            <w:hideMark/>
          </w:tcPr>
          <w:p w14:paraId="59ACDD3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104</w:t>
            </w:r>
          </w:p>
        </w:tc>
        <w:tc>
          <w:tcPr>
            <w:tcW w:w="3827" w:type="dxa"/>
            <w:noWrap/>
            <w:vAlign w:val="center"/>
            <w:hideMark/>
          </w:tcPr>
          <w:p w14:paraId="57AEDD5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dólares del sector privado no financiero  expresados en pesos (en millones de $)  </w:t>
            </w:r>
          </w:p>
        </w:tc>
        <w:tc>
          <w:tcPr>
            <w:tcW w:w="709" w:type="dxa"/>
            <w:vAlign w:val="center"/>
          </w:tcPr>
          <w:p w14:paraId="5D047AC9" w14:textId="75718981"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181</w:t>
            </w:r>
          </w:p>
        </w:tc>
        <w:tc>
          <w:tcPr>
            <w:tcW w:w="4496" w:type="dxa"/>
            <w:vAlign w:val="center"/>
          </w:tcPr>
          <w:p w14:paraId="50A22C3B" w14:textId="1FB501C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12 meses  TNA (en %)  </w:t>
            </w:r>
          </w:p>
        </w:tc>
      </w:tr>
      <w:tr w:rsidR="00F5627F" w:rsidRPr="005E1A80" w14:paraId="09126390" w14:textId="2AA4A9C7" w:rsidTr="00901A41">
        <w:tblPrEx>
          <w:jc w:val="left"/>
        </w:tblPrEx>
        <w:trPr>
          <w:trHeight w:val="300"/>
        </w:trPr>
        <w:tc>
          <w:tcPr>
            <w:tcW w:w="704" w:type="dxa"/>
            <w:noWrap/>
            <w:vAlign w:val="center"/>
            <w:hideMark/>
          </w:tcPr>
          <w:p w14:paraId="02F8ADA6"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105</w:t>
            </w:r>
          </w:p>
        </w:tc>
        <w:tc>
          <w:tcPr>
            <w:tcW w:w="3827" w:type="dxa"/>
            <w:noWrap/>
            <w:vAlign w:val="center"/>
            <w:hideMark/>
          </w:tcPr>
          <w:p w14:paraId="192A5BD9"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y en dólares de los sectores público y privado no financieros  expresados en pe</w:t>
            </w:r>
          </w:p>
        </w:tc>
        <w:tc>
          <w:tcPr>
            <w:tcW w:w="709" w:type="dxa"/>
            <w:vAlign w:val="center"/>
          </w:tcPr>
          <w:p w14:paraId="1ACBBDA9" w14:textId="7E1279D2"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182</w:t>
            </w:r>
          </w:p>
        </w:tc>
        <w:tc>
          <w:tcPr>
            <w:tcW w:w="4496" w:type="dxa"/>
            <w:vAlign w:val="center"/>
          </w:tcPr>
          <w:p w14:paraId="0A120153" w14:textId="25D86C85"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18 meses  TNA (en %)  </w:t>
            </w:r>
          </w:p>
        </w:tc>
      </w:tr>
      <w:tr w:rsidR="00F5627F" w:rsidRPr="005E1A80" w14:paraId="5F2E7105" w14:textId="250A06A2" w:rsidTr="00901A41">
        <w:tblPrEx>
          <w:jc w:val="left"/>
        </w:tblPrEx>
        <w:trPr>
          <w:trHeight w:val="300"/>
        </w:trPr>
        <w:tc>
          <w:tcPr>
            <w:tcW w:w="704" w:type="dxa"/>
            <w:noWrap/>
            <w:vAlign w:val="center"/>
            <w:hideMark/>
          </w:tcPr>
          <w:p w14:paraId="2182399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106</w:t>
            </w:r>
          </w:p>
        </w:tc>
        <w:tc>
          <w:tcPr>
            <w:tcW w:w="3827" w:type="dxa"/>
            <w:noWrap/>
            <w:vAlign w:val="center"/>
            <w:hideMark/>
          </w:tcPr>
          <w:p w14:paraId="1BE945FB"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pesos y dólares del sector privado no financiero  expresados en pesos (en millones de</w:t>
            </w:r>
          </w:p>
        </w:tc>
        <w:tc>
          <w:tcPr>
            <w:tcW w:w="709" w:type="dxa"/>
            <w:vAlign w:val="center"/>
          </w:tcPr>
          <w:p w14:paraId="339062FE" w14:textId="7AC7EE4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183</w:t>
            </w:r>
          </w:p>
        </w:tc>
        <w:tc>
          <w:tcPr>
            <w:tcW w:w="4496" w:type="dxa"/>
            <w:vAlign w:val="center"/>
          </w:tcPr>
          <w:p w14:paraId="0CAD3658" w14:textId="630CE9F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pesos ajustables por CER de 24 meses  TNA (en %)  </w:t>
            </w:r>
          </w:p>
        </w:tc>
      </w:tr>
      <w:tr w:rsidR="00F5627F" w:rsidRPr="005E1A80" w14:paraId="7CC86577" w14:textId="730B3B28" w:rsidTr="00901A41">
        <w:tblPrEx>
          <w:jc w:val="left"/>
        </w:tblPrEx>
        <w:trPr>
          <w:trHeight w:val="300"/>
        </w:trPr>
        <w:tc>
          <w:tcPr>
            <w:tcW w:w="704" w:type="dxa"/>
            <w:noWrap/>
            <w:vAlign w:val="center"/>
            <w:hideMark/>
          </w:tcPr>
          <w:p w14:paraId="13B2A78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107</w:t>
            </w:r>
          </w:p>
        </w:tc>
        <w:tc>
          <w:tcPr>
            <w:tcW w:w="3827" w:type="dxa"/>
            <w:noWrap/>
            <w:vAlign w:val="center"/>
            <w:hideMark/>
          </w:tcPr>
          <w:p w14:paraId="47D2CB2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depósitos en dólares de los sectores público y privado no financieros  expresados en dólares (en m</w:t>
            </w:r>
          </w:p>
        </w:tc>
        <w:tc>
          <w:tcPr>
            <w:tcW w:w="709" w:type="dxa"/>
            <w:vAlign w:val="center"/>
          </w:tcPr>
          <w:p w14:paraId="40F4258D" w14:textId="0178905C"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184</w:t>
            </w:r>
          </w:p>
        </w:tc>
        <w:tc>
          <w:tcPr>
            <w:tcW w:w="4496" w:type="dxa"/>
            <w:vAlign w:val="center"/>
          </w:tcPr>
          <w:p w14:paraId="10E95948" w14:textId="0946D4E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pesos  de 1 mes  TNA (en %)  </w:t>
            </w:r>
          </w:p>
        </w:tc>
      </w:tr>
      <w:tr w:rsidR="00F5627F" w:rsidRPr="005E1A80" w14:paraId="1F1EC16A" w14:textId="22968CB3" w:rsidTr="00901A41">
        <w:tblPrEx>
          <w:jc w:val="left"/>
        </w:tblPrEx>
        <w:trPr>
          <w:trHeight w:val="300"/>
        </w:trPr>
        <w:tc>
          <w:tcPr>
            <w:tcW w:w="704" w:type="dxa"/>
            <w:noWrap/>
            <w:vAlign w:val="center"/>
            <w:hideMark/>
          </w:tcPr>
          <w:p w14:paraId="2EE97F5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108</w:t>
            </w:r>
          </w:p>
        </w:tc>
        <w:tc>
          <w:tcPr>
            <w:tcW w:w="3827" w:type="dxa"/>
            <w:noWrap/>
            <w:vAlign w:val="center"/>
            <w:hideMark/>
          </w:tcPr>
          <w:p w14:paraId="4EC60E48"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depósitos en dólares del sector privado no financiero  expresados en dólares (en millones de USD) </w:t>
            </w:r>
          </w:p>
        </w:tc>
        <w:tc>
          <w:tcPr>
            <w:tcW w:w="709" w:type="dxa"/>
            <w:vAlign w:val="center"/>
          </w:tcPr>
          <w:p w14:paraId="2B648BB6" w14:textId="7D62F763"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185</w:t>
            </w:r>
          </w:p>
        </w:tc>
        <w:tc>
          <w:tcPr>
            <w:tcW w:w="4496" w:type="dxa"/>
            <w:vAlign w:val="center"/>
          </w:tcPr>
          <w:p w14:paraId="04A07DDB" w14:textId="58B9894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pesos  de 6 meses  TNA (en %)  </w:t>
            </w:r>
          </w:p>
        </w:tc>
      </w:tr>
      <w:tr w:rsidR="00F5627F" w:rsidRPr="005E1A80" w14:paraId="7AC619A7" w14:textId="2A654A22" w:rsidTr="00901A41">
        <w:tblPrEx>
          <w:jc w:val="left"/>
        </w:tblPrEx>
        <w:trPr>
          <w:trHeight w:val="300"/>
        </w:trPr>
        <w:tc>
          <w:tcPr>
            <w:tcW w:w="704" w:type="dxa"/>
            <w:noWrap/>
            <w:vAlign w:val="center"/>
            <w:hideMark/>
          </w:tcPr>
          <w:p w14:paraId="79EED08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109</w:t>
            </w:r>
          </w:p>
        </w:tc>
        <w:tc>
          <w:tcPr>
            <w:tcW w:w="3827" w:type="dxa"/>
            <w:noWrap/>
            <w:vAlign w:val="center"/>
            <w:hideMark/>
          </w:tcPr>
          <w:p w14:paraId="59C1CC4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del agregado monetario M2 (billetes y monedas en poder del público y depósitos en cuenta corriente y</w:t>
            </w:r>
          </w:p>
        </w:tc>
        <w:tc>
          <w:tcPr>
            <w:tcW w:w="709" w:type="dxa"/>
            <w:vAlign w:val="center"/>
          </w:tcPr>
          <w:p w14:paraId="793659F6" w14:textId="60D3ADF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186</w:t>
            </w:r>
          </w:p>
        </w:tc>
        <w:tc>
          <w:tcPr>
            <w:tcW w:w="4496" w:type="dxa"/>
            <w:vAlign w:val="center"/>
          </w:tcPr>
          <w:p w14:paraId="0AD9B2B4" w14:textId="33C6131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pesos  de 12 meses  TNA (en %)  </w:t>
            </w:r>
          </w:p>
        </w:tc>
      </w:tr>
      <w:tr w:rsidR="00F5627F" w:rsidRPr="005E1A80" w14:paraId="1B79712F" w14:textId="28579DEC" w:rsidTr="00901A41">
        <w:tblPrEx>
          <w:jc w:val="left"/>
        </w:tblPrEx>
        <w:trPr>
          <w:trHeight w:val="300"/>
        </w:trPr>
        <w:tc>
          <w:tcPr>
            <w:tcW w:w="704" w:type="dxa"/>
            <w:noWrap/>
            <w:vAlign w:val="center"/>
            <w:hideMark/>
          </w:tcPr>
          <w:p w14:paraId="1CD30A6A"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110</w:t>
            </w:r>
          </w:p>
        </w:tc>
        <w:tc>
          <w:tcPr>
            <w:tcW w:w="3827" w:type="dxa"/>
            <w:noWrap/>
            <w:vAlign w:val="center"/>
            <w:hideMark/>
          </w:tcPr>
          <w:p w14:paraId="674349F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préstamos otorgados al sector privado mediante adelantos en cuenta corriente en pesos (en millones</w:t>
            </w:r>
          </w:p>
        </w:tc>
        <w:tc>
          <w:tcPr>
            <w:tcW w:w="709" w:type="dxa"/>
            <w:vAlign w:val="center"/>
          </w:tcPr>
          <w:p w14:paraId="5FB613B6" w14:textId="50D7D0FE"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187</w:t>
            </w:r>
          </w:p>
        </w:tc>
        <w:tc>
          <w:tcPr>
            <w:tcW w:w="4496" w:type="dxa"/>
            <w:vAlign w:val="center"/>
          </w:tcPr>
          <w:p w14:paraId="445233C3" w14:textId="0279867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1 mes  TNA (en %)  </w:t>
            </w:r>
          </w:p>
        </w:tc>
      </w:tr>
      <w:tr w:rsidR="00F5627F" w:rsidRPr="005E1A80" w14:paraId="4E054FFE" w14:textId="576AC3CC" w:rsidTr="00901A41">
        <w:tblPrEx>
          <w:jc w:val="left"/>
        </w:tblPrEx>
        <w:trPr>
          <w:trHeight w:val="300"/>
        </w:trPr>
        <w:tc>
          <w:tcPr>
            <w:tcW w:w="704" w:type="dxa"/>
            <w:noWrap/>
            <w:vAlign w:val="center"/>
            <w:hideMark/>
          </w:tcPr>
          <w:p w14:paraId="1CF7D37F"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111</w:t>
            </w:r>
          </w:p>
        </w:tc>
        <w:tc>
          <w:tcPr>
            <w:tcW w:w="3827" w:type="dxa"/>
            <w:noWrap/>
            <w:vAlign w:val="center"/>
            <w:hideMark/>
          </w:tcPr>
          <w:p w14:paraId="6A79642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otorgados al sector privado mediante documentos en pesos (en millones de $)  </w:t>
            </w:r>
          </w:p>
        </w:tc>
        <w:tc>
          <w:tcPr>
            <w:tcW w:w="709" w:type="dxa"/>
            <w:vAlign w:val="center"/>
          </w:tcPr>
          <w:p w14:paraId="44EB6473" w14:textId="0B28C6DF"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188</w:t>
            </w:r>
          </w:p>
        </w:tc>
        <w:tc>
          <w:tcPr>
            <w:tcW w:w="4496" w:type="dxa"/>
            <w:vAlign w:val="center"/>
          </w:tcPr>
          <w:p w14:paraId="35E64F9D" w14:textId="3662169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3 meses  TNA (en %)  </w:t>
            </w:r>
          </w:p>
        </w:tc>
      </w:tr>
      <w:tr w:rsidR="00F5627F" w:rsidRPr="005E1A80" w14:paraId="496CA69F" w14:textId="07A4549E" w:rsidTr="00901A41">
        <w:tblPrEx>
          <w:jc w:val="left"/>
        </w:tblPrEx>
        <w:trPr>
          <w:trHeight w:val="300"/>
        </w:trPr>
        <w:tc>
          <w:tcPr>
            <w:tcW w:w="704" w:type="dxa"/>
            <w:noWrap/>
            <w:vAlign w:val="center"/>
            <w:hideMark/>
          </w:tcPr>
          <w:p w14:paraId="3CDA92D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112</w:t>
            </w:r>
          </w:p>
        </w:tc>
        <w:tc>
          <w:tcPr>
            <w:tcW w:w="3827" w:type="dxa"/>
            <w:noWrap/>
            <w:vAlign w:val="center"/>
            <w:hideMark/>
          </w:tcPr>
          <w:p w14:paraId="284064ED"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hipotecarios en pesos otorgados al sector privado (en millones de $)  </w:t>
            </w:r>
          </w:p>
        </w:tc>
        <w:tc>
          <w:tcPr>
            <w:tcW w:w="709" w:type="dxa"/>
            <w:vAlign w:val="center"/>
          </w:tcPr>
          <w:p w14:paraId="7CB46A0B" w14:textId="6C0A0E9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189</w:t>
            </w:r>
          </w:p>
        </w:tc>
        <w:tc>
          <w:tcPr>
            <w:tcW w:w="4496" w:type="dxa"/>
            <w:vAlign w:val="center"/>
          </w:tcPr>
          <w:p w14:paraId="464EE972" w14:textId="58DF978B"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6 meses  TNA (en %)  </w:t>
            </w:r>
          </w:p>
        </w:tc>
      </w:tr>
      <w:tr w:rsidR="00F5627F" w:rsidRPr="005E1A80" w14:paraId="271CE6AC" w14:textId="4655D058" w:rsidTr="00901A41">
        <w:tblPrEx>
          <w:jc w:val="left"/>
        </w:tblPrEx>
        <w:trPr>
          <w:trHeight w:val="300"/>
        </w:trPr>
        <w:tc>
          <w:tcPr>
            <w:tcW w:w="704" w:type="dxa"/>
            <w:noWrap/>
            <w:vAlign w:val="center"/>
            <w:hideMark/>
          </w:tcPr>
          <w:p w14:paraId="68410963"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113</w:t>
            </w:r>
          </w:p>
        </w:tc>
        <w:tc>
          <w:tcPr>
            <w:tcW w:w="3827" w:type="dxa"/>
            <w:noWrap/>
            <w:vAlign w:val="center"/>
            <w:hideMark/>
          </w:tcPr>
          <w:p w14:paraId="2211FCD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prendarios en pesos otorgados al sector privado (en millones de $)  </w:t>
            </w:r>
          </w:p>
        </w:tc>
        <w:tc>
          <w:tcPr>
            <w:tcW w:w="709" w:type="dxa"/>
            <w:vAlign w:val="center"/>
          </w:tcPr>
          <w:p w14:paraId="4B6BC16E" w14:textId="14C588B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190</w:t>
            </w:r>
          </w:p>
        </w:tc>
        <w:tc>
          <w:tcPr>
            <w:tcW w:w="4496" w:type="dxa"/>
            <w:vAlign w:val="center"/>
          </w:tcPr>
          <w:p w14:paraId="65269B14" w14:textId="791B7AF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Tasas de interés de LEBAC en dólares  con liquidación en dólares  de 12 meses  TNA (en %)  </w:t>
            </w:r>
          </w:p>
        </w:tc>
      </w:tr>
      <w:tr w:rsidR="00F5627F" w:rsidRPr="005E1A80" w14:paraId="4076115C" w14:textId="29C64818" w:rsidTr="00901A41">
        <w:tblPrEx>
          <w:jc w:val="left"/>
        </w:tblPrEx>
        <w:trPr>
          <w:trHeight w:val="300"/>
        </w:trPr>
        <w:tc>
          <w:tcPr>
            <w:tcW w:w="704" w:type="dxa"/>
            <w:noWrap/>
            <w:vAlign w:val="center"/>
            <w:hideMark/>
          </w:tcPr>
          <w:p w14:paraId="1ACA1AEB"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114</w:t>
            </w:r>
          </w:p>
        </w:tc>
        <w:tc>
          <w:tcPr>
            <w:tcW w:w="3827" w:type="dxa"/>
            <w:noWrap/>
            <w:vAlign w:val="center"/>
            <w:hideMark/>
          </w:tcPr>
          <w:p w14:paraId="5677795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personales en pesos (en millones de $)  </w:t>
            </w:r>
          </w:p>
        </w:tc>
        <w:tc>
          <w:tcPr>
            <w:tcW w:w="709" w:type="dxa"/>
            <w:vAlign w:val="center"/>
          </w:tcPr>
          <w:p w14:paraId="2C1A6EEA" w14:textId="2E489046"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191</w:t>
            </w:r>
          </w:p>
        </w:tc>
        <w:tc>
          <w:tcPr>
            <w:tcW w:w="4496" w:type="dxa"/>
            <w:vAlign w:val="center"/>
          </w:tcPr>
          <w:p w14:paraId="36C876F8" w14:textId="30D398BC"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BADLAR Bancos Privados de NOBAC de 9 meses (en %)  </w:t>
            </w:r>
          </w:p>
        </w:tc>
      </w:tr>
      <w:tr w:rsidR="00F5627F" w:rsidRPr="005E1A80" w14:paraId="74821B13" w14:textId="1A1C2815" w:rsidTr="00901A41">
        <w:tblPrEx>
          <w:jc w:val="left"/>
        </w:tblPrEx>
        <w:trPr>
          <w:trHeight w:val="300"/>
        </w:trPr>
        <w:tc>
          <w:tcPr>
            <w:tcW w:w="704" w:type="dxa"/>
            <w:noWrap/>
            <w:vAlign w:val="center"/>
            <w:hideMark/>
          </w:tcPr>
          <w:p w14:paraId="0C84D6B5"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115</w:t>
            </w:r>
          </w:p>
        </w:tc>
        <w:tc>
          <w:tcPr>
            <w:tcW w:w="3827" w:type="dxa"/>
            <w:noWrap/>
            <w:vAlign w:val="center"/>
            <w:hideMark/>
          </w:tcPr>
          <w:p w14:paraId="5F2DA0E3"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en pesos mediante tarjetas de crédito otorgados al sector privado (en millones de $)  </w:t>
            </w:r>
          </w:p>
        </w:tc>
        <w:tc>
          <w:tcPr>
            <w:tcW w:w="709" w:type="dxa"/>
            <w:vAlign w:val="center"/>
          </w:tcPr>
          <w:p w14:paraId="77E251DD" w14:textId="40972CD4"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192</w:t>
            </w:r>
          </w:p>
        </w:tc>
        <w:tc>
          <w:tcPr>
            <w:tcW w:w="4496" w:type="dxa"/>
            <w:vAlign w:val="center"/>
          </w:tcPr>
          <w:p w14:paraId="453A6A3F" w14:textId="029F9444"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Bancos Privados de NOBAC de 12 meses (en %)  </w:t>
            </w:r>
          </w:p>
        </w:tc>
      </w:tr>
      <w:tr w:rsidR="00F5627F" w:rsidRPr="005E1A80" w14:paraId="602C30BA" w14:textId="2BCD71F1" w:rsidTr="00901A41">
        <w:tblPrEx>
          <w:jc w:val="left"/>
        </w:tblPrEx>
        <w:trPr>
          <w:trHeight w:val="300"/>
        </w:trPr>
        <w:tc>
          <w:tcPr>
            <w:tcW w:w="704" w:type="dxa"/>
            <w:noWrap/>
            <w:vAlign w:val="center"/>
            <w:hideMark/>
          </w:tcPr>
          <w:p w14:paraId="3E559659"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116</w:t>
            </w:r>
          </w:p>
        </w:tc>
        <w:tc>
          <w:tcPr>
            <w:tcW w:w="3827" w:type="dxa"/>
            <w:noWrap/>
            <w:vAlign w:val="center"/>
            <w:hideMark/>
          </w:tcPr>
          <w:p w14:paraId="7475A44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otros préstamos en pesos otorgados al sector privado (en millones de $)  </w:t>
            </w:r>
          </w:p>
        </w:tc>
        <w:tc>
          <w:tcPr>
            <w:tcW w:w="709" w:type="dxa"/>
            <w:vAlign w:val="center"/>
          </w:tcPr>
          <w:p w14:paraId="6F9698D9" w14:textId="3F07A09D"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193</w:t>
            </w:r>
          </w:p>
        </w:tc>
        <w:tc>
          <w:tcPr>
            <w:tcW w:w="4496" w:type="dxa"/>
            <w:vAlign w:val="center"/>
          </w:tcPr>
          <w:p w14:paraId="0398F5A2" w14:textId="22A96B7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BADLAR Total de NOBAC de 2 Años (en %)  </w:t>
            </w:r>
          </w:p>
        </w:tc>
      </w:tr>
      <w:tr w:rsidR="00F5627F" w:rsidRPr="005E1A80" w14:paraId="7A98FBB1" w14:textId="384AB99C" w:rsidTr="00901A41">
        <w:tblPrEx>
          <w:jc w:val="left"/>
        </w:tblPrEx>
        <w:trPr>
          <w:trHeight w:val="300"/>
        </w:trPr>
        <w:tc>
          <w:tcPr>
            <w:tcW w:w="704" w:type="dxa"/>
            <w:noWrap/>
            <w:vAlign w:val="center"/>
            <w:hideMark/>
          </w:tcPr>
          <w:p w14:paraId="1A56300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117</w:t>
            </w:r>
          </w:p>
        </w:tc>
        <w:tc>
          <w:tcPr>
            <w:tcW w:w="3827" w:type="dxa"/>
            <w:noWrap/>
            <w:vAlign w:val="center"/>
            <w:hideMark/>
          </w:tcPr>
          <w:p w14:paraId="777C676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total de préstamos al sector privado en pesos (en millones de $)  </w:t>
            </w:r>
          </w:p>
        </w:tc>
        <w:tc>
          <w:tcPr>
            <w:tcW w:w="709" w:type="dxa"/>
            <w:vAlign w:val="center"/>
          </w:tcPr>
          <w:p w14:paraId="213E51D0" w14:textId="588BDF09"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194</w:t>
            </w:r>
          </w:p>
        </w:tc>
        <w:tc>
          <w:tcPr>
            <w:tcW w:w="4496" w:type="dxa"/>
            <w:vAlign w:val="center"/>
          </w:tcPr>
          <w:p w14:paraId="25BF64B9" w14:textId="08F84852"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BADLAR Bancos Privados de NOBAC de 2 Años (en %)  </w:t>
            </w:r>
          </w:p>
        </w:tc>
      </w:tr>
      <w:tr w:rsidR="00F5627F" w:rsidRPr="005E1A80" w14:paraId="2557B0BE" w14:textId="5414A3F6" w:rsidTr="00901A41">
        <w:tblPrEx>
          <w:jc w:val="left"/>
        </w:tblPrEx>
        <w:trPr>
          <w:trHeight w:val="300"/>
        </w:trPr>
        <w:tc>
          <w:tcPr>
            <w:tcW w:w="704" w:type="dxa"/>
            <w:noWrap/>
            <w:vAlign w:val="center"/>
            <w:hideMark/>
          </w:tcPr>
          <w:p w14:paraId="59FCA491"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118</w:t>
            </w:r>
          </w:p>
        </w:tc>
        <w:tc>
          <w:tcPr>
            <w:tcW w:w="3827" w:type="dxa"/>
            <w:noWrap/>
            <w:vAlign w:val="center"/>
            <w:hideMark/>
          </w:tcPr>
          <w:p w14:paraId="4C4244D6"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préstamos otorgados al sector privado mediante adelantos en cuenta corriente en dólares (en millon</w:t>
            </w:r>
          </w:p>
        </w:tc>
        <w:tc>
          <w:tcPr>
            <w:tcW w:w="709" w:type="dxa"/>
            <w:vAlign w:val="center"/>
          </w:tcPr>
          <w:p w14:paraId="445DA623" w14:textId="37FB226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195</w:t>
            </w:r>
          </w:p>
        </w:tc>
        <w:tc>
          <w:tcPr>
            <w:tcW w:w="4496" w:type="dxa"/>
            <w:vAlign w:val="center"/>
          </w:tcPr>
          <w:p w14:paraId="36E2E883" w14:textId="3864384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Margen sobre Tasa de Politica Monetaria de NOTALIQ en Pesos de 190 dias (en %)  </w:t>
            </w:r>
          </w:p>
        </w:tc>
      </w:tr>
      <w:tr w:rsidR="00F5627F" w:rsidRPr="005E1A80" w14:paraId="7CA27FF1" w14:textId="09BC7B3B" w:rsidTr="00901A41">
        <w:tblPrEx>
          <w:jc w:val="left"/>
        </w:tblPrEx>
        <w:trPr>
          <w:trHeight w:val="300"/>
        </w:trPr>
        <w:tc>
          <w:tcPr>
            <w:tcW w:w="704" w:type="dxa"/>
            <w:noWrap/>
            <w:vAlign w:val="center"/>
            <w:hideMark/>
          </w:tcPr>
          <w:p w14:paraId="30242B3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119</w:t>
            </w:r>
          </w:p>
        </w:tc>
        <w:tc>
          <w:tcPr>
            <w:tcW w:w="3827" w:type="dxa"/>
            <w:noWrap/>
            <w:vAlign w:val="center"/>
            <w:hideMark/>
          </w:tcPr>
          <w:p w14:paraId="769992D2"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otorgados al sector privado mediante documentos en dólares (en millones de USD)  </w:t>
            </w:r>
          </w:p>
        </w:tc>
        <w:tc>
          <w:tcPr>
            <w:tcW w:w="709" w:type="dxa"/>
            <w:vAlign w:val="center"/>
          </w:tcPr>
          <w:p w14:paraId="23FF2C60" w14:textId="77D04B6B"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196</w:t>
            </w:r>
          </w:p>
        </w:tc>
        <w:tc>
          <w:tcPr>
            <w:tcW w:w="4496" w:type="dxa"/>
            <w:vAlign w:val="center"/>
          </w:tcPr>
          <w:p w14:paraId="1ED02AED" w14:textId="0CEA2E3A"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 Letras Fiscales de Liquidez en cartera de entidades financieras  en valor técnico (en millones de</w:t>
            </w:r>
          </w:p>
        </w:tc>
      </w:tr>
      <w:tr w:rsidR="00F5627F" w:rsidRPr="005E1A80" w14:paraId="2F4CDAEE" w14:textId="30E8BC99" w:rsidTr="00901A41">
        <w:tblPrEx>
          <w:jc w:val="left"/>
        </w:tblPrEx>
        <w:trPr>
          <w:trHeight w:val="300"/>
        </w:trPr>
        <w:tc>
          <w:tcPr>
            <w:tcW w:w="704" w:type="dxa"/>
            <w:noWrap/>
            <w:vAlign w:val="center"/>
            <w:hideMark/>
          </w:tcPr>
          <w:p w14:paraId="011331EC"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120</w:t>
            </w:r>
          </w:p>
        </w:tc>
        <w:tc>
          <w:tcPr>
            <w:tcW w:w="3827" w:type="dxa"/>
            <w:noWrap/>
            <w:vAlign w:val="center"/>
            <w:hideMark/>
          </w:tcPr>
          <w:p w14:paraId="586ED77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hipotecarios en dólares otorgados al sector privado (en millones de USD)  </w:t>
            </w:r>
          </w:p>
        </w:tc>
        <w:tc>
          <w:tcPr>
            <w:tcW w:w="709" w:type="dxa"/>
            <w:vAlign w:val="center"/>
          </w:tcPr>
          <w:p w14:paraId="65F56921" w14:textId="0EFC1F58"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197</w:t>
            </w:r>
          </w:p>
        </w:tc>
        <w:tc>
          <w:tcPr>
            <w:tcW w:w="4496" w:type="dxa"/>
            <w:vAlign w:val="center"/>
          </w:tcPr>
          <w:p w14:paraId="6B98131E" w14:textId="794B3640"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Saldo del agregado monetario M2 transaccional privado (billetes y monedas en poder del público y depósitos</w:t>
            </w:r>
          </w:p>
        </w:tc>
      </w:tr>
      <w:tr w:rsidR="00F5627F" w:rsidRPr="005E1A80" w14:paraId="738904D8" w14:textId="442A7BA4" w:rsidTr="00901A41">
        <w:tblPrEx>
          <w:jc w:val="left"/>
        </w:tblPrEx>
        <w:trPr>
          <w:trHeight w:val="300"/>
        </w:trPr>
        <w:tc>
          <w:tcPr>
            <w:tcW w:w="704" w:type="dxa"/>
            <w:tcBorders>
              <w:bottom w:val="nil"/>
            </w:tcBorders>
            <w:noWrap/>
            <w:vAlign w:val="center"/>
            <w:hideMark/>
          </w:tcPr>
          <w:p w14:paraId="3277B494"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121</w:t>
            </w:r>
          </w:p>
        </w:tc>
        <w:tc>
          <w:tcPr>
            <w:tcW w:w="3827" w:type="dxa"/>
            <w:tcBorders>
              <w:bottom w:val="nil"/>
            </w:tcBorders>
            <w:noWrap/>
            <w:vAlign w:val="center"/>
            <w:hideMark/>
          </w:tcPr>
          <w:p w14:paraId="35575C9F"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prendarios en dólares otorgados al sector privado (en millones de USD)  </w:t>
            </w:r>
          </w:p>
        </w:tc>
        <w:tc>
          <w:tcPr>
            <w:tcW w:w="709" w:type="dxa"/>
            <w:tcBorders>
              <w:bottom w:val="nil"/>
            </w:tcBorders>
            <w:vAlign w:val="center"/>
          </w:tcPr>
          <w:p w14:paraId="4C6D7772" w14:textId="556D39CC"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198</w:t>
            </w:r>
          </w:p>
        </w:tc>
        <w:tc>
          <w:tcPr>
            <w:tcW w:w="4496" w:type="dxa"/>
            <w:tcBorders>
              <w:bottom w:val="nil"/>
            </w:tcBorders>
            <w:vAlign w:val="center"/>
          </w:tcPr>
          <w:p w14:paraId="2CD61454" w14:textId="5A4F2D63"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Otros </w:t>
            </w:r>
          </w:p>
        </w:tc>
      </w:tr>
      <w:tr w:rsidR="00F5627F" w:rsidRPr="005E1A80" w14:paraId="7439234F" w14:textId="088E8BCB" w:rsidTr="00901A41">
        <w:tblPrEx>
          <w:jc w:val="left"/>
        </w:tblPrEx>
        <w:trPr>
          <w:trHeight w:val="300"/>
        </w:trPr>
        <w:tc>
          <w:tcPr>
            <w:tcW w:w="704" w:type="dxa"/>
            <w:tcBorders>
              <w:top w:val="nil"/>
              <w:bottom w:val="single" w:sz="4" w:space="0" w:color="auto"/>
            </w:tcBorders>
            <w:noWrap/>
            <w:vAlign w:val="center"/>
            <w:hideMark/>
          </w:tcPr>
          <w:p w14:paraId="6A8BBE7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122</w:t>
            </w:r>
          </w:p>
        </w:tc>
        <w:tc>
          <w:tcPr>
            <w:tcW w:w="3827" w:type="dxa"/>
            <w:tcBorders>
              <w:top w:val="nil"/>
              <w:bottom w:val="single" w:sz="4" w:space="0" w:color="auto"/>
            </w:tcBorders>
            <w:noWrap/>
            <w:vAlign w:val="center"/>
            <w:hideMark/>
          </w:tcPr>
          <w:p w14:paraId="0E15C527" w14:textId="77777777" w:rsidR="00F5627F" w:rsidRPr="005E1A80" w:rsidRDefault="00F5627F" w:rsidP="00F5627F">
            <w:pPr>
              <w:rPr>
                <w:rFonts w:ascii="Arial" w:eastAsia="Times New Roman" w:hAnsi="Arial" w:cs="Arial"/>
                <w:color w:val="000000"/>
                <w:kern w:val="0"/>
                <w:sz w:val="14"/>
                <w:szCs w:val="14"/>
                <w:lang w:eastAsia="es-AR"/>
                <w14:ligatures w14:val="none"/>
              </w:rPr>
            </w:pPr>
            <w:r w:rsidRPr="005E1A80">
              <w:rPr>
                <w:rFonts w:ascii="Arial" w:eastAsia="Times New Roman" w:hAnsi="Arial" w:cs="Arial"/>
                <w:color w:val="000000"/>
                <w:kern w:val="0"/>
                <w:sz w:val="14"/>
                <w:szCs w:val="14"/>
                <w:lang w:eastAsia="es-AR"/>
                <w14:ligatures w14:val="none"/>
              </w:rPr>
              <w:t xml:space="preserve">Saldo de préstamos personales en dólares (en millones de USD)  </w:t>
            </w:r>
          </w:p>
        </w:tc>
        <w:tc>
          <w:tcPr>
            <w:tcW w:w="709" w:type="dxa"/>
            <w:tcBorders>
              <w:top w:val="nil"/>
              <w:bottom w:val="single" w:sz="4" w:space="0" w:color="auto"/>
            </w:tcBorders>
            <w:vAlign w:val="center"/>
          </w:tcPr>
          <w:p w14:paraId="438F05E0" w14:textId="77777777" w:rsidR="00F5627F" w:rsidRPr="005E1A80" w:rsidRDefault="00F5627F" w:rsidP="00F5627F">
            <w:pPr>
              <w:jc w:val="center"/>
              <w:rPr>
                <w:rFonts w:ascii="Arial" w:eastAsia="Times New Roman" w:hAnsi="Arial" w:cs="Arial"/>
                <w:color w:val="000000"/>
                <w:kern w:val="0"/>
                <w:sz w:val="14"/>
                <w:szCs w:val="14"/>
                <w:lang w:eastAsia="es-AR"/>
                <w14:ligatures w14:val="none"/>
              </w:rPr>
            </w:pPr>
          </w:p>
        </w:tc>
        <w:tc>
          <w:tcPr>
            <w:tcW w:w="4496" w:type="dxa"/>
            <w:tcBorders>
              <w:top w:val="nil"/>
              <w:bottom w:val="single" w:sz="4" w:space="0" w:color="auto"/>
            </w:tcBorders>
            <w:vAlign w:val="center"/>
          </w:tcPr>
          <w:p w14:paraId="5F95B333" w14:textId="77777777" w:rsidR="00F5627F" w:rsidRPr="005E1A80" w:rsidRDefault="00F5627F" w:rsidP="00F5627F">
            <w:pPr>
              <w:rPr>
                <w:rFonts w:ascii="Arial" w:eastAsia="Times New Roman" w:hAnsi="Arial" w:cs="Arial"/>
                <w:color w:val="000000"/>
                <w:kern w:val="0"/>
                <w:sz w:val="14"/>
                <w:szCs w:val="14"/>
                <w:lang w:eastAsia="es-AR"/>
                <w14:ligatures w14:val="none"/>
              </w:rPr>
            </w:pPr>
          </w:p>
        </w:tc>
      </w:tr>
    </w:tbl>
    <w:p w14:paraId="7FE77955" w14:textId="77777777" w:rsidR="00D447DA" w:rsidRPr="005E1A80" w:rsidRDefault="00D447DA" w:rsidP="00262FEC">
      <w:pPr>
        <w:spacing w:line="360" w:lineRule="auto"/>
        <w:jc w:val="both"/>
        <w:rPr>
          <w:rFonts w:ascii="Arial" w:hAnsi="Arial" w:cs="Arial"/>
          <w:sz w:val="24"/>
          <w:szCs w:val="24"/>
          <w:lang w:val="en-US"/>
        </w:rPr>
      </w:pPr>
    </w:p>
    <w:p w14:paraId="7845FDF3" w14:textId="7028980E" w:rsidR="00901A41" w:rsidRPr="005E1A80" w:rsidRDefault="00901A41" w:rsidP="00262FEC">
      <w:pPr>
        <w:spacing w:line="360" w:lineRule="auto"/>
        <w:jc w:val="both"/>
        <w:rPr>
          <w:rFonts w:ascii="Arial" w:hAnsi="Arial" w:cs="Arial"/>
          <w:b/>
          <w:bCs/>
          <w:lang w:val="en-US"/>
        </w:rPr>
      </w:pPr>
      <w:r w:rsidRPr="005E1A80">
        <w:rPr>
          <w:rFonts w:ascii="Arial" w:hAnsi="Arial" w:cs="Arial"/>
          <w:b/>
          <w:bCs/>
          <w:lang w:val="en-US"/>
        </w:rPr>
        <w:lastRenderedPageBreak/>
        <w:t xml:space="preserve">Tabla </w:t>
      </w:r>
      <w:r w:rsidR="00034DCE" w:rsidRPr="005E1A80">
        <w:rPr>
          <w:rFonts w:ascii="Arial" w:hAnsi="Arial" w:cs="Arial"/>
          <w:b/>
          <w:bCs/>
          <w:lang w:val="en-US"/>
        </w:rPr>
        <w:t>A</w:t>
      </w:r>
      <w:r w:rsidRPr="005E1A80">
        <w:rPr>
          <w:rFonts w:ascii="Arial" w:hAnsi="Arial" w:cs="Arial"/>
          <w:b/>
          <w:bCs/>
          <w:lang w:val="en-US"/>
        </w:rPr>
        <w:t>2</w:t>
      </w:r>
    </w:p>
    <w:p w14:paraId="11BBF2E6" w14:textId="4B246D0B" w:rsidR="00280817" w:rsidRPr="005E1A80" w:rsidRDefault="00280817" w:rsidP="00280817">
      <w:pPr>
        <w:rPr>
          <w:rFonts w:ascii="Arial" w:hAnsi="Arial" w:cs="Arial"/>
          <w:i/>
          <w:iCs/>
        </w:rPr>
      </w:pPr>
      <w:r w:rsidRPr="005E1A80">
        <w:rPr>
          <w:rFonts w:ascii="Arial" w:hAnsi="Arial" w:cs="Arial"/>
          <w:i/>
          <w:iCs/>
        </w:rPr>
        <w:t xml:space="preserve">Variables obtenidas con la API de Estadísticas </w:t>
      </w:r>
      <w:r w:rsidR="001361CB" w:rsidRPr="005E1A80">
        <w:rPr>
          <w:rFonts w:ascii="Arial" w:hAnsi="Arial" w:cs="Arial"/>
          <w:i/>
          <w:iCs/>
        </w:rPr>
        <w:t xml:space="preserve">Cambiarias </w:t>
      </w:r>
      <w:r w:rsidRPr="005E1A80">
        <w:rPr>
          <w:rFonts w:ascii="Arial" w:hAnsi="Arial" w:cs="Arial"/>
          <w:i/>
          <w:iCs/>
        </w:rPr>
        <w:t>del BCRA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
        <w:gridCol w:w="3261"/>
        <w:gridCol w:w="693"/>
        <w:gridCol w:w="3575"/>
      </w:tblGrid>
      <w:tr w:rsidR="001361CB" w:rsidRPr="005E1A80" w14:paraId="64EAFB12" w14:textId="77777777" w:rsidTr="00250F99">
        <w:trPr>
          <w:jc w:val="center"/>
        </w:trPr>
        <w:tc>
          <w:tcPr>
            <w:tcW w:w="0" w:type="auto"/>
            <w:tcBorders>
              <w:top w:val="single" w:sz="4" w:space="0" w:color="auto"/>
              <w:bottom w:val="single" w:sz="4" w:space="0" w:color="auto"/>
            </w:tcBorders>
            <w:vAlign w:val="center"/>
          </w:tcPr>
          <w:p w14:paraId="4E24C483" w14:textId="24E33064"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ID</w:t>
            </w:r>
          </w:p>
        </w:tc>
        <w:tc>
          <w:tcPr>
            <w:tcW w:w="0" w:type="auto"/>
            <w:tcBorders>
              <w:top w:val="single" w:sz="4" w:space="0" w:color="auto"/>
              <w:bottom w:val="single" w:sz="4" w:space="0" w:color="auto"/>
            </w:tcBorders>
            <w:vAlign w:val="center"/>
          </w:tcPr>
          <w:p w14:paraId="7393B63F" w14:textId="3AC4311D"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Variable</w:t>
            </w:r>
          </w:p>
        </w:tc>
        <w:tc>
          <w:tcPr>
            <w:tcW w:w="0" w:type="auto"/>
            <w:tcBorders>
              <w:top w:val="single" w:sz="4" w:space="0" w:color="auto"/>
              <w:bottom w:val="single" w:sz="4" w:space="0" w:color="auto"/>
            </w:tcBorders>
            <w:vAlign w:val="center"/>
          </w:tcPr>
          <w:p w14:paraId="04C374DE" w14:textId="139CF5A3"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ID</w:t>
            </w:r>
          </w:p>
        </w:tc>
        <w:tc>
          <w:tcPr>
            <w:tcW w:w="0" w:type="auto"/>
            <w:tcBorders>
              <w:top w:val="single" w:sz="4" w:space="0" w:color="auto"/>
              <w:bottom w:val="single" w:sz="4" w:space="0" w:color="auto"/>
            </w:tcBorders>
            <w:vAlign w:val="center"/>
          </w:tcPr>
          <w:p w14:paraId="5967245D" w14:textId="0788285D" w:rsidR="001361CB" w:rsidRPr="005E1A80" w:rsidRDefault="001361CB" w:rsidP="00D20B9F">
            <w:pPr>
              <w:spacing w:line="360" w:lineRule="auto"/>
              <w:jc w:val="center"/>
              <w:rPr>
                <w:rFonts w:ascii="Arial" w:hAnsi="Arial" w:cs="Arial"/>
                <w:lang w:val="en-US"/>
              </w:rPr>
            </w:pPr>
            <w:r w:rsidRPr="005E1A80">
              <w:rPr>
                <w:rFonts w:ascii="Arial" w:hAnsi="Arial" w:cs="Arial"/>
                <w:b/>
                <w:bCs/>
                <w:lang w:val="en-US"/>
              </w:rPr>
              <w:t>Variable</w:t>
            </w:r>
          </w:p>
        </w:tc>
      </w:tr>
      <w:tr w:rsidR="00D20B9F" w:rsidRPr="005E1A80" w14:paraId="2D49585D" w14:textId="77777777" w:rsidTr="00250F99">
        <w:trPr>
          <w:trHeight w:val="180"/>
          <w:jc w:val="center"/>
        </w:trPr>
        <w:tc>
          <w:tcPr>
            <w:tcW w:w="0" w:type="auto"/>
            <w:tcBorders>
              <w:top w:val="single" w:sz="4" w:space="0" w:color="auto"/>
            </w:tcBorders>
            <w:vAlign w:val="center"/>
          </w:tcPr>
          <w:p w14:paraId="25AEC1F9" w14:textId="649CCE40" w:rsidR="00D20B9F" w:rsidRPr="005E1A80" w:rsidRDefault="00D20B9F" w:rsidP="00250F99">
            <w:pPr>
              <w:spacing w:line="360" w:lineRule="auto"/>
              <w:jc w:val="center"/>
              <w:rPr>
                <w:rFonts w:ascii="Arial" w:hAnsi="Arial" w:cs="Arial"/>
                <w:lang w:val="en-US"/>
              </w:rPr>
            </w:pPr>
            <w:r w:rsidRPr="005E1A80">
              <w:rPr>
                <w:rFonts w:ascii="Arial" w:eastAsia="Times New Roman" w:hAnsi="Arial" w:cs="Arial"/>
                <w:color w:val="000000"/>
                <w:kern w:val="0"/>
                <w:lang w:eastAsia="es-AR"/>
                <w14:ligatures w14:val="none"/>
              </w:rPr>
              <w:t>ARS</w:t>
            </w:r>
          </w:p>
        </w:tc>
        <w:tc>
          <w:tcPr>
            <w:tcW w:w="0" w:type="auto"/>
            <w:tcBorders>
              <w:top w:val="single" w:sz="4" w:space="0" w:color="auto"/>
            </w:tcBorders>
            <w:vAlign w:val="center"/>
          </w:tcPr>
          <w:p w14:paraId="3C543E88" w14:textId="6EA15A7E" w:rsidR="00D20B9F" w:rsidRPr="005E1A80" w:rsidRDefault="00D20B9F" w:rsidP="00D20B9F">
            <w:pPr>
              <w:spacing w:line="360" w:lineRule="auto"/>
              <w:jc w:val="both"/>
              <w:rPr>
                <w:rFonts w:ascii="Arial" w:hAnsi="Arial" w:cs="Arial"/>
                <w:lang w:val="en-US"/>
              </w:rPr>
            </w:pPr>
            <w:r w:rsidRPr="005E1A80">
              <w:rPr>
                <w:rFonts w:ascii="Arial" w:eastAsia="Times New Roman" w:hAnsi="Arial" w:cs="Arial"/>
                <w:color w:val="000000"/>
                <w:kern w:val="0"/>
                <w:lang w:eastAsia="es-AR"/>
                <w14:ligatures w14:val="none"/>
              </w:rPr>
              <w:t>Peso</w:t>
            </w:r>
          </w:p>
        </w:tc>
        <w:tc>
          <w:tcPr>
            <w:tcW w:w="0" w:type="auto"/>
            <w:tcBorders>
              <w:top w:val="single" w:sz="4" w:space="0" w:color="auto"/>
            </w:tcBorders>
            <w:vAlign w:val="center"/>
          </w:tcPr>
          <w:p w14:paraId="06EFAF6B" w14:textId="601F4084" w:rsidR="00D20B9F" w:rsidRPr="005E1A80" w:rsidRDefault="00D20B9F" w:rsidP="00250F99">
            <w:pPr>
              <w:spacing w:line="360" w:lineRule="auto"/>
              <w:jc w:val="center"/>
              <w:rPr>
                <w:rFonts w:ascii="Arial" w:hAnsi="Arial" w:cs="Arial"/>
                <w:lang w:val="en-US"/>
              </w:rPr>
            </w:pPr>
            <w:r w:rsidRPr="005E1A80">
              <w:rPr>
                <w:rFonts w:ascii="Arial" w:eastAsia="Times New Roman" w:hAnsi="Arial" w:cs="Arial"/>
                <w:color w:val="000000"/>
                <w:kern w:val="0"/>
                <w:lang w:eastAsia="es-AR"/>
                <w14:ligatures w14:val="none"/>
              </w:rPr>
              <w:t>NIO</w:t>
            </w:r>
          </w:p>
        </w:tc>
        <w:tc>
          <w:tcPr>
            <w:tcW w:w="0" w:type="auto"/>
            <w:tcBorders>
              <w:top w:val="single" w:sz="4" w:space="0" w:color="auto"/>
            </w:tcBorders>
            <w:vAlign w:val="center"/>
          </w:tcPr>
          <w:p w14:paraId="34293E57" w14:textId="392970DB" w:rsidR="00D20B9F" w:rsidRPr="005E1A80" w:rsidRDefault="00696B45" w:rsidP="00D20B9F">
            <w:pPr>
              <w:spacing w:line="360" w:lineRule="auto"/>
              <w:jc w:val="both"/>
              <w:rPr>
                <w:rFonts w:ascii="Arial" w:hAnsi="Arial" w:cs="Arial"/>
                <w:lang w:val="en-US"/>
              </w:rPr>
            </w:pPr>
            <w:r w:rsidRPr="005E1A80">
              <w:rPr>
                <w:rFonts w:ascii="Arial" w:eastAsia="Times New Roman" w:hAnsi="Arial" w:cs="Arial"/>
                <w:color w:val="000000"/>
                <w:kern w:val="0"/>
                <w:lang w:eastAsia="es-AR"/>
                <w14:ligatures w14:val="none"/>
              </w:rPr>
              <w:t>Córdoba</w:t>
            </w:r>
            <w:r w:rsidR="00D20B9F" w:rsidRPr="005E1A80">
              <w:rPr>
                <w:rFonts w:ascii="Arial" w:eastAsia="Times New Roman" w:hAnsi="Arial" w:cs="Arial"/>
                <w:color w:val="000000"/>
                <w:kern w:val="0"/>
                <w:lang w:eastAsia="es-AR"/>
                <w14:ligatures w14:val="none"/>
              </w:rPr>
              <w:t xml:space="preserve"> </w:t>
            </w:r>
            <w:r w:rsidR="002A76BA" w:rsidRPr="005E1A80">
              <w:rPr>
                <w:rFonts w:ascii="Arial" w:eastAsia="Times New Roman" w:hAnsi="Arial" w:cs="Arial"/>
                <w:color w:val="000000"/>
                <w:kern w:val="0"/>
                <w:lang w:eastAsia="es-AR"/>
                <w14:ligatures w14:val="none"/>
              </w:rPr>
              <w:t>Nicaragüense</w:t>
            </w:r>
          </w:p>
        </w:tc>
      </w:tr>
      <w:tr w:rsidR="00D20B9F" w:rsidRPr="005E1A80" w14:paraId="083DEDE4" w14:textId="742A8D33" w:rsidTr="00250F99">
        <w:trPr>
          <w:trHeight w:val="300"/>
          <w:jc w:val="center"/>
        </w:trPr>
        <w:tc>
          <w:tcPr>
            <w:tcW w:w="0" w:type="auto"/>
            <w:noWrap/>
            <w:vAlign w:val="center"/>
          </w:tcPr>
          <w:p w14:paraId="2EEF1082" w14:textId="3F198D88"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AUD</w:t>
            </w:r>
          </w:p>
        </w:tc>
        <w:tc>
          <w:tcPr>
            <w:tcW w:w="0" w:type="auto"/>
            <w:noWrap/>
            <w:vAlign w:val="center"/>
          </w:tcPr>
          <w:p w14:paraId="24591316" w14:textId="43F2E7F4" w:rsidR="00D20B9F" w:rsidRPr="005E1A80" w:rsidRDefault="00696B45"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Dólar</w:t>
            </w:r>
            <w:r w:rsidR="00D20B9F" w:rsidRPr="005E1A80">
              <w:rPr>
                <w:rFonts w:ascii="Arial" w:eastAsia="Times New Roman" w:hAnsi="Arial" w:cs="Arial"/>
                <w:color w:val="000000"/>
                <w:kern w:val="0"/>
                <w:lang w:eastAsia="es-AR"/>
                <w14:ligatures w14:val="none"/>
              </w:rPr>
              <w:t xml:space="preserve"> Australia</w:t>
            </w:r>
          </w:p>
        </w:tc>
        <w:tc>
          <w:tcPr>
            <w:tcW w:w="0" w:type="auto"/>
            <w:vAlign w:val="center"/>
          </w:tcPr>
          <w:p w14:paraId="1F77CE72" w14:textId="0EDBF432"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NOK</w:t>
            </w:r>
          </w:p>
        </w:tc>
        <w:tc>
          <w:tcPr>
            <w:tcW w:w="0" w:type="auto"/>
            <w:vAlign w:val="center"/>
          </w:tcPr>
          <w:p w14:paraId="5237BB10" w14:textId="2733C95A"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Coronas Noruega</w:t>
            </w:r>
          </w:p>
        </w:tc>
      </w:tr>
      <w:tr w:rsidR="00D20B9F" w:rsidRPr="005E1A80" w14:paraId="36DB8005" w14:textId="6367424B" w:rsidTr="00250F99">
        <w:trPr>
          <w:trHeight w:val="300"/>
          <w:jc w:val="center"/>
        </w:trPr>
        <w:tc>
          <w:tcPr>
            <w:tcW w:w="0" w:type="auto"/>
            <w:noWrap/>
            <w:vAlign w:val="center"/>
          </w:tcPr>
          <w:p w14:paraId="4ADBEE76" w14:textId="010A9B71"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AWG</w:t>
            </w:r>
          </w:p>
        </w:tc>
        <w:tc>
          <w:tcPr>
            <w:tcW w:w="0" w:type="auto"/>
            <w:noWrap/>
            <w:vAlign w:val="center"/>
          </w:tcPr>
          <w:p w14:paraId="72580C44" w14:textId="4BE0CE98" w:rsidR="00D20B9F" w:rsidRPr="005E1A80" w:rsidRDefault="002A76BA"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Florín</w:t>
            </w:r>
            <w:r w:rsidR="00D20B9F" w:rsidRPr="005E1A80">
              <w:rPr>
                <w:rFonts w:ascii="Arial" w:eastAsia="Times New Roman" w:hAnsi="Arial" w:cs="Arial"/>
                <w:color w:val="000000"/>
                <w:kern w:val="0"/>
                <w:lang w:eastAsia="es-AR"/>
                <w14:ligatures w14:val="none"/>
              </w:rPr>
              <w:t xml:space="preserve"> (Antillas Holandesas)</w:t>
            </w:r>
          </w:p>
        </w:tc>
        <w:tc>
          <w:tcPr>
            <w:tcW w:w="0" w:type="auto"/>
            <w:vAlign w:val="center"/>
          </w:tcPr>
          <w:p w14:paraId="0B671596" w14:textId="08C05B77"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NZD</w:t>
            </w:r>
          </w:p>
        </w:tc>
        <w:tc>
          <w:tcPr>
            <w:tcW w:w="0" w:type="auto"/>
            <w:vAlign w:val="center"/>
          </w:tcPr>
          <w:p w14:paraId="0CB3C2E8" w14:textId="42BC9416"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Pr="005E1A80">
              <w:rPr>
                <w:rFonts w:ascii="Arial" w:hAnsi="Arial" w:cs="Arial"/>
                <w:color w:val="000000"/>
              </w:rPr>
              <w:t>Neozelandés</w:t>
            </w:r>
          </w:p>
        </w:tc>
      </w:tr>
      <w:tr w:rsidR="00D20B9F" w:rsidRPr="005E1A80" w14:paraId="28C4C326" w14:textId="32CB95CD" w:rsidTr="00250F99">
        <w:trPr>
          <w:trHeight w:val="300"/>
          <w:jc w:val="center"/>
        </w:trPr>
        <w:tc>
          <w:tcPr>
            <w:tcW w:w="0" w:type="auto"/>
            <w:noWrap/>
            <w:vAlign w:val="center"/>
          </w:tcPr>
          <w:p w14:paraId="1DCB0846" w14:textId="2443AA46"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BOB</w:t>
            </w:r>
          </w:p>
        </w:tc>
        <w:tc>
          <w:tcPr>
            <w:tcW w:w="0" w:type="auto"/>
            <w:noWrap/>
            <w:vAlign w:val="center"/>
          </w:tcPr>
          <w:p w14:paraId="110931B6" w14:textId="52E7F45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Bolivianos</w:t>
            </w:r>
          </w:p>
        </w:tc>
        <w:tc>
          <w:tcPr>
            <w:tcW w:w="0" w:type="auto"/>
            <w:vAlign w:val="center"/>
          </w:tcPr>
          <w:p w14:paraId="473E9CD5" w14:textId="4261268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PEN</w:t>
            </w:r>
          </w:p>
        </w:tc>
        <w:tc>
          <w:tcPr>
            <w:tcW w:w="0" w:type="auto"/>
            <w:vAlign w:val="center"/>
          </w:tcPr>
          <w:p w14:paraId="48137C88" w14:textId="2410BD13"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Soles</w:t>
            </w:r>
          </w:p>
        </w:tc>
      </w:tr>
      <w:tr w:rsidR="00D20B9F" w:rsidRPr="005E1A80" w14:paraId="14BD733F" w14:textId="522D8050" w:rsidTr="00250F99">
        <w:trPr>
          <w:trHeight w:val="300"/>
          <w:jc w:val="center"/>
        </w:trPr>
        <w:tc>
          <w:tcPr>
            <w:tcW w:w="0" w:type="auto"/>
            <w:noWrap/>
            <w:vAlign w:val="center"/>
          </w:tcPr>
          <w:p w14:paraId="1F7F4CD8" w14:textId="27968D6F"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BRL</w:t>
            </w:r>
          </w:p>
        </w:tc>
        <w:tc>
          <w:tcPr>
            <w:tcW w:w="0" w:type="auto"/>
            <w:noWrap/>
            <w:vAlign w:val="center"/>
          </w:tcPr>
          <w:p w14:paraId="71B3AB3F" w14:textId="55BC9DDC"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Real</w:t>
            </w:r>
          </w:p>
        </w:tc>
        <w:tc>
          <w:tcPr>
            <w:tcW w:w="0" w:type="auto"/>
            <w:vAlign w:val="center"/>
          </w:tcPr>
          <w:p w14:paraId="36A04E23" w14:textId="3132512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PYG</w:t>
            </w:r>
          </w:p>
        </w:tc>
        <w:tc>
          <w:tcPr>
            <w:tcW w:w="0" w:type="auto"/>
            <w:vAlign w:val="center"/>
          </w:tcPr>
          <w:p w14:paraId="3EE25CB9" w14:textId="5BC8F009"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hAnsi="Arial" w:cs="Arial"/>
                <w:color w:val="000000"/>
              </w:rPr>
              <w:t>Guaraníes</w:t>
            </w:r>
          </w:p>
        </w:tc>
      </w:tr>
      <w:tr w:rsidR="00D20B9F" w:rsidRPr="005E1A80" w14:paraId="143039C5" w14:textId="2D0FC41E" w:rsidTr="00250F99">
        <w:trPr>
          <w:trHeight w:val="300"/>
          <w:jc w:val="center"/>
        </w:trPr>
        <w:tc>
          <w:tcPr>
            <w:tcW w:w="0" w:type="auto"/>
            <w:noWrap/>
            <w:vAlign w:val="center"/>
          </w:tcPr>
          <w:p w14:paraId="42FAE5F8" w14:textId="4000E626"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CAD</w:t>
            </w:r>
          </w:p>
        </w:tc>
        <w:tc>
          <w:tcPr>
            <w:tcW w:w="0" w:type="auto"/>
            <w:noWrap/>
            <w:vAlign w:val="center"/>
          </w:tcPr>
          <w:p w14:paraId="2E5529C5" w14:textId="4862861F" w:rsidR="00D20B9F" w:rsidRPr="005E1A80" w:rsidRDefault="00696B45"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Dólar </w:t>
            </w:r>
            <w:r w:rsidR="002A76BA" w:rsidRPr="005E1A80">
              <w:rPr>
                <w:rFonts w:ascii="Arial" w:eastAsia="Times New Roman" w:hAnsi="Arial" w:cs="Arial"/>
                <w:color w:val="000000"/>
                <w:kern w:val="0"/>
                <w:lang w:eastAsia="es-AR"/>
                <w14:ligatures w14:val="none"/>
              </w:rPr>
              <w:t>Canadiense</w:t>
            </w:r>
          </w:p>
        </w:tc>
        <w:tc>
          <w:tcPr>
            <w:tcW w:w="0" w:type="auto"/>
            <w:vAlign w:val="center"/>
          </w:tcPr>
          <w:p w14:paraId="50E378CE" w14:textId="10138879"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REF</w:t>
            </w:r>
          </w:p>
        </w:tc>
        <w:tc>
          <w:tcPr>
            <w:tcW w:w="0" w:type="auto"/>
            <w:vAlign w:val="center"/>
          </w:tcPr>
          <w:p w14:paraId="419E62BC" w14:textId="06218AF1"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hAnsi="Arial" w:cs="Arial"/>
                <w:color w:val="000000"/>
              </w:rPr>
              <w:t>Referencia Com</w:t>
            </w:r>
            <w:r w:rsidRPr="005E1A80">
              <w:rPr>
                <w:rFonts w:ascii="Arial" w:hAnsi="Arial" w:cs="Arial"/>
                <w:color w:val="000000"/>
              </w:rPr>
              <w:t>.</w:t>
            </w:r>
            <w:r w:rsidR="00D20B9F" w:rsidRPr="005E1A80">
              <w:rPr>
                <w:rFonts w:ascii="Arial" w:hAnsi="Arial" w:cs="Arial"/>
                <w:color w:val="000000"/>
              </w:rPr>
              <w:t xml:space="preserve"> </w:t>
            </w:r>
            <w:r w:rsidRPr="005E1A80">
              <w:rPr>
                <w:rFonts w:ascii="Arial" w:hAnsi="Arial" w:cs="Arial"/>
                <w:color w:val="000000"/>
              </w:rPr>
              <w:t>A</w:t>
            </w:r>
            <w:r w:rsidR="00D20B9F" w:rsidRPr="005E1A80">
              <w:rPr>
                <w:rFonts w:ascii="Arial" w:hAnsi="Arial" w:cs="Arial"/>
                <w:color w:val="000000"/>
              </w:rPr>
              <w:t>3500</w:t>
            </w:r>
          </w:p>
        </w:tc>
      </w:tr>
      <w:tr w:rsidR="00D20B9F" w:rsidRPr="005E1A80" w14:paraId="5DF354D6" w14:textId="02BA7800" w:rsidTr="00250F99">
        <w:trPr>
          <w:trHeight w:val="300"/>
          <w:jc w:val="center"/>
        </w:trPr>
        <w:tc>
          <w:tcPr>
            <w:tcW w:w="0" w:type="auto"/>
            <w:noWrap/>
            <w:vAlign w:val="center"/>
          </w:tcPr>
          <w:p w14:paraId="1924EDD2" w14:textId="384E265C"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CHF</w:t>
            </w:r>
          </w:p>
        </w:tc>
        <w:tc>
          <w:tcPr>
            <w:tcW w:w="0" w:type="auto"/>
            <w:noWrap/>
            <w:vAlign w:val="center"/>
          </w:tcPr>
          <w:p w14:paraId="38C44E0F" w14:textId="2922784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Franco Suizo</w:t>
            </w:r>
          </w:p>
        </w:tc>
        <w:tc>
          <w:tcPr>
            <w:tcW w:w="0" w:type="auto"/>
            <w:vAlign w:val="center"/>
          </w:tcPr>
          <w:p w14:paraId="469A469B" w14:textId="0D8407CA"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RSD</w:t>
            </w:r>
          </w:p>
        </w:tc>
        <w:tc>
          <w:tcPr>
            <w:tcW w:w="0" w:type="auto"/>
            <w:vAlign w:val="center"/>
          </w:tcPr>
          <w:p w14:paraId="27938167" w14:textId="1D2B9219"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Dinar Serbia</w:t>
            </w:r>
          </w:p>
        </w:tc>
      </w:tr>
      <w:tr w:rsidR="00D20B9F" w:rsidRPr="005E1A80" w14:paraId="00A3A079" w14:textId="048450C1" w:rsidTr="00250F99">
        <w:trPr>
          <w:trHeight w:val="300"/>
          <w:jc w:val="center"/>
        </w:trPr>
        <w:tc>
          <w:tcPr>
            <w:tcW w:w="0" w:type="auto"/>
            <w:noWrap/>
            <w:vAlign w:val="center"/>
          </w:tcPr>
          <w:p w14:paraId="5B0A8935" w14:textId="2A6E1CDB"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CLP</w:t>
            </w:r>
          </w:p>
        </w:tc>
        <w:tc>
          <w:tcPr>
            <w:tcW w:w="0" w:type="auto"/>
            <w:noWrap/>
            <w:vAlign w:val="center"/>
          </w:tcPr>
          <w:p w14:paraId="3E3E8C92" w14:textId="5D55D333"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Peso Chileno</w:t>
            </w:r>
          </w:p>
        </w:tc>
        <w:tc>
          <w:tcPr>
            <w:tcW w:w="0" w:type="auto"/>
            <w:vAlign w:val="center"/>
          </w:tcPr>
          <w:p w14:paraId="631A9E47" w14:textId="2B908806"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RUB</w:t>
            </w:r>
          </w:p>
        </w:tc>
        <w:tc>
          <w:tcPr>
            <w:tcW w:w="0" w:type="auto"/>
            <w:vAlign w:val="center"/>
          </w:tcPr>
          <w:p w14:paraId="0F370368" w14:textId="62BF17D5"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Rusia</w:t>
            </w:r>
          </w:p>
        </w:tc>
      </w:tr>
      <w:tr w:rsidR="00D20B9F" w:rsidRPr="005E1A80" w14:paraId="34DA1B74" w14:textId="310113BD" w:rsidTr="00250F99">
        <w:trPr>
          <w:trHeight w:val="300"/>
          <w:jc w:val="center"/>
        </w:trPr>
        <w:tc>
          <w:tcPr>
            <w:tcW w:w="0" w:type="auto"/>
            <w:noWrap/>
            <w:vAlign w:val="center"/>
          </w:tcPr>
          <w:p w14:paraId="204FF6DC" w14:textId="40943CF8"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CNH</w:t>
            </w:r>
          </w:p>
        </w:tc>
        <w:tc>
          <w:tcPr>
            <w:tcW w:w="0" w:type="auto"/>
            <w:noWrap/>
            <w:vAlign w:val="center"/>
          </w:tcPr>
          <w:p w14:paraId="36BE128A" w14:textId="64650597"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Yuan </w:t>
            </w:r>
            <w:r w:rsidR="002A76BA" w:rsidRPr="005E1A80">
              <w:rPr>
                <w:rFonts w:ascii="Arial" w:eastAsia="Times New Roman" w:hAnsi="Arial" w:cs="Arial"/>
                <w:color w:val="000000"/>
                <w:kern w:val="0"/>
                <w:lang w:eastAsia="es-AR"/>
                <w14:ligatures w14:val="none"/>
              </w:rPr>
              <w:t>CNH</w:t>
            </w:r>
            <w:r w:rsidRPr="005E1A80">
              <w:rPr>
                <w:rFonts w:ascii="Arial" w:eastAsia="Times New Roman" w:hAnsi="Arial" w:cs="Arial"/>
                <w:color w:val="000000"/>
                <w:kern w:val="0"/>
                <w:lang w:eastAsia="es-AR"/>
                <w14:ligatures w14:val="none"/>
              </w:rPr>
              <w:t xml:space="preserve"> Renminbi Off Shore</w:t>
            </w:r>
          </w:p>
        </w:tc>
        <w:tc>
          <w:tcPr>
            <w:tcW w:w="0" w:type="auto"/>
            <w:vAlign w:val="center"/>
          </w:tcPr>
          <w:p w14:paraId="115F086A" w14:textId="5802356C"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SEK</w:t>
            </w:r>
          </w:p>
        </w:tc>
        <w:tc>
          <w:tcPr>
            <w:tcW w:w="0" w:type="auto"/>
            <w:vAlign w:val="center"/>
          </w:tcPr>
          <w:p w14:paraId="05D27A51" w14:textId="67C8516A"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Coronas Suecas</w:t>
            </w:r>
          </w:p>
        </w:tc>
      </w:tr>
      <w:tr w:rsidR="00D20B9F" w:rsidRPr="005E1A80" w14:paraId="62C78A2B" w14:textId="6ACF3796" w:rsidTr="00250F99">
        <w:trPr>
          <w:trHeight w:val="300"/>
          <w:jc w:val="center"/>
        </w:trPr>
        <w:tc>
          <w:tcPr>
            <w:tcW w:w="0" w:type="auto"/>
            <w:noWrap/>
            <w:vAlign w:val="center"/>
          </w:tcPr>
          <w:p w14:paraId="2E5BEEBC" w14:textId="5182953D"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CNY</w:t>
            </w:r>
          </w:p>
        </w:tc>
        <w:tc>
          <w:tcPr>
            <w:tcW w:w="0" w:type="auto"/>
            <w:noWrap/>
            <w:vAlign w:val="center"/>
          </w:tcPr>
          <w:p w14:paraId="17E2619D" w14:textId="5F0BD31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Yuan </w:t>
            </w:r>
            <w:r w:rsidR="002A76BA" w:rsidRPr="005E1A80">
              <w:rPr>
                <w:rFonts w:ascii="Arial" w:eastAsia="Times New Roman" w:hAnsi="Arial" w:cs="Arial"/>
                <w:color w:val="000000"/>
                <w:kern w:val="0"/>
                <w:lang w:eastAsia="es-AR"/>
                <w14:ligatures w14:val="none"/>
              </w:rPr>
              <w:t>CNY</w:t>
            </w:r>
            <w:r w:rsidRPr="005E1A80">
              <w:rPr>
                <w:rFonts w:ascii="Arial" w:eastAsia="Times New Roman" w:hAnsi="Arial" w:cs="Arial"/>
                <w:color w:val="000000"/>
                <w:kern w:val="0"/>
                <w:lang w:eastAsia="es-AR"/>
                <w14:ligatures w14:val="none"/>
              </w:rPr>
              <w:t xml:space="preserve"> Renminbi</w:t>
            </w:r>
          </w:p>
        </w:tc>
        <w:tc>
          <w:tcPr>
            <w:tcW w:w="0" w:type="auto"/>
            <w:vAlign w:val="center"/>
          </w:tcPr>
          <w:p w14:paraId="2A94545A" w14:textId="0AE83FE7"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SGD</w:t>
            </w:r>
          </w:p>
        </w:tc>
        <w:tc>
          <w:tcPr>
            <w:tcW w:w="0" w:type="auto"/>
            <w:vAlign w:val="center"/>
          </w:tcPr>
          <w:p w14:paraId="1774D90A" w14:textId="16DF2DC5"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hAnsi="Arial" w:cs="Arial"/>
                <w:color w:val="000000"/>
              </w:rPr>
              <w:t>De Singapur</w:t>
            </w:r>
          </w:p>
        </w:tc>
      </w:tr>
      <w:tr w:rsidR="00D20B9F" w:rsidRPr="005E1A80" w14:paraId="73A3EBA5" w14:textId="5F25444B" w:rsidTr="00250F99">
        <w:trPr>
          <w:trHeight w:val="300"/>
          <w:jc w:val="center"/>
        </w:trPr>
        <w:tc>
          <w:tcPr>
            <w:tcW w:w="0" w:type="auto"/>
            <w:noWrap/>
            <w:vAlign w:val="center"/>
          </w:tcPr>
          <w:p w14:paraId="1C0C6E10" w14:textId="46F8A3AC"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COP</w:t>
            </w:r>
          </w:p>
        </w:tc>
        <w:tc>
          <w:tcPr>
            <w:tcW w:w="0" w:type="auto"/>
            <w:noWrap/>
            <w:vAlign w:val="center"/>
          </w:tcPr>
          <w:p w14:paraId="23E71882" w14:textId="4BABE88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Colombianos</w:t>
            </w:r>
          </w:p>
        </w:tc>
        <w:tc>
          <w:tcPr>
            <w:tcW w:w="0" w:type="auto"/>
            <w:vAlign w:val="center"/>
          </w:tcPr>
          <w:p w14:paraId="33B9E40A" w14:textId="0BD539D9"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TRY</w:t>
            </w:r>
          </w:p>
        </w:tc>
        <w:tc>
          <w:tcPr>
            <w:tcW w:w="0" w:type="auto"/>
            <w:vAlign w:val="center"/>
          </w:tcPr>
          <w:p w14:paraId="7D6E1198" w14:textId="0E18DF60"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Lira Turca</w:t>
            </w:r>
          </w:p>
        </w:tc>
      </w:tr>
      <w:tr w:rsidR="00D20B9F" w:rsidRPr="005E1A80" w14:paraId="14A60A94" w14:textId="38B6DB47" w:rsidTr="00250F99">
        <w:trPr>
          <w:trHeight w:val="300"/>
          <w:jc w:val="center"/>
        </w:trPr>
        <w:tc>
          <w:tcPr>
            <w:tcW w:w="0" w:type="auto"/>
            <w:noWrap/>
            <w:vAlign w:val="center"/>
          </w:tcPr>
          <w:p w14:paraId="72941086" w14:textId="1D057F15"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CZK</w:t>
            </w:r>
          </w:p>
        </w:tc>
        <w:tc>
          <w:tcPr>
            <w:tcW w:w="0" w:type="auto"/>
            <w:noWrap/>
            <w:vAlign w:val="center"/>
          </w:tcPr>
          <w:p w14:paraId="354AE0FD" w14:textId="76E906E4"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Coronas Checas</w:t>
            </w:r>
          </w:p>
        </w:tc>
        <w:tc>
          <w:tcPr>
            <w:tcW w:w="0" w:type="auto"/>
            <w:vAlign w:val="center"/>
          </w:tcPr>
          <w:p w14:paraId="5A071300" w14:textId="6B3E196C"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USD</w:t>
            </w:r>
          </w:p>
        </w:tc>
        <w:tc>
          <w:tcPr>
            <w:tcW w:w="0" w:type="auto"/>
            <w:vAlign w:val="center"/>
          </w:tcPr>
          <w:p w14:paraId="5C70C987" w14:textId="0BE6AF4F" w:rsidR="00D20B9F" w:rsidRPr="005E1A80" w:rsidRDefault="00696B45" w:rsidP="00D20B9F">
            <w:pPr>
              <w:rPr>
                <w:rFonts w:ascii="Arial" w:eastAsia="Times New Roman" w:hAnsi="Arial" w:cs="Arial"/>
                <w:kern w:val="0"/>
                <w:sz w:val="20"/>
                <w:szCs w:val="2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hAnsi="Arial" w:cs="Arial"/>
                <w:color w:val="000000"/>
              </w:rPr>
              <w:t>E.E.U.U.</w:t>
            </w:r>
          </w:p>
        </w:tc>
      </w:tr>
      <w:tr w:rsidR="00D20B9F" w:rsidRPr="005E1A80" w14:paraId="2C70AA39" w14:textId="3ED24F65" w:rsidTr="00250F99">
        <w:trPr>
          <w:trHeight w:val="300"/>
          <w:jc w:val="center"/>
        </w:trPr>
        <w:tc>
          <w:tcPr>
            <w:tcW w:w="0" w:type="auto"/>
            <w:noWrap/>
            <w:vAlign w:val="center"/>
          </w:tcPr>
          <w:p w14:paraId="40F079E0" w14:textId="64BA56DB"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DKK</w:t>
            </w:r>
          </w:p>
        </w:tc>
        <w:tc>
          <w:tcPr>
            <w:tcW w:w="0" w:type="auto"/>
            <w:noWrap/>
            <w:vAlign w:val="center"/>
          </w:tcPr>
          <w:p w14:paraId="6480635C" w14:textId="5BA2FD7A"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Coronas Danesas</w:t>
            </w:r>
          </w:p>
        </w:tc>
        <w:tc>
          <w:tcPr>
            <w:tcW w:w="0" w:type="auto"/>
            <w:vAlign w:val="center"/>
          </w:tcPr>
          <w:p w14:paraId="253CB5E7" w14:textId="7CBA5080"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UYU</w:t>
            </w:r>
          </w:p>
        </w:tc>
        <w:tc>
          <w:tcPr>
            <w:tcW w:w="0" w:type="auto"/>
            <w:vAlign w:val="center"/>
          </w:tcPr>
          <w:p w14:paraId="251B1B16" w14:textId="12AF3A6F"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Peso Uruguayo</w:t>
            </w:r>
          </w:p>
        </w:tc>
      </w:tr>
      <w:tr w:rsidR="00D20B9F" w:rsidRPr="005E1A80" w14:paraId="349C5240" w14:textId="19E6D719" w:rsidTr="00250F99">
        <w:trPr>
          <w:trHeight w:val="300"/>
          <w:jc w:val="center"/>
        </w:trPr>
        <w:tc>
          <w:tcPr>
            <w:tcW w:w="0" w:type="auto"/>
            <w:noWrap/>
            <w:vAlign w:val="center"/>
          </w:tcPr>
          <w:p w14:paraId="793F1276" w14:textId="16E31D12"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EUR</w:t>
            </w:r>
          </w:p>
        </w:tc>
        <w:tc>
          <w:tcPr>
            <w:tcW w:w="0" w:type="auto"/>
            <w:noWrap/>
            <w:vAlign w:val="center"/>
          </w:tcPr>
          <w:p w14:paraId="03B43D32" w14:textId="21DEF6A9"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Euro</w:t>
            </w:r>
          </w:p>
        </w:tc>
        <w:tc>
          <w:tcPr>
            <w:tcW w:w="0" w:type="auto"/>
            <w:vAlign w:val="center"/>
          </w:tcPr>
          <w:p w14:paraId="47D68CF5" w14:textId="67617895"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VEB</w:t>
            </w:r>
          </w:p>
        </w:tc>
        <w:tc>
          <w:tcPr>
            <w:tcW w:w="0" w:type="auto"/>
            <w:vAlign w:val="center"/>
          </w:tcPr>
          <w:p w14:paraId="0CEA79A9" w14:textId="093248C7"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Bol</w:t>
            </w:r>
            <w:r w:rsidR="00696B45" w:rsidRPr="005E1A80">
              <w:rPr>
                <w:rFonts w:ascii="Arial" w:hAnsi="Arial" w:cs="Arial"/>
                <w:color w:val="000000"/>
              </w:rPr>
              <w:t>í</w:t>
            </w:r>
            <w:r w:rsidRPr="005E1A80">
              <w:rPr>
                <w:rFonts w:ascii="Arial" w:hAnsi="Arial" w:cs="Arial"/>
                <w:color w:val="000000"/>
              </w:rPr>
              <w:t>vares</w:t>
            </w:r>
          </w:p>
        </w:tc>
      </w:tr>
      <w:tr w:rsidR="00D20B9F" w:rsidRPr="005E1A80" w14:paraId="77D40A2A" w14:textId="45CBAE7E" w:rsidTr="00250F99">
        <w:trPr>
          <w:trHeight w:val="300"/>
          <w:jc w:val="center"/>
        </w:trPr>
        <w:tc>
          <w:tcPr>
            <w:tcW w:w="0" w:type="auto"/>
            <w:noWrap/>
            <w:vAlign w:val="center"/>
          </w:tcPr>
          <w:p w14:paraId="6C0C25BB" w14:textId="01A970F0"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GBP</w:t>
            </w:r>
          </w:p>
        </w:tc>
        <w:tc>
          <w:tcPr>
            <w:tcW w:w="0" w:type="auto"/>
            <w:noWrap/>
            <w:vAlign w:val="center"/>
          </w:tcPr>
          <w:p w14:paraId="291077E3" w14:textId="5C5E5BDC"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Libra Esterlina</w:t>
            </w:r>
          </w:p>
        </w:tc>
        <w:tc>
          <w:tcPr>
            <w:tcW w:w="0" w:type="auto"/>
            <w:vAlign w:val="center"/>
          </w:tcPr>
          <w:p w14:paraId="31F1EF24" w14:textId="5B810D57"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VND</w:t>
            </w:r>
          </w:p>
        </w:tc>
        <w:tc>
          <w:tcPr>
            <w:tcW w:w="0" w:type="auto"/>
            <w:vAlign w:val="center"/>
          </w:tcPr>
          <w:p w14:paraId="297009FA" w14:textId="00E99807"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Dong Vietnam (C/1.000 Unidades)</w:t>
            </w:r>
          </w:p>
        </w:tc>
      </w:tr>
      <w:tr w:rsidR="00D20B9F" w:rsidRPr="005E1A80" w14:paraId="4A29612A" w14:textId="1E74F7B3" w:rsidTr="00250F99">
        <w:trPr>
          <w:trHeight w:val="300"/>
          <w:jc w:val="center"/>
        </w:trPr>
        <w:tc>
          <w:tcPr>
            <w:tcW w:w="0" w:type="auto"/>
            <w:noWrap/>
            <w:vAlign w:val="center"/>
          </w:tcPr>
          <w:p w14:paraId="1C96F122" w14:textId="2AF6FB5D"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HKD</w:t>
            </w:r>
          </w:p>
        </w:tc>
        <w:tc>
          <w:tcPr>
            <w:tcW w:w="0" w:type="auto"/>
            <w:noWrap/>
            <w:vAlign w:val="center"/>
          </w:tcPr>
          <w:p w14:paraId="65AD7333" w14:textId="41B1B075" w:rsidR="00D20B9F" w:rsidRPr="005E1A80" w:rsidRDefault="00696B45"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Dólar </w:t>
            </w:r>
            <w:r w:rsidR="00D20B9F" w:rsidRPr="005E1A80">
              <w:rPr>
                <w:rFonts w:ascii="Arial" w:eastAsia="Times New Roman" w:hAnsi="Arial" w:cs="Arial"/>
                <w:color w:val="000000"/>
                <w:kern w:val="0"/>
                <w:lang w:eastAsia="es-AR"/>
                <w14:ligatures w14:val="none"/>
              </w:rPr>
              <w:t>Hong Kong</w:t>
            </w:r>
          </w:p>
        </w:tc>
        <w:tc>
          <w:tcPr>
            <w:tcW w:w="0" w:type="auto"/>
            <w:vAlign w:val="center"/>
          </w:tcPr>
          <w:p w14:paraId="084F4F72" w14:textId="1C79FAB8"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XAG</w:t>
            </w:r>
          </w:p>
        </w:tc>
        <w:tc>
          <w:tcPr>
            <w:tcW w:w="0" w:type="auto"/>
            <w:vAlign w:val="center"/>
          </w:tcPr>
          <w:p w14:paraId="65A76B7B" w14:textId="0E9424D6"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Plata - Onza Troy</w:t>
            </w:r>
          </w:p>
        </w:tc>
      </w:tr>
      <w:tr w:rsidR="00D20B9F" w:rsidRPr="005E1A80" w14:paraId="633F41A9" w14:textId="25E02AA6" w:rsidTr="00250F99">
        <w:trPr>
          <w:trHeight w:val="300"/>
          <w:jc w:val="center"/>
        </w:trPr>
        <w:tc>
          <w:tcPr>
            <w:tcW w:w="0" w:type="auto"/>
            <w:noWrap/>
            <w:vAlign w:val="center"/>
          </w:tcPr>
          <w:p w14:paraId="308168D7" w14:textId="4374A061"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ILS</w:t>
            </w:r>
          </w:p>
        </w:tc>
        <w:tc>
          <w:tcPr>
            <w:tcW w:w="0" w:type="auto"/>
            <w:noWrap/>
            <w:vAlign w:val="center"/>
          </w:tcPr>
          <w:p w14:paraId="6F9FDF1D" w14:textId="0CFD164E"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 xml:space="preserve">Libra </w:t>
            </w:r>
            <w:r w:rsidR="00696B45" w:rsidRPr="005E1A80">
              <w:rPr>
                <w:rFonts w:ascii="Arial" w:eastAsia="Times New Roman" w:hAnsi="Arial" w:cs="Arial"/>
                <w:color w:val="000000"/>
                <w:kern w:val="0"/>
                <w:lang w:eastAsia="es-AR"/>
                <w14:ligatures w14:val="none"/>
              </w:rPr>
              <w:t>Israelí</w:t>
            </w:r>
          </w:p>
        </w:tc>
        <w:tc>
          <w:tcPr>
            <w:tcW w:w="0" w:type="auto"/>
            <w:vAlign w:val="center"/>
          </w:tcPr>
          <w:p w14:paraId="23D0F208" w14:textId="6455E95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XAU</w:t>
            </w:r>
          </w:p>
        </w:tc>
        <w:tc>
          <w:tcPr>
            <w:tcW w:w="0" w:type="auto"/>
            <w:vAlign w:val="center"/>
          </w:tcPr>
          <w:p w14:paraId="21E1DA93" w14:textId="4EE67F25"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Oro Fino (1 Onza)</w:t>
            </w:r>
          </w:p>
        </w:tc>
      </w:tr>
      <w:tr w:rsidR="00D20B9F" w:rsidRPr="005E1A80" w14:paraId="3166119F" w14:textId="03B3792B" w:rsidTr="00250F99">
        <w:trPr>
          <w:trHeight w:val="300"/>
          <w:jc w:val="center"/>
        </w:trPr>
        <w:tc>
          <w:tcPr>
            <w:tcW w:w="0" w:type="auto"/>
            <w:noWrap/>
            <w:vAlign w:val="center"/>
          </w:tcPr>
          <w:p w14:paraId="0CC6E06A" w14:textId="73D6D9E9"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INR</w:t>
            </w:r>
          </w:p>
        </w:tc>
        <w:tc>
          <w:tcPr>
            <w:tcW w:w="0" w:type="auto"/>
            <w:noWrap/>
            <w:vAlign w:val="center"/>
          </w:tcPr>
          <w:p w14:paraId="449C0B30" w14:textId="1472BCDA"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Rupia (India)</w:t>
            </w:r>
          </w:p>
        </w:tc>
        <w:tc>
          <w:tcPr>
            <w:tcW w:w="0" w:type="auto"/>
            <w:vAlign w:val="center"/>
          </w:tcPr>
          <w:p w14:paraId="173C26C3" w14:textId="7BA8953D"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XDR</w:t>
            </w:r>
          </w:p>
        </w:tc>
        <w:tc>
          <w:tcPr>
            <w:tcW w:w="0" w:type="auto"/>
            <w:vAlign w:val="center"/>
          </w:tcPr>
          <w:p w14:paraId="79A7CCE5" w14:textId="14D158A8" w:rsidR="00D20B9F" w:rsidRPr="005E1A80" w:rsidRDefault="002A76BA" w:rsidP="00D20B9F">
            <w:pPr>
              <w:rPr>
                <w:rFonts w:ascii="Arial" w:eastAsia="Times New Roman" w:hAnsi="Arial" w:cs="Arial"/>
                <w:kern w:val="0"/>
                <w:sz w:val="20"/>
                <w:szCs w:val="20"/>
                <w:lang w:eastAsia="es-AR"/>
                <w14:ligatures w14:val="none"/>
              </w:rPr>
            </w:pPr>
            <w:r w:rsidRPr="005E1A80">
              <w:rPr>
                <w:rFonts w:ascii="Arial" w:hAnsi="Arial" w:cs="Arial"/>
                <w:color w:val="000000"/>
              </w:rPr>
              <w:t>DEG</w:t>
            </w:r>
          </w:p>
        </w:tc>
      </w:tr>
      <w:tr w:rsidR="00D20B9F" w:rsidRPr="005E1A80" w14:paraId="14EE9ADC" w14:textId="75124490" w:rsidTr="00250F99">
        <w:trPr>
          <w:trHeight w:val="300"/>
          <w:jc w:val="center"/>
        </w:trPr>
        <w:tc>
          <w:tcPr>
            <w:tcW w:w="0" w:type="auto"/>
            <w:noWrap/>
            <w:vAlign w:val="center"/>
          </w:tcPr>
          <w:p w14:paraId="33BECACB" w14:textId="10C3BEC1"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JPY</w:t>
            </w:r>
          </w:p>
        </w:tc>
        <w:tc>
          <w:tcPr>
            <w:tcW w:w="0" w:type="auto"/>
            <w:noWrap/>
            <w:vAlign w:val="center"/>
          </w:tcPr>
          <w:p w14:paraId="397692E8" w14:textId="60271092" w:rsidR="00D20B9F" w:rsidRPr="005E1A80" w:rsidRDefault="002A76BA"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Yenes</w:t>
            </w:r>
          </w:p>
        </w:tc>
        <w:tc>
          <w:tcPr>
            <w:tcW w:w="0" w:type="auto"/>
            <w:vAlign w:val="center"/>
          </w:tcPr>
          <w:p w14:paraId="58DD37F4" w14:textId="75D4466B"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ZAR</w:t>
            </w:r>
          </w:p>
        </w:tc>
        <w:tc>
          <w:tcPr>
            <w:tcW w:w="0" w:type="auto"/>
            <w:vAlign w:val="center"/>
          </w:tcPr>
          <w:p w14:paraId="39B87E5B" w14:textId="6B9E5D25"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Rand Sud</w:t>
            </w:r>
          </w:p>
        </w:tc>
      </w:tr>
      <w:tr w:rsidR="00D20B9F" w:rsidRPr="005E1A80" w14:paraId="6FF84850" w14:textId="7C8F645A" w:rsidTr="00250F99">
        <w:trPr>
          <w:trHeight w:val="300"/>
          <w:jc w:val="center"/>
        </w:trPr>
        <w:tc>
          <w:tcPr>
            <w:tcW w:w="0" w:type="auto"/>
            <w:noWrap/>
            <w:vAlign w:val="center"/>
          </w:tcPr>
          <w:p w14:paraId="20B7B5D4" w14:textId="1881649F" w:rsidR="00D20B9F" w:rsidRPr="005E1A80" w:rsidRDefault="00D20B9F" w:rsidP="00250F99">
            <w:pPr>
              <w:jc w:val="cente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MXP</w:t>
            </w:r>
          </w:p>
        </w:tc>
        <w:tc>
          <w:tcPr>
            <w:tcW w:w="0" w:type="auto"/>
            <w:noWrap/>
            <w:vAlign w:val="center"/>
          </w:tcPr>
          <w:p w14:paraId="42C73991" w14:textId="36FDE74D" w:rsidR="00D20B9F" w:rsidRPr="005E1A80" w:rsidRDefault="00D20B9F" w:rsidP="00D20B9F">
            <w:pPr>
              <w:rPr>
                <w:rFonts w:ascii="Arial" w:eastAsia="Times New Roman" w:hAnsi="Arial" w:cs="Arial"/>
                <w:color w:val="000000"/>
                <w:kern w:val="0"/>
                <w:lang w:eastAsia="es-AR"/>
                <w14:ligatures w14:val="none"/>
              </w:rPr>
            </w:pPr>
            <w:r w:rsidRPr="005E1A80">
              <w:rPr>
                <w:rFonts w:ascii="Arial" w:eastAsia="Times New Roman" w:hAnsi="Arial" w:cs="Arial"/>
                <w:color w:val="000000"/>
                <w:kern w:val="0"/>
                <w:lang w:eastAsia="es-AR"/>
                <w14:ligatures w14:val="none"/>
              </w:rPr>
              <w:t>Peso Mexicano</w:t>
            </w:r>
          </w:p>
        </w:tc>
        <w:tc>
          <w:tcPr>
            <w:tcW w:w="0" w:type="auto"/>
            <w:vAlign w:val="center"/>
          </w:tcPr>
          <w:p w14:paraId="2409C31D" w14:textId="77C42372" w:rsidR="00D20B9F" w:rsidRPr="005E1A80" w:rsidRDefault="00D20B9F" w:rsidP="00250F99">
            <w:pPr>
              <w:jc w:val="center"/>
              <w:rPr>
                <w:rFonts w:ascii="Arial" w:eastAsia="Times New Roman" w:hAnsi="Arial" w:cs="Arial"/>
                <w:kern w:val="0"/>
                <w:sz w:val="20"/>
                <w:szCs w:val="20"/>
                <w:lang w:eastAsia="es-AR"/>
                <w14:ligatures w14:val="none"/>
              </w:rPr>
            </w:pPr>
            <w:r w:rsidRPr="005E1A80">
              <w:rPr>
                <w:rFonts w:ascii="Arial" w:hAnsi="Arial" w:cs="Arial"/>
                <w:color w:val="000000"/>
              </w:rPr>
              <w:t>ZAR</w:t>
            </w:r>
          </w:p>
        </w:tc>
        <w:tc>
          <w:tcPr>
            <w:tcW w:w="0" w:type="auto"/>
            <w:vAlign w:val="center"/>
          </w:tcPr>
          <w:p w14:paraId="258EF119" w14:textId="3A90C4AD" w:rsidR="00D20B9F" w:rsidRPr="005E1A80" w:rsidRDefault="00D20B9F" w:rsidP="00D20B9F">
            <w:pPr>
              <w:rPr>
                <w:rFonts w:ascii="Arial" w:eastAsia="Times New Roman" w:hAnsi="Arial" w:cs="Arial"/>
                <w:kern w:val="0"/>
                <w:sz w:val="20"/>
                <w:szCs w:val="20"/>
                <w:lang w:eastAsia="es-AR"/>
                <w14:ligatures w14:val="none"/>
              </w:rPr>
            </w:pPr>
            <w:r w:rsidRPr="005E1A80">
              <w:rPr>
                <w:rFonts w:ascii="Arial" w:hAnsi="Arial" w:cs="Arial"/>
                <w:color w:val="000000"/>
              </w:rPr>
              <w:t>Rand Sud</w:t>
            </w:r>
          </w:p>
        </w:tc>
      </w:tr>
    </w:tbl>
    <w:p w14:paraId="5EAC426C" w14:textId="77777777" w:rsidR="00901A41" w:rsidRPr="005E1A80" w:rsidRDefault="00901A41" w:rsidP="00262FEC">
      <w:pPr>
        <w:spacing w:line="360" w:lineRule="auto"/>
        <w:jc w:val="both"/>
        <w:rPr>
          <w:rFonts w:ascii="Arial" w:hAnsi="Arial" w:cs="Arial"/>
          <w:lang w:val="en-US"/>
        </w:rPr>
      </w:pPr>
    </w:p>
    <w:sectPr w:rsidR="00901A41" w:rsidRPr="005E1A80" w:rsidSect="00B16884">
      <w:headerReference w:type="default" r:id="rId20"/>
      <w:footerReference w:type="default" r:id="rId21"/>
      <w:headerReference w:type="first" r:id="rId22"/>
      <w:footerReference w:type="first" r:id="rId23"/>
      <w:pgSz w:w="11906" w:h="16838"/>
      <w:pgMar w:top="1440" w:right="1080" w:bottom="1440" w:left="108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9330B" w14:textId="77777777" w:rsidR="006E4475" w:rsidRDefault="006E4475" w:rsidP="00596826">
      <w:pPr>
        <w:spacing w:after="0" w:line="240" w:lineRule="auto"/>
      </w:pPr>
      <w:r>
        <w:separator/>
      </w:r>
    </w:p>
  </w:endnote>
  <w:endnote w:type="continuationSeparator" w:id="0">
    <w:p w14:paraId="2F358DBD" w14:textId="77777777" w:rsidR="006E4475" w:rsidRDefault="006E4475" w:rsidP="00596826">
      <w:pPr>
        <w:spacing w:after="0" w:line="240" w:lineRule="auto"/>
      </w:pPr>
      <w:r>
        <w:continuationSeparator/>
      </w:r>
    </w:p>
  </w:endnote>
  <w:endnote w:type="continuationNotice" w:id="1">
    <w:p w14:paraId="5FF5F15F" w14:textId="77777777" w:rsidR="006E4475" w:rsidRDefault="006E44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76938" w14:textId="77777777" w:rsidR="006E4475" w:rsidRDefault="006E4475" w:rsidP="00596826">
      <w:pPr>
        <w:spacing w:after="0" w:line="240" w:lineRule="auto"/>
      </w:pPr>
      <w:r>
        <w:separator/>
      </w:r>
    </w:p>
  </w:footnote>
  <w:footnote w:type="continuationSeparator" w:id="0">
    <w:p w14:paraId="5A565473" w14:textId="77777777" w:rsidR="006E4475" w:rsidRDefault="006E4475" w:rsidP="00596826">
      <w:pPr>
        <w:spacing w:after="0" w:line="240" w:lineRule="auto"/>
      </w:pPr>
      <w:r>
        <w:continuationSeparator/>
      </w:r>
    </w:p>
  </w:footnote>
  <w:footnote w:type="continuationNotice" w:id="1">
    <w:p w14:paraId="450CD0C4" w14:textId="77777777" w:rsidR="006E4475" w:rsidRDefault="006E4475">
      <w:pPr>
        <w:spacing w:after="0" w:line="240" w:lineRule="auto"/>
      </w:pPr>
    </w:p>
  </w:footnote>
  <w:footnote w:id="2">
    <w:p w14:paraId="6D75E1E5" w14:textId="164EB64F" w:rsidR="00261B5C" w:rsidRPr="007B402F" w:rsidRDefault="00261B5C">
      <w:pPr>
        <w:pStyle w:val="Textonotapie"/>
        <w:rPr>
          <w:rFonts w:ascii="Arial" w:hAnsi="Arial" w:cs="Arial"/>
          <w:sz w:val="16"/>
          <w:szCs w:val="16"/>
        </w:rPr>
      </w:pPr>
      <w:r>
        <w:rPr>
          <w:rStyle w:val="Refdenotaalpie"/>
        </w:rPr>
        <w:footnoteRef/>
      </w:r>
      <w:r>
        <w:t xml:space="preserve"> </w:t>
      </w:r>
      <w:r w:rsidR="00321D79" w:rsidRPr="007B402F">
        <w:rPr>
          <w:rFonts w:ascii="Arial" w:hAnsi="Arial" w:cs="Arial"/>
          <w:sz w:val="16"/>
          <w:szCs w:val="16"/>
        </w:rPr>
        <w:t xml:space="preserve">Para el presente trabajo se utilizó la Guía de Normas APA 7° Edición, </w:t>
      </w:r>
      <w:r w:rsidR="00321D79" w:rsidRPr="00CB2781">
        <w:rPr>
          <w:rFonts w:ascii="Arial" w:hAnsi="Arial" w:cs="Arial"/>
          <w:sz w:val="16"/>
          <w:szCs w:val="16"/>
        </w:rPr>
        <w:t>disponible en https://</w:t>
      </w:r>
      <w:r w:rsidR="00A12C25" w:rsidRPr="00CB2781">
        <w:rPr>
          <w:rFonts w:ascii="Arial" w:hAnsi="Arial" w:cs="Arial"/>
          <w:sz w:val="16"/>
          <w:szCs w:val="16"/>
        </w:rPr>
        <w:t>normas-apa.org/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textHash int2:hashCode="O/I5D7cY6gGfJl" int2:id="NdSv03Yi">
      <int2:state int2:value="Rejected" int2:type="AugLoop_Text_Critique"/>
    </int2:textHash>
    <int2:bookmark int2:bookmarkName="_Int_ZQN0G67y" int2:invalidationBookmarkName="" int2:hashCode="iiDnC0KzX4KPL4" int2:id="eCSVTaOh">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936D0F8"/>
    <w:multiLevelType w:val="hybridMultilevel"/>
    <w:tmpl w:val="FFFFFFFF"/>
    <w:lvl w:ilvl="0" w:tplc="0A747492">
      <w:start w:val="1"/>
      <w:numFmt w:val="bullet"/>
      <w:lvlText w:val=""/>
      <w:lvlJc w:val="left"/>
      <w:pPr>
        <w:ind w:left="1080" w:hanging="360"/>
      </w:pPr>
      <w:rPr>
        <w:rFonts w:ascii="Symbol" w:hAnsi="Symbol" w:hint="default"/>
      </w:rPr>
    </w:lvl>
    <w:lvl w:ilvl="1" w:tplc="844A72EE">
      <w:start w:val="1"/>
      <w:numFmt w:val="bullet"/>
      <w:lvlText w:val="o"/>
      <w:lvlJc w:val="left"/>
      <w:pPr>
        <w:ind w:left="1800" w:hanging="360"/>
      </w:pPr>
      <w:rPr>
        <w:rFonts w:ascii="Courier New" w:hAnsi="Courier New" w:hint="default"/>
      </w:rPr>
    </w:lvl>
    <w:lvl w:ilvl="2" w:tplc="AB44F126">
      <w:start w:val="1"/>
      <w:numFmt w:val="bullet"/>
      <w:lvlText w:val=""/>
      <w:lvlJc w:val="left"/>
      <w:pPr>
        <w:ind w:left="2520" w:hanging="360"/>
      </w:pPr>
      <w:rPr>
        <w:rFonts w:ascii="Wingdings" w:hAnsi="Wingdings" w:hint="default"/>
      </w:rPr>
    </w:lvl>
    <w:lvl w:ilvl="3" w:tplc="F78C5EE8">
      <w:start w:val="1"/>
      <w:numFmt w:val="bullet"/>
      <w:lvlText w:val=""/>
      <w:lvlJc w:val="left"/>
      <w:pPr>
        <w:ind w:left="3240" w:hanging="360"/>
      </w:pPr>
      <w:rPr>
        <w:rFonts w:ascii="Symbol" w:hAnsi="Symbol" w:hint="default"/>
      </w:rPr>
    </w:lvl>
    <w:lvl w:ilvl="4" w:tplc="4B44D23E">
      <w:start w:val="1"/>
      <w:numFmt w:val="bullet"/>
      <w:lvlText w:val="o"/>
      <w:lvlJc w:val="left"/>
      <w:pPr>
        <w:ind w:left="3960" w:hanging="360"/>
      </w:pPr>
      <w:rPr>
        <w:rFonts w:ascii="Courier New" w:hAnsi="Courier New" w:hint="default"/>
      </w:rPr>
    </w:lvl>
    <w:lvl w:ilvl="5" w:tplc="4746C920">
      <w:start w:val="1"/>
      <w:numFmt w:val="bullet"/>
      <w:lvlText w:val=""/>
      <w:lvlJc w:val="left"/>
      <w:pPr>
        <w:ind w:left="4680" w:hanging="360"/>
      </w:pPr>
      <w:rPr>
        <w:rFonts w:ascii="Wingdings" w:hAnsi="Wingdings" w:hint="default"/>
      </w:rPr>
    </w:lvl>
    <w:lvl w:ilvl="6" w:tplc="74648D7A">
      <w:start w:val="1"/>
      <w:numFmt w:val="bullet"/>
      <w:lvlText w:val=""/>
      <w:lvlJc w:val="left"/>
      <w:pPr>
        <w:ind w:left="5400" w:hanging="360"/>
      </w:pPr>
      <w:rPr>
        <w:rFonts w:ascii="Symbol" w:hAnsi="Symbol" w:hint="default"/>
      </w:rPr>
    </w:lvl>
    <w:lvl w:ilvl="7" w:tplc="0A24649C">
      <w:start w:val="1"/>
      <w:numFmt w:val="bullet"/>
      <w:lvlText w:val="o"/>
      <w:lvlJc w:val="left"/>
      <w:pPr>
        <w:ind w:left="6120" w:hanging="360"/>
      </w:pPr>
      <w:rPr>
        <w:rFonts w:ascii="Courier New" w:hAnsi="Courier New" w:hint="default"/>
      </w:rPr>
    </w:lvl>
    <w:lvl w:ilvl="8" w:tplc="420883BA">
      <w:start w:val="1"/>
      <w:numFmt w:val="bullet"/>
      <w:lvlText w:val=""/>
      <w:lvlJc w:val="left"/>
      <w:pPr>
        <w:ind w:left="6840" w:hanging="360"/>
      </w:pPr>
      <w:rPr>
        <w:rFonts w:ascii="Wingdings" w:hAnsi="Wingdings" w:hint="default"/>
      </w:rPr>
    </w:lvl>
  </w:abstractNum>
  <w:abstractNum w:abstractNumId="2" w15:restartNumberingAfterBreak="0">
    <w:nsid w:val="2EA40519"/>
    <w:multiLevelType w:val="multilevel"/>
    <w:tmpl w:val="754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6E6D8A"/>
    <w:multiLevelType w:val="hybridMultilevel"/>
    <w:tmpl w:val="FFFFFFFF"/>
    <w:lvl w:ilvl="0" w:tplc="DEFAA308">
      <w:start w:val="1"/>
      <w:numFmt w:val="bullet"/>
      <w:lvlText w:val=""/>
      <w:lvlJc w:val="left"/>
      <w:pPr>
        <w:ind w:left="720" w:hanging="360"/>
      </w:pPr>
      <w:rPr>
        <w:rFonts w:ascii="Symbol" w:hAnsi="Symbol" w:hint="default"/>
      </w:rPr>
    </w:lvl>
    <w:lvl w:ilvl="1" w:tplc="F11456B0">
      <w:start w:val="1"/>
      <w:numFmt w:val="bullet"/>
      <w:lvlText w:val="o"/>
      <w:lvlJc w:val="left"/>
      <w:pPr>
        <w:ind w:left="1440" w:hanging="360"/>
      </w:pPr>
      <w:rPr>
        <w:rFonts w:ascii="Courier New" w:hAnsi="Courier New" w:hint="default"/>
      </w:rPr>
    </w:lvl>
    <w:lvl w:ilvl="2" w:tplc="03D41D08">
      <w:start w:val="1"/>
      <w:numFmt w:val="bullet"/>
      <w:lvlText w:val=""/>
      <w:lvlJc w:val="left"/>
      <w:pPr>
        <w:ind w:left="2160" w:hanging="360"/>
      </w:pPr>
      <w:rPr>
        <w:rFonts w:ascii="Wingdings" w:hAnsi="Wingdings" w:hint="default"/>
      </w:rPr>
    </w:lvl>
    <w:lvl w:ilvl="3" w:tplc="3B3019C0">
      <w:start w:val="1"/>
      <w:numFmt w:val="bullet"/>
      <w:lvlText w:val=""/>
      <w:lvlJc w:val="left"/>
      <w:pPr>
        <w:ind w:left="2880" w:hanging="360"/>
      </w:pPr>
      <w:rPr>
        <w:rFonts w:ascii="Symbol" w:hAnsi="Symbol" w:hint="default"/>
      </w:rPr>
    </w:lvl>
    <w:lvl w:ilvl="4" w:tplc="60D65404">
      <w:start w:val="1"/>
      <w:numFmt w:val="bullet"/>
      <w:lvlText w:val="o"/>
      <w:lvlJc w:val="left"/>
      <w:pPr>
        <w:ind w:left="3600" w:hanging="360"/>
      </w:pPr>
      <w:rPr>
        <w:rFonts w:ascii="Courier New" w:hAnsi="Courier New" w:hint="default"/>
      </w:rPr>
    </w:lvl>
    <w:lvl w:ilvl="5" w:tplc="A094EBA0">
      <w:start w:val="1"/>
      <w:numFmt w:val="bullet"/>
      <w:lvlText w:val=""/>
      <w:lvlJc w:val="left"/>
      <w:pPr>
        <w:ind w:left="4320" w:hanging="360"/>
      </w:pPr>
      <w:rPr>
        <w:rFonts w:ascii="Wingdings" w:hAnsi="Wingdings" w:hint="default"/>
      </w:rPr>
    </w:lvl>
    <w:lvl w:ilvl="6" w:tplc="075A87F6">
      <w:start w:val="1"/>
      <w:numFmt w:val="bullet"/>
      <w:lvlText w:val=""/>
      <w:lvlJc w:val="left"/>
      <w:pPr>
        <w:ind w:left="5040" w:hanging="360"/>
      </w:pPr>
      <w:rPr>
        <w:rFonts w:ascii="Symbol" w:hAnsi="Symbol" w:hint="default"/>
      </w:rPr>
    </w:lvl>
    <w:lvl w:ilvl="7" w:tplc="51908B06">
      <w:start w:val="1"/>
      <w:numFmt w:val="bullet"/>
      <w:lvlText w:val="o"/>
      <w:lvlJc w:val="left"/>
      <w:pPr>
        <w:ind w:left="5760" w:hanging="360"/>
      </w:pPr>
      <w:rPr>
        <w:rFonts w:ascii="Courier New" w:hAnsi="Courier New" w:hint="default"/>
      </w:rPr>
    </w:lvl>
    <w:lvl w:ilvl="8" w:tplc="DC4C0FAC">
      <w:start w:val="1"/>
      <w:numFmt w:val="bullet"/>
      <w:lvlText w:val=""/>
      <w:lvlJc w:val="left"/>
      <w:pPr>
        <w:ind w:left="6480" w:hanging="360"/>
      </w:pPr>
      <w:rPr>
        <w:rFonts w:ascii="Wingdings" w:hAnsi="Wingdings" w:hint="default"/>
      </w:rPr>
    </w:lvl>
  </w:abstractNum>
  <w:abstractNum w:abstractNumId="4" w15:restartNumberingAfterBreak="0">
    <w:nsid w:val="36494A42"/>
    <w:multiLevelType w:val="multilevel"/>
    <w:tmpl w:val="25D4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F2517"/>
    <w:multiLevelType w:val="hybridMultilevel"/>
    <w:tmpl w:val="FFFFFFFF"/>
    <w:lvl w:ilvl="0" w:tplc="A5E2698A">
      <w:start w:val="1"/>
      <w:numFmt w:val="bullet"/>
      <w:lvlText w:val=""/>
      <w:lvlJc w:val="left"/>
      <w:pPr>
        <w:ind w:left="720" w:hanging="360"/>
      </w:pPr>
      <w:rPr>
        <w:rFonts w:ascii="Symbol" w:hAnsi="Symbol" w:hint="default"/>
      </w:rPr>
    </w:lvl>
    <w:lvl w:ilvl="1" w:tplc="2BC2FB02">
      <w:start w:val="1"/>
      <w:numFmt w:val="bullet"/>
      <w:lvlText w:val="o"/>
      <w:lvlJc w:val="left"/>
      <w:pPr>
        <w:ind w:left="1440" w:hanging="360"/>
      </w:pPr>
      <w:rPr>
        <w:rFonts w:ascii="Courier New" w:hAnsi="Courier New" w:hint="default"/>
      </w:rPr>
    </w:lvl>
    <w:lvl w:ilvl="2" w:tplc="251620B8">
      <w:start w:val="1"/>
      <w:numFmt w:val="bullet"/>
      <w:lvlText w:val=""/>
      <w:lvlJc w:val="left"/>
      <w:pPr>
        <w:ind w:left="2160" w:hanging="360"/>
      </w:pPr>
      <w:rPr>
        <w:rFonts w:ascii="Wingdings" w:hAnsi="Wingdings" w:hint="default"/>
      </w:rPr>
    </w:lvl>
    <w:lvl w:ilvl="3" w:tplc="7A6C1018">
      <w:start w:val="1"/>
      <w:numFmt w:val="bullet"/>
      <w:lvlText w:val=""/>
      <w:lvlJc w:val="left"/>
      <w:pPr>
        <w:ind w:left="2880" w:hanging="360"/>
      </w:pPr>
      <w:rPr>
        <w:rFonts w:ascii="Symbol" w:hAnsi="Symbol" w:hint="default"/>
      </w:rPr>
    </w:lvl>
    <w:lvl w:ilvl="4" w:tplc="E6E6AB8C">
      <w:start w:val="1"/>
      <w:numFmt w:val="bullet"/>
      <w:lvlText w:val="o"/>
      <w:lvlJc w:val="left"/>
      <w:pPr>
        <w:ind w:left="3600" w:hanging="360"/>
      </w:pPr>
      <w:rPr>
        <w:rFonts w:ascii="Courier New" w:hAnsi="Courier New" w:hint="default"/>
      </w:rPr>
    </w:lvl>
    <w:lvl w:ilvl="5" w:tplc="AB1842D4">
      <w:start w:val="1"/>
      <w:numFmt w:val="bullet"/>
      <w:lvlText w:val=""/>
      <w:lvlJc w:val="left"/>
      <w:pPr>
        <w:ind w:left="4320" w:hanging="360"/>
      </w:pPr>
      <w:rPr>
        <w:rFonts w:ascii="Wingdings" w:hAnsi="Wingdings" w:hint="default"/>
      </w:rPr>
    </w:lvl>
    <w:lvl w:ilvl="6" w:tplc="2BFCA7E0">
      <w:start w:val="1"/>
      <w:numFmt w:val="bullet"/>
      <w:lvlText w:val=""/>
      <w:lvlJc w:val="left"/>
      <w:pPr>
        <w:ind w:left="5040" w:hanging="360"/>
      </w:pPr>
      <w:rPr>
        <w:rFonts w:ascii="Symbol" w:hAnsi="Symbol" w:hint="default"/>
      </w:rPr>
    </w:lvl>
    <w:lvl w:ilvl="7" w:tplc="C742A77E">
      <w:start w:val="1"/>
      <w:numFmt w:val="bullet"/>
      <w:lvlText w:val="o"/>
      <w:lvlJc w:val="left"/>
      <w:pPr>
        <w:ind w:left="5760" w:hanging="360"/>
      </w:pPr>
      <w:rPr>
        <w:rFonts w:ascii="Courier New" w:hAnsi="Courier New" w:hint="default"/>
      </w:rPr>
    </w:lvl>
    <w:lvl w:ilvl="8" w:tplc="0570E720">
      <w:start w:val="1"/>
      <w:numFmt w:val="bullet"/>
      <w:lvlText w:val=""/>
      <w:lvlJc w:val="left"/>
      <w:pPr>
        <w:ind w:left="6480" w:hanging="360"/>
      </w:pPr>
      <w:rPr>
        <w:rFonts w:ascii="Wingdings" w:hAnsi="Wingdings" w:hint="default"/>
      </w:rPr>
    </w:lvl>
  </w:abstractNum>
  <w:abstractNum w:abstractNumId="6" w15:restartNumberingAfterBreak="0">
    <w:nsid w:val="4C3A9C0F"/>
    <w:multiLevelType w:val="hybridMultilevel"/>
    <w:tmpl w:val="FFFFFFFF"/>
    <w:lvl w:ilvl="0" w:tplc="0ED6855A">
      <w:start w:val="1"/>
      <w:numFmt w:val="bullet"/>
      <w:lvlText w:val=""/>
      <w:lvlJc w:val="left"/>
      <w:pPr>
        <w:ind w:left="720" w:hanging="360"/>
      </w:pPr>
      <w:rPr>
        <w:rFonts w:ascii="Symbol" w:hAnsi="Symbol" w:hint="default"/>
      </w:rPr>
    </w:lvl>
    <w:lvl w:ilvl="1" w:tplc="5456E5A8">
      <w:start w:val="1"/>
      <w:numFmt w:val="bullet"/>
      <w:lvlText w:val="o"/>
      <w:lvlJc w:val="left"/>
      <w:pPr>
        <w:ind w:left="1440" w:hanging="360"/>
      </w:pPr>
      <w:rPr>
        <w:rFonts w:ascii="Courier New" w:hAnsi="Courier New" w:hint="default"/>
      </w:rPr>
    </w:lvl>
    <w:lvl w:ilvl="2" w:tplc="202A6668">
      <w:start w:val="1"/>
      <w:numFmt w:val="bullet"/>
      <w:lvlText w:val=""/>
      <w:lvlJc w:val="left"/>
      <w:pPr>
        <w:ind w:left="2160" w:hanging="360"/>
      </w:pPr>
      <w:rPr>
        <w:rFonts w:ascii="Wingdings" w:hAnsi="Wingdings" w:hint="default"/>
      </w:rPr>
    </w:lvl>
    <w:lvl w:ilvl="3" w:tplc="35849B7C">
      <w:start w:val="1"/>
      <w:numFmt w:val="bullet"/>
      <w:lvlText w:val=""/>
      <w:lvlJc w:val="left"/>
      <w:pPr>
        <w:ind w:left="2880" w:hanging="360"/>
      </w:pPr>
      <w:rPr>
        <w:rFonts w:ascii="Symbol" w:hAnsi="Symbol" w:hint="default"/>
      </w:rPr>
    </w:lvl>
    <w:lvl w:ilvl="4" w:tplc="63C26296">
      <w:start w:val="1"/>
      <w:numFmt w:val="bullet"/>
      <w:lvlText w:val="o"/>
      <w:lvlJc w:val="left"/>
      <w:pPr>
        <w:ind w:left="3600" w:hanging="360"/>
      </w:pPr>
      <w:rPr>
        <w:rFonts w:ascii="Courier New" w:hAnsi="Courier New" w:hint="default"/>
      </w:rPr>
    </w:lvl>
    <w:lvl w:ilvl="5" w:tplc="8D84A42A">
      <w:start w:val="1"/>
      <w:numFmt w:val="bullet"/>
      <w:lvlText w:val=""/>
      <w:lvlJc w:val="left"/>
      <w:pPr>
        <w:ind w:left="4320" w:hanging="360"/>
      </w:pPr>
      <w:rPr>
        <w:rFonts w:ascii="Wingdings" w:hAnsi="Wingdings" w:hint="default"/>
      </w:rPr>
    </w:lvl>
    <w:lvl w:ilvl="6" w:tplc="81540468">
      <w:start w:val="1"/>
      <w:numFmt w:val="bullet"/>
      <w:lvlText w:val=""/>
      <w:lvlJc w:val="left"/>
      <w:pPr>
        <w:ind w:left="5040" w:hanging="360"/>
      </w:pPr>
      <w:rPr>
        <w:rFonts w:ascii="Symbol" w:hAnsi="Symbol" w:hint="default"/>
      </w:rPr>
    </w:lvl>
    <w:lvl w:ilvl="7" w:tplc="4E7AFA3C">
      <w:start w:val="1"/>
      <w:numFmt w:val="bullet"/>
      <w:lvlText w:val="o"/>
      <w:lvlJc w:val="left"/>
      <w:pPr>
        <w:ind w:left="5760" w:hanging="360"/>
      </w:pPr>
      <w:rPr>
        <w:rFonts w:ascii="Courier New" w:hAnsi="Courier New" w:hint="default"/>
      </w:rPr>
    </w:lvl>
    <w:lvl w:ilvl="8" w:tplc="641A9726">
      <w:start w:val="1"/>
      <w:numFmt w:val="bullet"/>
      <w:lvlText w:val=""/>
      <w:lvlJc w:val="left"/>
      <w:pPr>
        <w:ind w:left="6480" w:hanging="360"/>
      </w:pPr>
      <w:rPr>
        <w:rFonts w:ascii="Wingdings" w:hAnsi="Wingdings" w:hint="default"/>
      </w:rPr>
    </w:lvl>
  </w:abstractNum>
  <w:abstractNum w:abstractNumId="7" w15:restartNumberingAfterBreak="0">
    <w:nsid w:val="586242CC"/>
    <w:multiLevelType w:val="hybridMultilevel"/>
    <w:tmpl w:val="FFFFFFFF"/>
    <w:lvl w:ilvl="0" w:tplc="F4E222BC">
      <w:start w:val="1"/>
      <w:numFmt w:val="bullet"/>
      <w:lvlText w:val=""/>
      <w:lvlJc w:val="left"/>
      <w:pPr>
        <w:ind w:left="720" w:hanging="360"/>
      </w:pPr>
      <w:rPr>
        <w:rFonts w:ascii="Symbol" w:hAnsi="Symbol" w:hint="default"/>
      </w:rPr>
    </w:lvl>
    <w:lvl w:ilvl="1" w:tplc="FC5AB20A">
      <w:start w:val="1"/>
      <w:numFmt w:val="bullet"/>
      <w:lvlText w:val="o"/>
      <w:lvlJc w:val="left"/>
      <w:pPr>
        <w:ind w:left="1440" w:hanging="360"/>
      </w:pPr>
      <w:rPr>
        <w:rFonts w:ascii="Courier New" w:hAnsi="Courier New" w:hint="default"/>
      </w:rPr>
    </w:lvl>
    <w:lvl w:ilvl="2" w:tplc="D48C7E20">
      <w:start w:val="1"/>
      <w:numFmt w:val="bullet"/>
      <w:lvlText w:val=""/>
      <w:lvlJc w:val="left"/>
      <w:pPr>
        <w:ind w:left="2160" w:hanging="360"/>
      </w:pPr>
      <w:rPr>
        <w:rFonts w:ascii="Wingdings" w:hAnsi="Wingdings" w:hint="default"/>
      </w:rPr>
    </w:lvl>
    <w:lvl w:ilvl="3" w:tplc="0B9E1D26">
      <w:start w:val="1"/>
      <w:numFmt w:val="bullet"/>
      <w:lvlText w:val=""/>
      <w:lvlJc w:val="left"/>
      <w:pPr>
        <w:ind w:left="2880" w:hanging="360"/>
      </w:pPr>
      <w:rPr>
        <w:rFonts w:ascii="Symbol" w:hAnsi="Symbol" w:hint="default"/>
      </w:rPr>
    </w:lvl>
    <w:lvl w:ilvl="4" w:tplc="7BF8444A">
      <w:start w:val="1"/>
      <w:numFmt w:val="bullet"/>
      <w:lvlText w:val="o"/>
      <w:lvlJc w:val="left"/>
      <w:pPr>
        <w:ind w:left="3600" w:hanging="360"/>
      </w:pPr>
      <w:rPr>
        <w:rFonts w:ascii="Courier New" w:hAnsi="Courier New" w:hint="default"/>
      </w:rPr>
    </w:lvl>
    <w:lvl w:ilvl="5" w:tplc="46BA9B0C">
      <w:start w:val="1"/>
      <w:numFmt w:val="bullet"/>
      <w:lvlText w:val=""/>
      <w:lvlJc w:val="left"/>
      <w:pPr>
        <w:ind w:left="4320" w:hanging="360"/>
      </w:pPr>
      <w:rPr>
        <w:rFonts w:ascii="Wingdings" w:hAnsi="Wingdings" w:hint="default"/>
      </w:rPr>
    </w:lvl>
    <w:lvl w:ilvl="6" w:tplc="BB146C02">
      <w:start w:val="1"/>
      <w:numFmt w:val="bullet"/>
      <w:lvlText w:val=""/>
      <w:lvlJc w:val="left"/>
      <w:pPr>
        <w:ind w:left="5040" w:hanging="360"/>
      </w:pPr>
      <w:rPr>
        <w:rFonts w:ascii="Symbol" w:hAnsi="Symbol" w:hint="default"/>
      </w:rPr>
    </w:lvl>
    <w:lvl w:ilvl="7" w:tplc="204C6CF8">
      <w:start w:val="1"/>
      <w:numFmt w:val="bullet"/>
      <w:lvlText w:val="o"/>
      <w:lvlJc w:val="left"/>
      <w:pPr>
        <w:ind w:left="5760" w:hanging="360"/>
      </w:pPr>
      <w:rPr>
        <w:rFonts w:ascii="Courier New" w:hAnsi="Courier New" w:hint="default"/>
      </w:rPr>
    </w:lvl>
    <w:lvl w:ilvl="8" w:tplc="D14AAFFA">
      <w:start w:val="1"/>
      <w:numFmt w:val="bullet"/>
      <w:lvlText w:val=""/>
      <w:lvlJc w:val="left"/>
      <w:pPr>
        <w:ind w:left="6480" w:hanging="360"/>
      </w:pPr>
      <w:rPr>
        <w:rFonts w:ascii="Wingdings" w:hAnsi="Wingdings" w:hint="default"/>
      </w:rPr>
    </w:lvl>
  </w:abstractNum>
  <w:abstractNum w:abstractNumId="8" w15:restartNumberingAfterBreak="0">
    <w:nsid w:val="714947E8"/>
    <w:multiLevelType w:val="hybridMultilevel"/>
    <w:tmpl w:val="2DC4154A"/>
    <w:lvl w:ilvl="0" w:tplc="2598AE1E">
      <w:numFmt w:val="bullet"/>
      <w:lvlText w:val="-"/>
      <w:lvlJc w:val="left"/>
      <w:pPr>
        <w:ind w:left="1080" w:hanging="36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16cid:durableId="1407534577">
    <w:abstractNumId w:val="0"/>
  </w:num>
  <w:num w:numId="2" w16cid:durableId="587883560">
    <w:abstractNumId w:val="8"/>
  </w:num>
  <w:num w:numId="3" w16cid:durableId="650451199">
    <w:abstractNumId w:val="7"/>
  </w:num>
  <w:num w:numId="4" w16cid:durableId="252861265">
    <w:abstractNumId w:val="6"/>
  </w:num>
  <w:num w:numId="5" w16cid:durableId="733309192">
    <w:abstractNumId w:val="5"/>
  </w:num>
  <w:num w:numId="6" w16cid:durableId="446241670">
    <w:abstractNumId w:val="4"/>
  </w:num>
  <w:num w:numId="7" w16cid:durableId="477578036">
    <w:abstractNumId w:val="2"/>
  </w:num>
  <w:num w:numId="8" w16cid:durableId="1462724696">
    <w:abstractNumId w:val="3"/>
  </w:num>
  <w:num w:numId="9" w16cid:durableId="148400810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07C0"/>
    <w:rsid w:val="00000B25"/>
    <w:rsid w:val="0000122C"/>
    <w:rsid w:val="00001465"/>
    <w:rsid w:val="000016F2"/>
    <w:rsid w:val="000017DB"/>
    <w:rsid w:val="00002DAD"/>
    <w:rsid w:val="000030EB"/>
    <w:rsid w:val="0000369B"/>
    <w:rsid w:val="00003C49"/>
    <w:rsid w:val="000048C9"/>
    <w:rsid w:val="00005C34"/>
    <w:rsid w:val="00006807"/>
    <w:rsid w:val="00006F16"/>
    <w:rsid w:val="00007C30"/>
    <w:rsid w:val="000100A9"/>
    <w:rsid w:val="000102CB"/>
    <w:rsid w:val="00010A18"/>
    <w:rsid w:val="00010B6E"/>
    <w:rsid w:val="00010BE4"/>
    <w:rsid w:val="00011B5E"/>
    <w:rsid w:val="00012827"/>
    <w:rsid w:val="000129CE"/>
    <w:rsid w:val="00013227"/>
    <w:rsid w:val="00013B9B"/>
    <w:rsid w:val="00013CEF"/>
    <w:rsid w:val="0001434F"/>
    <w:rsid w:val="0001494A"/>
    <w:rsid w:val="00014CA0"/>
    <w:rsid w:val="0001516E"/>
    <w:rsid w:val="00015350"/>
    <w:rsid w:val="000167D5"/>
    <w:rsid w:val="0001694C"/>
    <w:rsid w:val="00020700"/>
    <w:rsid w:val="00020776"/>
    <w:rsid w:val="0002098A"/>
    <w:rsid w:val="00020C0D"/>
    <w:rsid w:val="0002182D"/>
    <w:rsid w:val="00021B4A"/>
    <w:rsid w:val="00022B26"/>
    <w:rsid w:val="00022B7C"/>
    <w:rsid w:val="00022F4A"/>
    <w:rsid w:val="0002320E"/>
    <w:rsid w:val="000235F1"/>
    <w:rsid w:val="00023839"/>
    <w:rsid w:val="000238EB"/>
    <w:rsid w:val="00023C69"/>
    <w:rsid w:val="00023D91"/>
    <w:rsid w:val="00023ECC"/>
    <w:rsid w:val="00024945"/>
    <w:rsid w:val="00024C30"/>
    <w:rsid w:val="00024D0C"/>
    <w:rsid w:val="00025971"/>
    <w:rsid w:val="000259B7"/>
    <w:rsid w:val="00025BD6"/>
    <w:rsid w:val="000265A1"/>
    <w:rsid w:val="000269D4"/>
    <w:rsid w:val="000270DB"/>
    <w:rsid w:val="0002711B"/>
    <w:rsid w:val="00027BBA"/>
    <w:rsid w:val="00030866"/>
    <w:rsid w:val="00030C37"/>
    <w:rsid w:val="00030DD4"/>
    <w:rsid w:val="00031723"/>
    <w:rsid w:val="000320F5"/>
    <w:rsid w:val="00032129"/>
    <w:rsid w:val="000329A2"/>
    <w:rsid w:val="00032BE6"/>
    <w:rsid w:val="00032D9C"/>
    <w:rsid w:val="00032EB0"/>
    <w:rsid w:val="00033173"/>
    <w:rsid w:val="00034930"/>
    <w:rsid w:val="00034DCE"/>
    <w:rsid w:val="00036F5B"/>
    <w:rsid w:val="000375C2"/>
    <w:rsid w:val="00041671"/>
    <w:rsid w:val="00041A1B"/>
    <w:rsid w:val="0004226F"/>
    <w:rsid w:val="00042B4B"/>
    <w:rsid w:val="00043059"/>
    <w:rsid w:val="0004345A"/>
    <w:rsid w:val="000435CE"/>
    <w:rsid w:val="000437AA"/>
    <w:rsid w:val="00046113"/>
    <w:rsid w:val="00046705"/>
    <w:rsid w:val="0004675D"/>
    <w:rsid w:val="00046AD4"/>
    <w:rsid w:val="00047386"/>
    <w:rsid w:val="00047E86"/>
    <w:rsid w:val="0005049D"/>
    <w:rsid w:val="000506CE"/>
    <w:rsid w:val="00050E54"/>
    <w:rsid w:val="00050EEB"/>
    <w:rsid w:val="00051199"/>
    <w:rsid w:val="000512FB"/>
    <w:rsid w:val="00051472"/>
    <w:rsid w:val="00051FF8"/>
    <w:rsid w:val="0005269D"/>
    <w:rsid w:val="000529FA"/>
    <w:rsid w:val="00052DAD"/>
    <w:rsid w:val="00053179"/>
    <w:rsid w:val="00053366"/>
    <w:rsid w:val="00053715"/>
    <w:rsid w:val="00054768"/>
    <w:rsid w:val="00054ED9"/>
    <w:rsid w:val="000553FF"/>
    <w:rsid w:val="000554F0"/>
    <w:rsid w:val="0005729B"/>
    <w:rsid w:val="000574D0"/>
    <w:rsid w:val="000579B9"/>
    <w:rsid w:val="00057E16"/>
    <w:rsid w:val="00057F08"/>
    <w:rsid w:val="000601BB"/>
    <w:rsid w:val="00060847"/>
    <w:rsid w:val="00060881"/>
    <w:rsid w:val="00060A98"/>
    <w:rsid w:val="000610C1"/>
    <w:rsid w:val="00061D0C"/>
    <w:rsid w:val="0006271B"/>
    <w:rsid w:val="00062E98"/>
    <w:rsid w:val="00062F0B"/>
    <w:rsid w:val="00063051"/>
    <w:rsid w:val="00063223"/>
    <w:rsid w:val="00063B36"/>
    <w:rsid w:val="000641A7"/>
    <w:rsid w:val="0006434A"/>
    <w:rsid w:val="0006471D"/>
    <w:rsid w:val="00066638"/>
    <w:rsid w:val="00066682"/>
    <w:rsid w:val="00066B74"/>
    <w:rsid w:val="0006705A"/>
    <w:rsid w:val="000673D1"/>
    <w:rsid w:val="00067743"/>
    <w:rsid w:val="00067805"/>
    <w:rsid w:val="00067916"/>
    <w:rsid w:val="00067F4E"/>
    <w:rsid w:val="0007024A"/>
    <w:rsid w:val="00070A7F"/>
    <w:rsid w:val="00070A89"/>
    <w:rsid w:val="00070CDA"/>
    <w:rsid w:val="00071268"/>
    <w:rsid w:val="0007183E"/>
    <w:rsid w:val="000727B6"/>
    <w:rsid w:val="00072D72"/>
    <w:rsid w:val="0007307A"/>
    <w:rsid w:val="00073687"/>
    <w:rsid w:val="00073B9C"/>
    <w:rsid w:val="000744FE"/>
    <w:rsid w:val="00074597"/>
    <w:rsid w:val="000747E6"/>
    <w:rsid w:val="00074B30"/>
    <w:rsid w:val="0007551F"/>
    <w:rsid w:val="00076C35"/>
    <w:rsid w:val="00076D08"/>
    <w:rsid w:val="00076E97"/>
    <w:rsid w:val="00077086"/>
    <w:rsid w:val="000774BA"/>
    <w:rsid w:val="0007788C"/>
    <w:rsid w:val="00077D2B"/>
    <w:rsid w:val="00080EEF"/>
    <w:rsid w:val="00081015"/>
    <w:rsid w:val="00082169"/>
    <w:rsid w:val="0008240E"/>
    <w:rsid w:val="00083052"/>
    <w:rsid w:val="000833FE"/>
    <w:rsid w:val="0008492E"/>
    <w:rsid w:val="00084A6D"/>
    <w:rsid w:val="000851FB"/>
    <w:rsid w:val="000853F0"/>
    <w:rsid w:val="000854DB"/>
    <w:rsid w:val="0008558B"/>
    <w:rsid w:val="00086276"/>
    <w:rsid w:val="00086892"/>
    <w:rsid w:val="00087049"/>
    <w:rsid w:val="0009027F"/>
    <w:rsid w:val="00091A28"/>
    <w:rsid w:val="0009201C"/>
    <w:rsid w:val="000927BF"/>
    <w:rsid w:val="00092899"/>
    <w:rsid w:val="00093475"/>
    <w:rsid w:val="0009349C"/>
    <w:rsid w:val="00094266"/>
    <w:rsid w:val="00094332"/>
    <w:rsid w:val="0009559D"/>
    <w:rsid w:val="000959A2"/>
    <w:rsid w:val="00095F20"/>
    <w:rsid w:val="000976FA"/>
    <w:rsid w:val="00097AED"/>
    <w:rsid w:val="00097C36"/>
    <w:rsid w:val="000A0616"/>
    <w:rsid w:val="000A0774"/>
    <w:rsid w:val="000A0DA7"/>
    <w:rsid w:val="000A1498"/>
    <w:rsid w:val="000A1BCB"/>
    <w:rsid w:val="000A1D55"/>
    <w:rsid w:val="000A20E0"/>
    <w:rsid w:val="000A2456"/>
    <w:rsid w:val="000A2773"/>
    <w:rsid w:val="000A3001"/>
    <w:rsid w:val="000A33D3"/>
    <w:rsid w:val="000A3729"/>
    <w:rsid w:val="000A376F"/>
    <w:rsid w:val="000A3EC7"/>
    <w:rsid w:val="000A4089"/>
    <w:rsid w:val="000A46D6"/>
    <w:rsid w:val="000A4B6B"/>
    <w:rsid w:val="000A5270"/>
    <w:rsid w:val="000A556D"/>
    <w:rsid w:val="000A5DE7"/>
    <w:rsid w:val="000A64B9"/>
    <w:rsid w:val="000A671F"/>
    <w:rsid w:val="000A705B"/>
    <w:rsid w:val="000A798A"/>
    <w:rsid w:val="000A7F50"/>
    <w:rsid w:val="000B06D0"/>
    <w:rsid w:val="000B08E2"/>
    <w:rsid w:val="000B0C72"/>
    <w:rsid w:val="000B254C"/>
    <w:rsid w:val="000B2715"/>
    <w:rsid w:val="000B29EB"/>
    <w:rsid w:val="000B3629"/>
    <w:rsid w:val="000B3904"/>
    <w:rsid w:val="000B42FF"/>
    <w:rsid w:val="000B48FE"/>
    <w:rsid w:val="000B5E7C"/>
    <w:rsid w:val="000B5FCC"/>
    <w:rsid w:val="000B6669"/>
    <w:rsid w:val="000B6DAA"/>
    <w:rsid w:val="000B7329"/>
    <w:rsid w:val="000B7776"/>
    <w:rsid w:val="000C069F"/>
    <w:rsid w:val="000C08F4"/>
    <w:rsid w:val="000C0A08"/>
    <w:rsid w:val="000C0DDE"/>
    <w:rsid w:val="000C0F18"/>
    <w:rsid w:val="000C10F0"/>
    <w:rsid w:val="000C181B"/>
    <w:rsid w:val="000C1B3E"/>
    <w:rsid w:val="000C1E8D"/>
    <w:rsid w:val="000C30AC"/>
    <w:rsid w:val="000C384A"/>
    <w:rsid w:val="000C4207"/>
    <w:rsid w:val="000C4CB7"/>
    <w:rsid w:val="000C4D09"/>
    <w:rsid w:val="000C536C"/>
    <w:rsid w:val="000C5758"/>
    <w:rsid w:val="000C5B87"/>
    <w:rsid w:val="000C60C1"/>
    <w:rsid w:val="000C6176"/>
    <w:rsid w:val="000C6726"/>
    <w:rsid w:val="000C69FF"/>
    <w:rsid w:val="000C73EF"/>
    <w:rsid w:val="000D0313"/>
    <w:rsid w:val="000D0662"/>
    <w:rsid w:val="000D067C"/>
    <w:rsid w:val="000D1735"/>
    <w:rsid w:val="000D17F9"/>
    <w:rsid w:val="000D18D8"/>
    <w:rsid w:val="000D1C23"/>
    <w:rsid w:val="000D23BD"/>
    <w:rsid w:val="000D25DE"/>
    <w:rsid w:val="000D4530"/>
    <w:rsid w:val="000D4649"/>
    <w:rsid w:val="000D46AB"/>
    <w:rsid w:val="000D4B64"/>
    <w:rsid w:val="000D530B"/>
    <w:rsid w:val="000D6285"/>
    <w:rsid w:val="000D688E"/>
    <w:rsid w:val="000D6EA1"/>
    <w:rsid w:val="000E0BD7"/>
    <w:rsid w:val="000E0F04"/>
    <w:rsid w:val="000E1328"/>
    <w:rsid w:val="000E1970"/>
    <w:rsid w:val="000E2AC3"/>
    <w:rsid w:val="000E2F0C"/>
    <w:rsid w:val="000E309C"/>
    <w:rsid w:val="000E3788"/>
    <w:rsid w:val="000E50C9"/>
    <w:rsid w:val="000E5854"/>
    <w:rsid w:val="000E5DCA"/>
    <w:rsid w:val="000E5EF7"/>
    <w:rsid w:val="000E7559"/>
    <w:rsid w:val="000F0431"/>
    <w:rsid w:val="000F08CF"/>
    <w:rsid w:val="000F0CAE"/>
    <w:rsid w:val="000F0CC4"/>
    <w:rsid w:val="000F1A93"/>
    <w:rsid w:val="000F1C4E"/>
    <w:rsid w:val="000F2450"/>
    <w:rsid w:val="000F2CD2"/>
    <w:rsid w:val="000F2D4A"/>
    <w:rsid w:val="000F2DA4"/>
    <w:rsid w:val="000F4C10"/>
    <w:rsid w:val="000F4D8E"/>
    <w:rsid w:val="000F5130"/>
    <w:rsid w:val="000F59EC"/>
    <w:rsid w:val="000F69A7"/>
    <w:rsid w:val="00100181"/>
    <w:rsid w:val="00100201"/>
    <w:rsid w:val="0010076A"/>
    <w:rsid w:val="0010092C"/>
    <w:rsid w:val="00100F5E"/>
    <w:rsid w:val="00100FB5"/>
    <w:rsid w:val="00101902"/>
    <w:rsid w:val="0010196D"/>
    <w:rsid w:val="00102B3C"/>
    <w:rsid w:val="0010309A"/>
    <w:rsid w:val="0010316D"/>
    <w:rsid w:val="00103363"/>
    <w:rsid w:val="00103548"/>
    <w:rsid w:val="00103623"/>
    <w:rsid w:val="00103CCD"/>
    <w:rsid w:val="001040AD"/>
    <w:rsid w:val="00104259"/>
    <w:rsid w:val="00105781"/>
    <w:rsid w:val="00105830"/>
    <w:rsid w:val="00105B3B"/>
    <w:rsid w:val="00105E1A"/>
    <w:rsid w:val="001060E7"/>
    <w:rsid w:val="00106324"/>
    <w:rsid w:val="00106E14"/>
    <w:rsid w:val="0010706D"/>
    <w:rsid w:val="001070E3"/>
    <w:rsid w:val="001070FA"/>
    <w:rsid w:val="0011003C"/>
    <w:rsid w:val="001105E7"/>
    <w:rsid w:val="0011081A"/>
    <w:rsid w:val="001112A4"/>
    <w:rsid w:val="0011193C"/>
    <w:rsid w:val="00111B17"/>
    <w:rsid w:val="00111EFA"/>
    <w:rsid w:val="001121E5"/>
    <w:rsid w:val="0011230A"/>
    <w:rsid w:val="00112B9E"/>
    <w:rsid w:val="00114ABF"/>
    <w:rsid w:val="00114B54"/>
    <w:rsid w:val="00114BE4"/>
    <w:rsid w:val="001152D9"/>
    <w:rsid w:val="00115E2F"/>
    <w:rsid w:val="00115F5B"/>
    <w:rsid w:val="001160B4"/>
    <w:rsid w:val="001162F8"/>
    <w:rsid w:val="00116807"/>
    <w:rsid w:val="00116877"/>
    <w:rsid w:val="001176D5"/>
    <w:rsid w:val="00117C13"/>
    <w:rsid w:val="00117DAB"/>
    <w:rsid w:val="00120495"/>
    <w:rsid w:val="001205F6"/>
    <w:rsid w:val="001215D9"/>
    <w:rsid w:val="0012178F"/>
    <w:rsid w:val="001227BE"/>
    <w:rsid w:val="00122E56"/>
    <w:rsid w:val="0012369D"/>
    <w:rsid w:val="0012528F"/>
    <w:rsid w:val="00125A2B"/>
    <w:rsid w:val="00125DE8"/>
    <w:rsid w:val="001268AC"/>
    <w:rsid w:val="00127BCE"/>
    <w:rsid w:val="00127E74"/>
    <w:rsid w:val="00127F0E"/>
    <w:rsid w:val="0013028A"/>
    <w:rsid w:val="00131464"/>
    <w:rsid w:val="001315C8"/>
    <w:rsid w:val="00131EE2"/>
    <w:rsid w:val="001329EC"/>
    <w:rsid w:val="00132E40"/>
    <w:rsid w:val="0013301B"/>
    <w:rsid w:val="00133247"/>
    <w:rsid w:val="001336D8"/>
    <w:rsid w:val="00133B31"/>
    <w:rsid w:val="00134C24"/>
    <w:rsid w:val="0013568D"/>
    <w:rsid w:val="00135958"/>
    <w:rsid w:val="00135F7F"/>
    <w:rsid w:val="001361CB"/>
    <w:rsid w:val="0013689D"/>
    <w:rsid w:val="001369EE"/>
    <w:rsid w:val="00136C6D"/>
    <w:rsid w:val="001371B8"/>
    <w:rsid w:val="00137E0A"/>
    <w:rsid w:val="001405A6"/>
    <w:rsid w:val="00140BB8"/>
    <w:rsid w:val="00140CF2"/>
    <w:rsid w:val="00140F6B"/>
    <w:rsid w:val="00141570"/>
    <w:rsid w:val="00141638"/>
    <w:rsid w:val="00141710"/>
    <w:rsid w:val="00141CBC"/>
    <w:rsid w:val="00142160"/>
    <w:rsid w:val="001429C7"/>
    <w:rsid w:val="00142B0F"/>
    <w:rsid w:val="00143456"/>
    <w:rsid w:val="0014449A"/>
    <w:rsid w:val="001444BF"/>
    <w:rsid w:val="001449C4"/>
    <w:rsid w:val="00145B4A"/>
    <w:rsid w:val="001469E0"/>
    <w:rsid w:val="00146E3E"/>
    <w:rsid w:val="00150096"/>
    <w:rsid w:val="001502EC"/>
    <w:rsid w:val="00150CB8"/>
    <w:rsid w:val="00150D01"/>
    <w:rsid w:val="001518F7"/>
    <w:rsid w:val="001534CD"/>
    <w:rsid w:val="001534CF"/>
    <w:rsid w:val="001534E6"/>
    <w:rsid w:val="00153B52"/>
    <w:rsid w:val="001544A8"/>
    <w:rsid w:val="00154796"/>
    <w:rsid w:val="0015499F"/>
    <w:rsid w:val="00154DE5"/>
    <w:rsid w:val="0015513E"/>
    <w:rsid w:val="001557B7"/>
    <w:rsid w:val="00155C80"/>
    <w:rsid w:val="001560B4"/>
    <w:rsid w:val="00156549"/>
    <w:rsid w:val="001573BC"/>
    <w:rsid w:val="0016001B"/>
    <w:rsid w:val="00160142"/>
    <w:rsid w:val="00160661"/>
    <w:rsid w:val="001610FF"/>
    <w:rsid w:val="00161DE9"/>
    <w:rsid w:val="00161E59"/>
    <w:rsid w:val="00162448"/>
    <w:rsid w:val="00162C90"/>
    <w:rsid w:val="0016300C"/>
    <w:rsid w:val="00163154"/>
    <w:rsid w:val="001637EE"/>
    <w:rsid w:val="001638E4"/>
    <w:rsid w:val="00163A9F"/>
    <w:rsid w:val="001641B3"/>
    <w:rsid w:val="0016448F"/>
    <w:rsid w:val="0016458D"/>
    <w:rsid w:val="00165A83"/>
    <w:rsid w:val="001663BB"/>
    <w:rsid w:val="00166BB7"/>
    <w:rsid w:val="0016783F"/>
    <w:rsid w:val="00167F96"/>
    <w:rsid w:val="00170225"/>
    <w:rsid w:val="00170725"/>
    <w:rsid w:val="0017085E"/>
    <w:rsid w:val="001724EA"/>
    <w:rsid w:val="001731BC"/>
    <w:rsid w:val="00174622"/>
    <w:rsid w:val="00174835"/>
    <w:rsid w:val="00174B98"/>
    <w:rsid w:val="00174C10"/>
    <w:rsid w:val="00175495"/>
    <w:rsid w:val="00176482"/>
    <w:rsid w:val="00177842"/>
    <w:rsid w:val="001807F0"/>
    <w:rsid w:val="00181ED8"/>
    <w:rsid w:val="00182091"/>
    <w:rsid w:val="00182EB5"/>
    <w:rsid w:val="00182FC7"/>
    <w:rsid w:val="001830A3"/>
    <w:rsid w:val="0018311D"/>
    <w:rsid w:val="001837D9"/>
    <w:rsid w:val="00183A74"/>
    <w:rsid w:val="001845BA"/>
    <w:rsid w:val="001846EB"/>
    <w:rsid w:val="00184835"/>
    <w:rsid w:val="001849C3"/>
    <w:rsid w:val="001849CE"/>
    <w:rsid w:val="00184DD1"/>
    <w:rsid w:val="00184E99"/>
    <w:rsid w:val="00184EAF"/>
    <w:rsid w:val="0018511A"/>
    <w:rsid w:val="00185589"/>
    <w:rsid w:val="0018670F"/>
    <w:rsid w:val="00186AF2"/>
    <w:rsid w:val="00186BE4"/>
    <w:rsid w:val="00186C74"/>
    <w:rsid w:val="001871EA"/>
    <w:rsid w:val="00190072"/>
    <w:rsid w:val="0019035C"/>
    <w:rsid w:val="0019071F"/>
    <w:rsid w:val="00193B21"/>
    <w:rsid w:val="001947F6"/>
    <w:rsid w:val="001957F1"/>
    <w:rsid w:val="00195A0A"/>
    <w:rsid w:val="00195CE6"/>
    <w:rsid w:val="00196D99"/>
    <w:rsid w:val="0019756C"/>
    <w:rsid w:val="001A0371"/>
    <w:rsid w:val="001A11A4"/>
    <w:rsid w:val="001A2CF7"/>
    <w:rsid w:val="001A2D74"/>
    <w:rsid w:val="001A34A6"/>
    <w:rsid w:val="001A511A"/>
    <w:rsid w:val="001A57E7"/>
    <w:rsid w:val="001A602C"/>
    <w:rsid w:val="001A6D69"/>
    <w:rsid w:val="001A7A6C"/>
    <w:rsid w:val="001A7CF6"/>
    <w:rsid w:val="001A7F35"/>
    <w:rsid w:val="001B078F"/>
    <w:rsid w:val="001B09F0"/>
    <w:rsid w:val="001B2714"/>
    <w:rsid w:val="001B2DA8"/>
    <w:rsid w:val="001B40E3"/>
    <w:rsid w:val="001B553D"/>
    <w:rsid w:val="001B6795"/>
    <w:rsid w:val="001B7DFA"/>
    <w:rsid w:val="001C0185"/>
    <w:rsid w:val="001C06BC"/>
    <w:rsid w:val="001C09A5"/>
    <w:rsid w:val="001C0B99"/>
    <w:rsid w:val="001C1834"/>
    <w:rsid w:val="001C2203"/>
    <w:rsid w:val="001C2359"/>
    <w:rsid w:val="001C32D0"/>
    <w:rsid w:val="001C3A17"/>
    <w:rsid w:val="001C3D47"/>
    <w:rsid w:val="001C3FC0"/>
    <w:rsid w:val="001C42B9"/>
    <w:rsid w:val="001C43AD"/>
    <w:rsid w:val="001C480A"/>
    <w:rsid w:val="001C4B35"/>
    <w:rsid w:val="001C50E7"/>
    <w:rsid w:val="001C5C8E"/>
    <w:rsid w:val="001C5CDB"/>
    <w:rsid w:val="001C5D30"/>
    <w:rsid w:val="001C6235"/>
    <w:rsid w:val="001C6BF0"/>
    <w:rsid w:val="001C6F84"/>
    <w:rsid w:val="001D03E1"/>
    <w:rsid w:val="001D09C6"/>
    <w:rsid w:val="001D1C30"/>
    <w:rsid w:val="001D1F24"/>
    <w:rsid w:val="001D1FC1"/>
    <w:rsid w:val="001D23A1"/>
    <w:rsid w:val="001D25CF"/>
    <w:rsid w:val="001D3E5A"/>
    <w:rsid w:val="001D41D1"/>
    <w:rsid w:val="001D4346"/>
    <w:rsid w:val="001D4D1A"/>
    <w:rsid w:val="001D587E"/>
    <w:rsid w:val="001D59D0"/>
    <w:rsid w:val="001D627A"/>
    <w:rsid w:val="001D6426"/>
    <w:rsid w:val="001D646C"/>
    <w:rsid w:val="001D6F49"/>
    <w:rsid w:val="001D7345"/>
    <w:rsid w:val="001D773E"/>
    <w:rsid w:val="001D7CC8"/>
    <w:rsid w:val="001E113F"/>
    <w:rsid w:val="001E1D66"/>
    <w:rsid w:val="001E2733"/>
    <w:rsid w:val="001E34DA"/>
    <w:rsid w:val="001E36CB"/>
    <w:rsid w:val="001E38C0"/>
    <w:rsid w:val="001E3978"/>
    <w:rsid w:val="001E3E44"/>
    <w:rsid w:val="001E4D56"/>
    <w:rsid w:val="001E5633"/>
    <w:rsid w:val="001E56B8"/>
    <w:rsid w:val="001E6040"/>
    <w:rsid w:val="001E605C"/>
    <w:rsid w:val="001E7039"/>
    <w:rsid w:val="001E782E"/>
    <w:rsid w:val="001E7EFF"/>
    <w:rsid w:val="001F074D"/>
    <w:rsid w:val="001F0A69"/>
    <w:rsid w:val="001F105A"/>
    <w:rsid w:val="001F117E"/>
    <w:rsid w:val="001F2E76"/>
    <w:rsid w:val="001F3052"/>
    <w:rsid w:val="001F3828"/>
    <w:rsid w:val="001F3F63"/>
    <w:rsid w:val="001F60DB"/>
    <w:rsid w:val="001F615A"/>
    <w:rsid w:val="001F65D5"/>
    <w:rsid w:val="001F671F"/>
    <w:rsid w:val="001F67B8"/>
    <w:rsid w:val="001F699D"/>
    <w:rsid w:val="001F69EE"/>
    <w:rsid w:val="001F6E8D"/>
    <w:rsid w:val="001F724B"/>
    <w:rsid w:val="001F776A"/>
    <w:rsid w:val="001F7BEC"/>
    <w:rsid w:val="001F7CA5"/>
    <w:rsid w:val="002009CC"/>
    <w:rsid w:val="00201062"/>
    <w:rsid w:val="00201682"/>
    <w:rsid w:val="00202236"/>
    <w:rsid w:val="00203CEB"/>
    <w:rsid w:val="00204949"/>
    <w:rsid w:val="0020505C"/>
    <w:rsid w:val="00205741"/>
    <w:rsid w:val="002059B3"/>
    <w:rsid w:val="00206E16"/>
    <w:rsid w:val="002075A2"/>
    <w:rsid w:val="002076B5"/>
    <w:rsid w:val="00207749"/>
    <w:rsid w:val="002079A1"/>
    <w:rsid w:val="00207FA8"/>
    <w:rsid w:val="00210CA1"/>
    <w:rsid w:val="002117EA"/>
    <w:rsid w:val="002119B4"/>
    <w:rsid w:val="00212A1A"/>
    <w:rsid w:val="00212C8D"/>
    <w:rsid w:val="00212EC0"/>
    <w:rsid w:val="00213F4D"/>
    <w:rsid w:val="00214461"/>
    <w:rsid w:val="00214534"/>
    <w:rsid w:val="00214663"/>
    <w:rsid w:val="00215937"/>
    <w:rsid w:val="00215B61"/>
    <w:rsid w:val="00215E62"/>
    <w:rsid w:val="00216125"/>
    <w:rsid w:val="00216300"/>
    <w:rsid w:val="00216BD1"/>
    <w:rsid w:val="00217215"/>
    <w:rsid w:val="00217324"/>
    <w:rsid w:val="00217E6D"/>
    <w:rsid w:val="0022018F"/>
    <w:rsid w:val="00220289"/>
    <w:rsid w:val="00220301"/>
    <w:rsid w:val="002204BD"/>
    <w:rsid w:val="002206AC"/>
    <w:rsid w:val="00220A38"/>
    <w:rsid w:val="00220DDF"/>
    <w:rsid w:val="00220FAD"/>
    <w:rsid w:val="00221409"/>
    <w:rsid w:val="00221595"/>
    <w:rsid w:val="00221EF1"/>
    <w:rsid w:val="00222093"/>
    <w:rsid w:val="00222E30"/>
    <w:rsid w:val="00223354"/>
    <w:rsid w:val="00223698"/>
    <w:rsid w:val="002240B5"/>
    <w:rsid w:val="00224C6D"/>
    <w:rsid w:val="002253B6"/>
    <w:rsid w:val="0022553E"/>
    <w:rsid w:val="002257A5"/>
    <w:rsid w:val="00226156"/>
    <w:rsid w:val="002262C7"/>
    <w:rsid w:val="00226472"/>
    <w:rsid w:val="00226A3F"/>
    <w:rsid w:val="00226BDE"/>
    <w:rsid w:val="00226E84"/>
    <w:rsid w:val="0022793C"/>
    <w:rsid w:val="00227E2B"/>
    <w:rsid w:val="002300B5"/>
    <w:rsid w:val="002302DE"/>
    <w:rsid w:val="0023071A"/>
    <w:rsid w:val="00230A16"/>
    <w:rsid w:val="00231612"/>
    <w:rsid w:val="00231F3F"/>
    <w:rsid w:val="00232B72"/>
    <w:rsid w:val="00232E6E"/>
    <w:rsid w:val="00233221"/>
    <w:rsid w:val="00233F6B"/>
    <w:rsid w:val="00234651"/>
    <w:rsid w:val="00234675"/>
    <w:rsid w:val="002351EE"/>
    <w:rsid w:val="00235344"/>
    <w:rsid w:val="00235702"/>
    <w:rsid w:val="00235C2D"/>
    <w:rsid w:val="00235D8F"/>
    <w:rsid w:val="00237D52"/>
    <w:rsid w:val="002400FA"/>
    <w:rsid w:val="00240905"/>
    <w:rsid w:val="002410DF"/>
    <w:rsid w:val="002414D3"/>
    <w:rsid w:val="002414F0"/>
    <w:rsid w:val="002420DB"/>
    <w:rsid w:val="0024280E"/>
    <w:rsid w:val="00242E29"/>
    <w:rsid w:val="00242FD8"/>
    <w:rsid w:val="002430C3"/>
    <w:rsid w:val="002430CD"/>
    <w:rsid w:val="0024363A"/>
    <w:rsid w:val="00243AAE"/>
    <w:rsid w:val="00243B30"/>
    <w:rsid w:val="00244CB8"/>
    <w:rsid w:val="0024591C"/>
    <w:rsid w:val="00245D27"/>
    <w:rsid w:val="00246897"/>
    <w:rsid w:val="00246C92"/>
    <w:rsid w:val="0024754A"/>
    <w:rsid w:val="00247CA8"/>
    <w:rsid w:val="00250A0E"/>
    <w:rsid w:val="00250F99"/>
    <w:rsid w:val="002511D9"/>
    <w:rsid w:val="002512F3"/>
    <w:rsid w:val="002521BB"/>
    <w:rsid w:val="002525C0"/>
    <w:rsid w:val="00252C60"/>
    <w:rsid w:val="00253261"/>
    <w:rsid w:val="00253B3B"/>
    <w:rsid w:val="0025431A"/>
    <w:rsid w:val="00254599"/>
    <w:rsid w:val="00254806"/>
    <w:rsid w:val="00254814"/>
    <w:rsid w:val="00254A2F"/>
    <w:rsid w:val="00254CCE"/>
    <w:rsid w:val="002557D5"/>
    <w:rsid w:val="002562AE"/>
    <w:rsid w:val="00256759"/>
    <w:rsid w:val="0025753D"/>
    <w:rsid w:val="00261792"/>
    <w:rsid w:val="00261B5C"/>
    <w:rsid w:val="00261FD3"/>
    <w:rsid w:val="00262FEC"/>
    <w:rsid w:val="002633FF"/>
    <w:rsid w:val="002637CF"/>
    <w:rsid w:val="00263EF0"/>
    <w:rsid w:val="00264123"/>
    <w:rsid w:val="00265542"/>
    <w:rsid w:val="00265AE0"/>
    <w:rsid w:val="002660E4"/>
    <w:rsid w:val="002664AF"/>
    <w:rsid w:val="0026662D"/>
    <w:rsid w:val="00266C9F"/>
    <w:rsid w:val="002672B9"/>
    <w:rsid w:val="00267584"/>
    <w:rsid w:val="002678CB"/>
    <w:rsid w:val="0027139F"/>
    <w:rsid w:val="00271402"/>
    <w:rsid w:val="00271CCF"/>
    <w:rsid w:val="00272B77"/>
    <w:rsid w:val="0027382F"/>
    <w:rsid w:val="00273A22"/>
    <w:rsid w:val="00274973"/>
    <w:rsid w:val="00274F30"/>
    <w:rsid w:val="00275380"/>
    <w:rsid w:val="00275A6C"/>
    <w:rsid w:val="00275FF2"/>
    <w:rsid w:val="0027735B"/>
    <w:rsid w:val="002774F7"/>
    <w:rsid w:val="00277858"/>
    <w:rsid w:val="00280817"/>
    <w:rsid w:val="00280BA5"/>
    <w:rsid w:val="002817B6"/>
    <w:rsid w:val="00281C51"/>
    <w:rsid w:val="0028233C"/>
    <w:rsid w:val="002827C3"/>
    <w:rsid w:val="00283350"/>
    <w:rsid w:val="00284021"/>
    <w:rsid w:val="00285BEA"/>
    <w:rsid w:val="002861AE"/>
    <w:rsid w:val="002862FA"/>
    <w:rsid w:val="002877DA"/>
    <w:rsid w:val="00287A80"/>
    <w:rsid w:val="00287C3B"/>
    <w:rsid w:val="00287FC0"/>
    <w:rsid w:val="002902F0"/>
    <w:rsid w:val="002908F3"/>
    <w:rsid w:val="00290964"/>
    <w:rsid w:val="00290EA2"/>
    <w:rsid w:val="00290F9F"/>
    <w:rsid w:val="00292A7F"/>
    <w:rsid w:val="00293059"/>
    <w:rsid w:val="00293CB2"/>
    <w:rsid w:val="0029418F"/>
    <w:rsid w:val="0029436A"/>
    <w:rsid w:val="0029526D"/>
    <w:rsid w:val="0029549E"/>
    <w:rsid w:val="0029572C"/>
    <w:rsid w:val="00296012"/>
    <w:rsid w:val="00297052"/>
    <w:rsid w:val="00297396"/>
    <w:rsid w:val="0029778E"/>
    <w:rsid w:val="00297D40"/>
    <w:rsid w:val="002A016C"/>
    <w:rsid w:val="002A082C"/>
    <w:rsid w:val="002A0C26"/>
    <w:rsid w:val="002A1035"/>
    <w:rsid w:val="002A1352"/>
    <w:rsid w:val="002A1822"/>
    <w:rsid w:val="002A2966"/>
    <w:rsid w:val="002A37ED"/>
    <w:rsid w:val="002A393F"/>
    <w:rsid w:val="002A3CF5"/>
    <w:rsid w:val="002A484A"/>
    <w:rsid w:val="002A4899"/>
    <w:rsid w:val="002A641D"/>
    <w:rsid w:val="002A6819"/>
    <w:rsid w:val="002A6B96"/>
    <w:rsid w:val="002A76BA"/>
    <w:rsid w:val="002A7DCC"/>
    <w:rsid w:val="002B0CFD"/>
    <w:rsid w:val="002B0DD5"/>
    <w:rsid w:val="002B0E30"/>
    <w:rsid w:val="002B1252"/>
    <w:rsid w:val="002B16E5"/>
    <w:rsid w:val="002B1747"/>
    <w:rsid w:val="002B1B3F"/>
    <w:rsid w:val="002B235F"/>
    <w:rsid w:val="002B2D8A"/>
    <w:rsid w:val="002B3B72"/>
    <w:rsid w:val="002B498A"/>
    <w:rsid w:val="002B5037"/>
    <w:rsid w:val="002B53D7"/>
    <w:rsid w:val="002B5778"/>
    <w:rsid w:val="002B6321"/>
    <w:rsid w:val="002B6EB4"/>
    <w:rsid w:val="002B6F07"/>
    <w:rsid w:val="002B7129"/>
    <w:rsid w:val="002B7139"/>
    <w:rsid w:val="002B71D6"/>
    <w:rsid w:val="002B7684"/>
    <w:rsid w:val="002C06FA"/>
    <w:rsid w:val="002C0A49"/>
    <w:rsid w:val="002C1AD4"/>
    <w:rsid w:val="002C26F6"/>
    <w:rsid w:val="002C2C45"/>
    <w:rsid w:val="002C358E"/>
    <w:rsid w:val="002C41A6"/>
    <w:rsid w:val="002C4496"/>
    <w:rsid w:val="002C4B96"/>
    <w:rsid w:val="002C4DBD"/>
    <w:rsid w:val="002C5177"/>
    <w:rsid w:val="002C5C69"/>
    <w:rsid w:val="002C6758"/>
    <w:rsid w:val="002C6A45"/>
    <w:rsid w:val="002C6FDA"/>
    <w:rsid w:val="002C72FA"/>
    <w:rsid w:val="002C7459"/>
    <w:rsid w:val="002D0357"/>
    <w:rsid w:val="002D0F1D"/>
    <w:rsid w:val="002D1294"/>
    <w:rsid w:val="002D1434"/>
    <w:rsid w:val="002D1974"/>
    <w:rsid w:val="002D1E73"/>
    <w:rsid w:val="002D2B2A"/>
    <w:rsid w:val="002D3903"/>
    <w:rsid w:val="002D3E93"/>
    <w:rsid w:val="002D3FBF"/>
    <w:rsid w:val="002D4A11"/>
    <w:rsid w:val="002D5043"/>
    <w:rsid w:val="002D52C4"/>
    <w:rsid w:val="002D65FD"/>
    <w:rsid w:val="002D668B"/>
    <w:rsid w:val="002D702E"/>
    <w:rsid w:val="002D7FF3"/>
    <w:rsid w:val="002E0310"/>
    <w:rsid w:val="002E07C8"/>
    <w:rsid w:val="002E0D43"/>
    <w:rsid w:val="002E11DE"/>
    <w:rsid w:val="002E1771"/>
    <w:rsid w:val="002E20A7"/>
    <w:rsid w:val="002E21BE"/>
    <w:rsid w:val="002E27AC"/>
    <w:rsid w:val="002E4061"/>
    <w:rsid w:val="002E470D"/>
    <w:rsid w:val="002E4AA9"/>
    <w:rsid w:val="002E4C46"/>
    <w:rsid w:val="002E5140"/>
    <w:rsid w:val="002E520A"/>
    <w:rsid w:val="002E5563"/>
    <w:rsid w:val="002E6221"/>
    <w:rsid w:val="002E6320"/>
    <w:rsid w:val="002E6337"/>
    <w:rsid w:val="002E6AF3"/>
    <w:rsid w:val="002E727A"/>
    <w:rsid w:val="002E7A0D"/>
    <w:rsid w:val="002F02B3"/>
    <w:rsid w:val="002F0A52"/>
    <w:rsid w:val="002F0B3D"/>
    <w:rsid w:val="002F1D0F"/>
    <w:rsid w:val="002F25A7"/>
    <w:rsid w:val="002F3684"/>
    <w:rsid w:val="002F3729"/>
    <w:rsid w:val="002F40F3"/>
    <w:rsid w:val="002F4894"/>
    <w:rsid w:val="002F49EE"/>
    <w:rsid w:val="002F4C54"/>
    <w:rsid w:val="002F519A"/>
    <w:rsid w:val="002F5C53"/>
    <w:rsid w:val="002F5E6F"/>
    <w:rsid w:val="002F67E5"/>
    <w:rsid w:val="002F6AED"/>
    <w:rsid w:val="002F6F28"/>
    <w:rsid w:val="002F7BE8"/>
    <w:rsid w:val="003006A7"/>
    <w:rsid w:val="00300B25"/>
    <w:rsid w:val="00300FB6"/>
    <w:rsid w:val="00301108"/>
    <w:rsid w:val="00301398"/>
    <w:rsid w:val="003015DA"/>
    <w:rsid w:val="003016F3"/>
    <w:rsid w:val="00301B59"/>
    <w:rsid w:val="00301BA3"/>
    <w:rsid w:val="00301EA5"/>
    <w:rsid w:val="0030251D"/>
    <w:rsid w:val="0030286E"/>
    <w:rsid w:val="0030315B"/>
    <w:rsid w:val="0030327A"/>
    <w:rsid w:val="003039B0"/>
    <w:rsid w:val="00304F6C"/>
    <w:rsid w:val="00304FAD"/>
    <w:rsid w:val="00305964"/>
    <w:rsid w:val="00305B19"/>
    <w:rsid w:val="003069F5"/>
    <w:rsid w:val="00307650"/>
    <w:rsid w:val="00307CCC"/>
    <w:rsid w:val="00307ED1"/>
    <w:rsid w:val="00310305"/>
    <w:rsid w:val="003104DC"/>
    <w:rsid w:val="00310CDA"/>
    <w:rsid w:val="00310F58"/>
    <w:rsid w:val="00311705"/>
    <w:rsid w:val="003121C2"/>
    <w:rsid w:val="00312791"/>
    <w:rsid w:val="00312B50"/>
    <w:rsid w:val="00312C0C"/>
    <w:rsid w:val="0031337F"/>
    <w:rsid w:val="003134F0"/>
    <w:rsid w:val="00313957"/>
    <w:rsid w:val="00313AF8"/>
    <w:rsid w:val="00314331"/>
    <w:rsid w:val="00314CAC"/>
    <w:rsid w:val="003150CD"/>
    <w:rsid w:val="00315A70"/>
    <w:rsid w:val="003161D2"/>
    <w:rsid w:val="003164DE"/>
    <w:rsid w:val="003210B4"/>
    <w:rsid w:val="003216C7"/>
    <w:rsid w:val="00321948"/>
    <w:rsid w:val="00321D79"/>
    <w:rsid w:val="003226E8"/>
    <w:rsid w:val="0032322B"/>
    <w:rsid w:val="00323968"/>
    <w:rsid w:val="00324977"/>
    <w:rsid w:val="003263B7"/>
    <w:rsid w:val="003265A4"/>
    <w:rsid w:val="00326763"/>
    <w:rsid w:val="0032692D"/>
    <w:rsid w:val="0032768E"/>
    <w:rsid w:val="0033045D"/>
    <w:rsid w:val="003311CE"/>
    <w:rsid w:val="00331D74"/>
    <w:rsid w:val="00331E43"/>
    <w:rsid w:val="0033206B"/>
    <w:rsid w:val="003325BC"/>
    <w:rsid w:val="003331FA"/>
    <w:rsid w:val="00333DCE"/>
    <w:rsid w:val="00333EFD"/>
    <w:rsid w:val="00334E29"/>
    <w:rsid w:val="003354E5"/>
    <w:rsid w:val="003359F0"/>
    <w:rsid w:val="00335F8E"/>
    <w:rsid w:val="00337974"/>
    <w:rsid w:val="00337BEC"/>
    <w:rsid w:val="00337E9A"/>
    <w:rsid w:val="003382FA"/>
    <w:rsid w:val="00340FD3"/>
    <w:rsid w:val="00341350"/>
    <w:rsid w:val="003413E5"/>
    <w:rsid w:val="00341C24"/>
    <w:rsid w:val="00341F68"/>
    <w:rsid w:val="0034331A"/>
    <w:rsid w:val="00343AF8"/>
    <w:rsid w:val="00343B36"/>
    <w:rsid w:val="0034429D"/>
    <w:rsid w:val="003446CE"/>
    <w:rsid w:val="003448F4"/>
    <w:rsid w:val="0034494B"/>
    <w:rsid w:val="00344F36"/>
    <w:rsid w:val="00345226"/>
    <w:rsid w:val="003452A9"/>
    <w:rsid w:val="00345556"/>
    <w:rsid w:val="003455AA"/>
    <w:rsid w:val="003456F9"/>
    <w:rsid w:val="00345D93"/>
    <w:rsid w:val="003461BD"/>
    <w:rsid w:val="00346A48"/>
    <w:rsid w:val="003476ED"/>
    <w:rsid w:val="00347A57"/>
    <w:rsid w:val="00350420"/>
    <w:rsid w:val="00350E52"/>
    <w:rsid w:val="00350F6E"/>
    <w:rsid w:val="00351D0F"/>
    <w:rsid w:val="00351E71"/>
    <w:rsid w:val="0035209D"/>
    <w:rsid w:val="003524EC"/>
    <w:rsid w:val="0035259C"/>
    <w:rsid w:val="00352BC3"/>
    <w:rsid w:val="00353C85"/>
    <w:rsid w:val="00354DA7"/>
    <w:rsid w:val="00355485"/>
    <w:rsid w:val="00355AA8"/>
    <w:rsid w:val="00355D03"/>
    <w:rsid w:val="00355E48"/>
    <w:rsid w:val="00356650"/>
    <w:rsid w:val="003567FE"/>
    <w:rsid w:val="0035773F"/>
    <w:rsid w:val="003579CF"/>
    <w:rsid w:val="003605F8"/>
    <w:rsid w:val="00360881"/>
    <w:rsid w:val="0036159D"/>
    <w:rsid w:val="00361C21"/>
    <w:rsid w:val="003621B7"/>
    <w:rsid w:val="003622D6"/>
    <w:rsid w:val="00362D5E"/>
    <w:rsid w:val="0036349D"/>
    <w:rsid w:val="003641A7"/>
    <w:rsid w:val="0036425D"/>
    <w:rsid w:val="00364277"/>
    <w:rsid w:val="00364971"/>
    <w:rsid w:val="00364B35"/>
    <w:rsid w:val="00364EAA"/>
    <w:rsid w:val="0036527D"/>
    <w:rsid w:val="003657B8"/>
    <w:rsid w:val="00365C9A"/>
    <w:rsid w:val="0036636E"/>
    <w:rsid w:val="00366833"/>
    <w:rsid w:val="003671CE"/>
    <w:rsid w:val="00367D1E"/>
    <w:rsid w:val="00367F65"/>
    <w:rsid w:val="0037015E"/>
    <w:rsid w:val="003701F3"/>
    <w:rsid w:val="0037103E"/>
    <w:rsid w:val="003710C0"/>
    <w:rsid w:val="003710DF"/>
    <w:rsid w:val="003712F8"/>
    <w:rsid w:val="0037262E"/>
    <w:rsid w:val="00372BC0"/>
    <w:rsid w:val="00372E60"/>
    <w:rsid w:val="00372F96"/>
    <w:rsid w:val="003744F2"/>
    <w:rsid w:val="003744F3"/>
    <w:rsid w:val="00374AD9"/>
    <w:rsid w:val="00374FA6"/>
    <w:rsid w:val="00375472"/>
    <w:rsid w:val="0037687E"/>
    <w:rsid w:val="00376E83"/>
    <w:rsid w:val="00376F87"/>
    <w:rsid w:val="00377684"/>
    <w:rsid w:val="0037790C"/>
    <w:rsid w:val="00377AFC"/>
    <w:rsid w:val="003802EB"/>
    <w:rsid w:val="00380CBD"/>
    <w:rsid w:val="00381294"/>
    <w:rsid w:val="00381606"/>
    <w:rsid w:val="003819D9"/>
    <w:rsid w:val="00381F35"/>
    <w:rsid w:val="00381F75"/>
    <w:rsid w:val="00382113"/>
    <w:rsid w:val="0038241B"/>
    <w:rsid w:val="00382AAB"/>
    <w:rsid w:val="00382E33"/>
    <w:rsid w:val="00383417"/>
    <w:rsid w:val="00383780"/>
    <w:rsid w:val="00383B15"/>
    <w:rsid w:val="0038484B"/>
    <w:rsid w:val="00384A07"/>
    <w:rsid w:val="00384E12"/>
    <w:rsid w:val="003852C0"/>
    <w:rsid w:val="003857D3"/>
    <w:rsid w:val="00385B07"/>
    <w:rsid w:val="00386523"/>
    <w:rsid w:val="00386793"/>
    <w:rsid w:val="00386A39"/>
    <w:rsid w:val="00387949"/>
    <w:rsid w:val="00387B22"/>
    <w:rsid w:val="00387E2B"/>
    <w:rsid w:val="00387EFB"/>
    <w:rsid w:val="0039003A"/>
    <w:rsid w:val="00390177"/>
    <w:rsid w:val="00390ABB"/>
    <w:rsid w:val="00390E8F"/>
    <w:rsid w:val="00390F31"/>
    <w:rsid w:val="00391215"/>
    <w:rsid w:val="00391506"/>
    <w:rsid w:val="00391543"/>
    <w:rsid w:val="00391E93"/>
    <w:rsid w:val="00392308"/>
    <w:rsid w:val="0039478F"/>
    <w:rsid w:val="0039485E"/>
    <w:rsid w:val="00394FEF"/>
    <w:rsid w:val="00395DDF"/>
    <w:rsid w:val="003969A0"/>
    <w:rsid w:val="00397A33"/>
    <w:rsid w:val="00397DC7"/>
    <w:rsid w:val="003A0360"/>
    <w:rsid w:val="003A0882"/>
    <w:rsid w:val="003A08D1"/>
    <w:rsid w:val="003A0D2A"/>
    <w:rsid w:val="003A100F"/>
    <w:rsid w:val="003A1134"/>
    <w:rsid w:val="003A1607"/>
    <w:rsid w:val="003A1ACE"/>
    <w:rsid w:val="003A1B29"/>
    <w:rsid w:val="003A1F99"/>
    <w:rsid w:val="003A2812"/>
    <w:rsid w:val="003A2904"/>
    <w:rsid w:val="003A31AD"/>
    <w:rsid w:val="003A4B6B"/>
    <w:rsid w:val="003A4C19"/>
    <w:rsid w:val="003A65CC"/>
    <w:rsid w:val="003B0141"/>
    <w:rsid w:val="003B07A3"/>
    <w:rsid w:val="003B09E4"/>
    <w:rsid w:val="003B0DCB"/>
    <w:rsid w:val="003B1083"/>
    <w:rsid w:val="003B1B16"/>
    <w:rsid w:val="003B1B9D"/>
    <w:rsid w:val="003B1FFB"/>
    <w:rsid w:val="003B2139"/>
    <w:rsid w:val="003B2242"/>
    <w:rsid w:val="003B236D"/>
    <w:rsid w:val="003B2595"/>
    <w:rsid w:val="003B38AB"/>
    <w:rsid w:val="003B3A0D"/>
    <w:rsid w:val="003B47BB"/>
    <w:rsid w:val="003B4EDC"/>
    <w:rsid w:val="003B506A"/>
    <w:rsid w:val="003B5135"/>
    <w:rsid w:val="003B55C5"/>
    <w:rsid w:val="003B5790"/>
    <w:rsid w:val="003B5A3D"/>
    <w:rsid w:val="003B60C3"/>
    <w:rsid w:val="003B6C85"/>
    <w:rsid w:val="003B7874"/>
    <w:rsid w:val="003C011B"/>
    <w:rsid w:val="003C070A"/>
    <w:rsid w:val="003C0795"/>
    <w:rsid w:val="003C0D3C"/>
    <w:rsid w:val="003C10D2"/>
    <w:rsid w:val="003C11A9"/>
    <w:rsid w:val="003C15BF"/>
    <w:rsid w:val="003C1B38"/>
    <w:rsid w:val="003C2583"/>
    <w:rsid w:val="003C26DB"/>
    <w:rsid w:val="003C29B9"/>
    <w:rsid w:val="003C2F42"/>
    <w:rsid w:val="003C39D6"/>
    <w:rsid w:val="003C3C2E"/>
    <w:rsid w:val="003C3C9D"/>
    <w:rsid w:val="003C4130"/>
    <w:rsid w:val="003C4671"/>
    <w:rsid w:val="003C4A76"/>
    <w:rsid w:val="003C4B9D"/>
    <w:rsid w:val="003C4F13"/>
    <w:rsid w:val="003C4FED"/>
    <w:rsid w:val="003C5057"/>
    <w:rsid w:val="003C5F99"/>
    <w:rsid w:val="003C66B1"/>
    <w:rsid w:val="003C680C"/>
    <w:rsid w:val="003C6C23"/>
    <w:rsid w:val="003C7993"/>
    <w:rsid w:val="003C7AE9"/>
    <w:rsid w:val="003D0397"/>
    <w:rsid w:val="003D0A19"/>
    <w:rsid w:val="003D0A71"/>
    <w:rsid w:val="003D0A78"/>
    <w:rsid w:val="003D1649"/>
    <w:rsid w:val="003D167D"/>
    <w:rsid w:val="003D2309"/>
    <w:rsid w:val="003D2A8A"/>
    <w:rsid w:val="003D44C6"/>
    <w:rsid w:val="003D4507"/>
    <w:rsid w:val="003D4FEE"/>
    <w:rsid w:val="003D53DA"/>
    <w:rsid w:val="003D6055"/>
    <w:rsid w:val="003D68F2"/>
    <w:rsid w:val="003D6BDB"/>
    <w:rsid w:val="003D6C5C"/>
    <w:rsid w:val="003D763E"/>
    <w:rsid w:val="003E02BE"/>
    <w:rsid w:val="003E0345"/>
    <w:rsid w:val="003E0B5E"/>
    <w:rsid w:val="003E0C74"/>
    <w:rsid w:val="003E10FF"/>
    <w:rsid w:val="003E1965"/>
    <w:rsid w:val="003E1A99"/>
    <w:rsid w:val="003E1AA8"/>
    <w:rsid w:val="003E2E56"/>
    <w:rsid w:val="003E2EF2"/>
    <w:rsid w:val="003E42A8"/>
    <w:rsid w:val="003E42A9"/>
    <w:rsid w:val="003E499A"/>
    <w:rsid w:val="003E4AE0"/>
    <w:rsid w:val="003E4F6F"/>
    <w:rsid w:val="003E57B0"/>
    <w:rsid w:val="003E57BE"/>
    <w:rsid w:val="003E5990"/>
    <w:rsid w:val="003E5B99"/>
    <w:rsid w:val="003E7147"/>
    <w:rsid w:val="003E7959"/>
    <w:rsid w:val="003E7C1A"/>
    <w:rsid w:val="003F0D2E"/>
    <w:rsid w:val="003F0D57"/>
    <w:rsid w:val="003F1B43"/>
    <w:rsid w:val="003F1BCF"/>
    <w:rsid w:val="003F1D98"/>
    <w:rsid w:val="003F2029"/>
    <w:rsid w:val="003F2088"/>
    <w:rsid w:val="003F2554"/>
    <w:rsid w:val="003F26F9"/>
    <w:rsid w:val="003F2B60"/>
    <w:rsid w:val="003F3C9E"/>
    <w:rsid w:val="003F3D31"/>
    <w:rsid w:val="003F3E76"/>
    <w:rsid w:val="003F3EFA"/>
    <w:rsid w:val="003F4332"/>
    <w:rsid w:val="003F477F"/>
    <w:rsid w:val="003F4D88"/>
    <w:rsid w:val="003F4F12"/>
    <w:rsid w:val="003F5F38"/>
    <w:rsid w:val="003F69C6"/>
    <w:rsid w:val="003F7172"/>
    <w:rsid w:val="003F71B7"/>
    <w:rsid w:val="003F7FF5"/>
    <w:rsid w:val="0040061F"/>
    <w:rsid w:val="00400679"/>
    <w:rsid w:val="00400A45"/>
    <w:rsid w:val="0040285A"/>
    <w:rsid w:val="00402B52"/>
    <w:rsid w:val="004032B5"/>
    <w:rsid w:val="0040342D"/>
    <w:rsid w:val="00403B18"/>
    <w:rsid w:val="00403B70"/>
    <w:rsid w:val="004049F5"/>
    <w:rsid w:val="00404AE9"/>
    <w:rsid w:val="00404C4C"/>
    <w:rsid w:val="00404D9A"/>
    <w:rsid w:val="00405742"/>
    <w:rsid w:val="004061C7"/>
    <w:rsid w:val="004066EC"/>
    <w:rsid w:val="004071FC"/>
    <w:rsid w:val="004100DD"/>
    <w:rsid w:val="0041019B"/>
    <w:rsid w:val="00410503"/>
    <w:rsid w:val="004108B7"/>
    <w:rsid w:val="00411E80"/>
    <w:rsid w:val="0041201D"/>
    <w:rsid w:val="0041219F"/>
    <w:rsid w:val="00413468"/>
    <w:rsid w:val="00413A9E"/>
    <w:rsid w:val="00414C45"/>
    <w:rsid w:val="00414E1E"/>
    <w:rsid w:val="004151C4"/>
    <w:rsid w:val="0041568E"/>
    <w:rsid w:val="004156A1"/>
    <w:rsid w:val="0041592B"/>
    <w:rsid w:val="00415A31"/>
    <w:rsid w:val="00416902"/>
    <w:rsid w:val="004173D1"/>
    <w:rsid w:val="004176BB"/>
    <w:rsid w:val="00420AB9"/>
    <w:rsid w:val="004213F4"/>
    <w:rsid w:val="00421A08"/>
    <w:rsid w:val="00421DAC"/>
    <w:rsid w:val="0042250A"/>
    <w:rsid w:val="004227A8"/>
    <w:rsid w:val="00422F22"/>
    <w:rsid w:val="00423669"/>
    <w:rsid w:val="0042366C"/>
    <w:rsid w:val="00423C7F"/>
    <w:rsid w:val="004241BE"/>
    <w:rsid w:val="004242E9"/>
    <w:rsid w:val="004249B4"/>
    <w:rsid w:val="004255BD"/>
    <w:rsid w:val="00425A75"/>
    <w:rsid w:val="00426402"/>
    <w:rsid w:val="00426582"/>
    <w:rsid w:val="0042780F"/>
    <w:rsid w:val="00427CD1"/>
    <w:rsid w:val="004306A7"/>
    <w:rsid w:val="004306E4"/>
    <w:rsid w:val="004308A4"/>
    <w:rsid w:val="00430BE3"/>
    <w:rsid w:val="00430CA7"/>
    <w:rsid w:val="00432521"/>
    <w:rsid w:val="004339DF"/>
    <w:rsid w:val="00433A3D"/>
    <w:rsid w:val="00433D47"/>
    <w:rsid w:val="00433E88"/>
    <w:rsid w:val="0043531B"/>
    <w:rsid w:val="00435778"/>
    <w:rsid w:val="004365CA"/>
    <w:rsid w:val="00436B80"/>
    <w:rsid w:val="004370C2"/>
    <w:rsid w:val="00437A7F"/>
    <w:rsid w:val="00437CE7"/>
    <w:rsid w:val="00441327"/>
    <w:rsid w:val="004415BD"/>
    <w:rsid w:val="00441C58"/>
    <w:rsid w:val="00441E5C"/>
    <w:rsid w:val="00441F50"/>
    <w:rsid w:val="004425F7"/>
    <w:rsid w:val="004430FC"/>
    <w:rsid w:val="0044339B"/>
    <w:rsid w:val="004433B3"/>
    <w:rsid w:val="004443DE"/>
    <w:rsid w:val="00446C58"/>
    <w:rsid w:val="00446D19"/>
    <w:rsid w:val="00447388"/>
    <w:rsid w:val="0044757B"/>
    <w:rsid w:val="00447FCF"/>
    <w:rsid w:val="004507E6"/>
    <w:rsid w:val="00451569"/>
    <w:rsid w:val="004521E6"/>
    <w:rsid w:val="004521EA"/>
    <w:rsid w:val="004528DA"/>
    <w:rsid w:val="004529F0"/>
    <w:rsid w:val="00452F8E"/>
    <w:rsid w:val="004537BD"/>
    <w:rsid w:val="004540C3"/>
    <w:rsid w:val="00454912"/>
    <w:rsid w:val="00455015"/>
    <w:rsid w:val="00455A21"/>
    <w:rsid w:val="00455FD6"/>
    <w:rsid w:val="0045653A"/>
    <w:rsid w:val="00456A25"/>
    <w:rsid w:val="00456E92"/>
    <w:rsid w:val="004577FB"/>
    <w:rsid w:val="004604D1"/>
    <w:rsid w:val="0046112A"/>
    <w:rsid w:val="004614E9"/>
    <w:rsid w:val="00462164"/>
    <w:rsid w:val="00462608"/>
    <w:rsid w:val="00462B11"/>
    <w:rsid w:val="00464BFE"/>
    <w:rsid w:val="00466B0C"/>
    <w:rsid w:val="00466BBE"/>
    <w:rsid w:val="00466C3A"/>
    <w:rsid w:val="004674C0"/>
    <w:rsid w:val="004675B6"/>
    <w:rsid w:val="00467682"/>
    <w:rsid w:val="00467697"/>
    <w:rsid w:val="0047013D"/>
    <w:rsid w:val="00470ECF"/>
    <w:rsid w:val="00471466"/>
    <w:rsid w:val="004723D8"/>
    <w:rsid w:val="004737C0"/>
    <w:rsid w:val="00473FAF"/>
    <w:rsid w:val="004741F9"/>
    <w:rsid w:val="00474781"/>
    <w:rsid w:val="00475E9C"/>
    <w:rsid w:val="00476E1F"/>
    <w:rsid w:val="00476EFE"/>
    <w:rsid w:val="00477520"/>
    <w:rsid w:val="00477615"/>
    <w:rsid w:val="00477EA2"/>
    <w:rsid w:val="0048077A"/>
    <w:rsid w:val="0048153D"/>
    <w:rsid w:val="004819C5"/>
    <w:rsid w:val="00481BC3"/>
    <w:rsid w:val="00481D2A"/>
    <w:rsid w:val="004823C2"/>
    <w:rsid w:val="00482A59"/>
    <w:rsid w:val="0048306C"/>
    <w:rsid w:val="00483241"/>
    <w:rsid w:val="004835C0"/>
    <w:rsid w:val="00483A39"/>
    <w:rsid w:val="00484273"/>
    <w:rsid w:val="00484514"/>
    <w:rsid w:val="004850A0"/>
    <w:rsid w:val="00485BC8"/>
    <w:rsid w:val="00486B92"/>
    <w:rsid w:val="004871A4"/>
    <w:rsid w:val="00487FD6"/>
    <w:rsid w:val="00490483"/>
    <w:rsid w:val="00491535"/>
    <w:rsid w:val="004918A6"/>
    <w:rsid w:val="00491A5F"/>
    <w:rsid w:val="00492C8A"/>
    <w:rsid w:val="00492CAA"/>
    <w:rsid w:val="0049319C"/>
    <w:rsid w:val="00493522"/>
    <w:rsid w:val="00493DA2"/>
    <w:rsid w:val="0049451C"/>
    <w:rsid w:val="0049479E"/>
    <w:rsid w:val="0049586E"/>
    <w:rsid w:val="00495E18"/>
    <w:rsid w:val="004962D0"/>
    <w:rsid w:val="004963D4"/>
    <w:rsid w:val="00496921"/>
    <w:rsid w:val="00496B02"/>
    <w:rsid w:val="00496D4E"/>
    <w:rsid w:val="00497621"/>
    <w:rsid w:val="004979DE"/>
    <w:rsid w:val="00497AA6"/>
    <w:rsid w:val="00497FAF"/>
    <w:rsid w:val="004A0530"/>
    <w:rsid w:val="004A0DC2"/>
    <w:rsid w:val="004A0E29"/>
    <w:rsid w:val="004A0F21"/>
    <w:rsid w:val="004A1264"/>
    <w:rsid w:val="004A2EB3"/>
    <w:rsid w:val="004A2EE5"/>
    <w:rsid w:val="004A35AA"/>
    <w:rsid w:val="004A3885"/>
    <w:rsid w:val="004A3CA5"/>
    <w:rsid w:val="004A3EED"/>
    <w:rsid w:val="004A50EA"/>
    <w:rsid w:val="004A5347"/>
    <w:rsid w:val="004A5A97"/>
    <w:rsid w:val="004A5D27"/>
    <w:rsid w:val="004A5EF1"/>
    <w:rsid w:val="004A614E"/>
    <w:rsid w:val="004A6DFA"/>
    <w:rsid w:val="004A74D7"/>
    <w:rsid w:val="004A795F"/>
    <w:rsid w:val="004B027A"/>
    <w:rsid w:val="004B0808"/>
    <w:rsid w:val="004B1E86"/>
    <w:rsid w:val="004B2157"/>
    <w:rsid w:val="004B2C0D"/>
    <w:rsid w:val="004B43D2"/>
    <w:rsid w:val="004B44FA"/>
    <w:rsid w:val="004B4DBE"/>
    <w:rsid w:val="004B4FC2"/>
    <w:rsid w:val="004B5025"/>
    <w:rsid w:val="004B52A2"/>
    <w:rsid w:val="004B58BE"/>
    <w:rsid w:val="004B5A1A"/>
    <w:rsid w:val="004B5E13"/>
    <w:rsid w:val="004B69A3"/>
    <w:rsid w:val="004B71B6"/>
    <w:rsid w:val="004B745B"/>
    <w:rsid w:val="004C030D"/>
    <w:rsid w:val="004C0A91"/>
    <w:rsid w:val="004C0BF2"/>
    <w:rsid w:val="004C0F00"/>
    <w:rsid w:val="004C1CA8"/>
    <w:rsid w:val="004C20A3"/>
    <w:rsid w:val="004C308D"/>
    <w:rsid w:val="004C31E1"/>
    <w:rsid w:val="004C3517"/>
    <w:rsid w:val="004C4A1A"/>
    <w:rsid w:val="004C4B91"/>
    <w:rsid w:val="004C4E39"/>
    <w:rsid w:val="004C5907"/>
    <w:rsid w:val="004C67E8"/>
    <w:rsid w:val="004C6EFF"/>
    <w:rsid w:val="004C700F"/>
    <w:rsid w:val="004C728D"/>
    <w:rsid w:val="004C7AF7"/>
    <w:rsid w:val="004CC24A"/>
    <w:rsid w:val="004D01BB"/>
    <w:rsid w:val="004D075C"/>
    <w:rsid w:val="004D28A8"/>
    <w:rsid w:val="004D337E"/>
    <w:rsid w:val="004D37CC"/>
    <w:rsid w:val="004D3BFD"/>
    <w:rsid w:val="004D3F8C"/>
    <w:rsid w:val="004D444E"/>
    <w:rsid w:val="004D5BB6"/>
    <w:rsid w:val="004D5CA8"/>
    <w:rsid w:val="004D73B2"/>
    <w:rsid w:val="004D76BB"/>
    <w:rsid w:val="004E04CB"/>
    <w:rsid w:val="004E06E4"/>
    <w:rsid w:val="004E0DEA"/>
    <w:rsid w:val="004E0DFD"/>
    <w:rsid w:val="004E2436"/>
    <w:rsid w:val="004E24D3"/>
    <w:rsid w:val="004E2ADF"/>
    <w:rsid w:val="004E3429"/>
    <w:rsid w:val="004E35C4"/>
    <w:rsid w:val="004E3A2D"/>
    <w:rsid w:val="004E3ABA"/>
    <w:rsid w:val="004E3ADD"/>
    <w:rsid w:val="004E4BA0"/>
    <w:rsid w:val="004E5247"/>
    <w:rsid w:val="004E5881"/>
    <w:rsid w:val="004E5D2F"/>
    <w:rsid w:val="004E6B37"/>
    <w:rsid w:val="004E7BB0"/>
    <w:rsid w:val="004E7D4D"/>
    <w:rsid w:val="004F0F55"/>
    <w:rsid w:val="004F0FC8"/>
    <w:rsid w:val="004F1C12"/>
    <w:rsid w:val="004F1D4A"/>
    <w:rsid w:val="004F203A"/>
    <w:rsid w:val="004F21AE"/>
    <w:rsid w:val="004F2B61"/>
    <w:rsid w:val="004F2B6F"/>
    <w:rsid w:val="004F2DA4"/>
    <w:rsid w:val="004F2FA2"/>
    <w:rsid w:val="004F2FA6"/>
    <w:rsid w:val="004F30F6"/>
    <w:rsid w:val="004F34A5"/>
    <w:rsid w:val="004F3BAE"/>
    <w:rsid w:val="004F3FEA"/>
    <w:rsid w:val="004F47C0"/>
    <w:rsid w:val="004F55AC"/>
    <w:rsid w:val="004F59DB"/>
    <w:rsid w:val="004F6ECE"/>
    <w:rsid w:val="004F6EE7"/>
    <w:rsid w:val="004F7C8F"/>
    <w:rsid w:val="004F7DAA"/>
    <w:rsid w:val="004F7F27"/>
    <w:rsid w:val="0050033B"/>
    <w:rsid w:val="00501202"/>
    <w:rsid w:val="0050129E"/>
    <w:rsid w:val="005017A2"/>
    <w:rsid w:val="00501CD4"/>
    <w:rsid w:val="00502118"/>
    <w:rsid w:val="0050217D"/>
    <w:rsid w:val="005021D8"/>
    <w:rsid w:val="0050394E"/>
    <w:rsid w:val="00503E27"/>
    <w:rsid w:val="00504012"/>
    <w:rsid w:val="005047D8"/>
    <w:rsid w:val="00504F0B"/>
    <w:rsid w:val="00505584"/>
    <w:rsid w:val="005062CB"/>
    <w:rsid w:val="00506997"/>
    <w:rsid w:val="00507FEA"/>
    <w:rsid w:val="005106F6"/>
    <w:rsid w:val="00510EB4"/>
    <w:rsid w:val="0051107A"/>
    <w:rsid w:val="00511125"/>
    <w:rsid w:val="00512065"/>
    <w:rsid w:val="0051269B"/>
    <w:rsid w:val="00512745"/>
    <w:rsid w:val="0051288A"/>
    <w:rsid w:val="005144A6"/>
    <w:rsid w:val="00514AD4"/>
    <w:rsid w:val="00514CB3"/>
    <w:rsid w:val="00514FAE"/>
    <w:rsid w:val="00515152"/>
    <w:rsid w:val="005157D1"/>
    <w:rsid w:val="005159F5"/>
    <w:rsid w:val="00516B91"/>
    <w:rsid w:val="005172BF"/>
    <w:rsid w:val="005173BB"/>
    <w:rsid w:val="005176AE"/>
    <w:rsid w:val="0051A3C9"/>
    <w:rsid w:val="00520642"/>
    <w:rsid w:val="005211D8"/>
    <w:rsid w:val="005217CF"/>
    <w:rsid w:val="005220C7"/>
    <w:rsid w:val="00522138"/>
    <w:rsid w:val="0052282C"/>
    <w:rsid w:val="00522B11"/>
    <w:rsid w:val="00522C4B"/>
    <w:rsid w:val="00523B00"/>
    <w:rsid w:val="00523B43"/>
    <w:rsid w:val="005243CC"/>
    <w:rsid w:val="005244D4"/>
    <w:rsid w:val="00524862"/>
    <w:rsid w:val="00524BDD"/>
    <w:rsid w:val="00525A75"/>
    <w:rsid w:val="00526071"/>
    <w:rsid w:val="005262A5"/>
    <w:rsid w:val="00526734"/>
    <w:rsid w:val="00530482"/>
    <w:rsid w:val="0053159A"/>
    <w:rsid w:val="00531A9D"/>
    <w:rsid w:val="00531D2A"/>
    <w:rsid w:val="00531F8C"/>
    <w:rsid w:val="005320FE"/>
    <w:rsid w:val="00532B41"/>
    <w:rsid w:val="00533332"/>
    <w:rsid w:val="005335C1"/>
    <w:rsid w:val="005338C6"/>
    <w:rsid w:val="00533D98"/>
    <w:rsid w:val="005345D4"/>
    <w:rsid w:val="0053479D"/>
    <w:rsid w:val="00534948"/>
    <w:rsid w:val="00534E46"/>
    <w:rsid w:val="00535562"/>
    <w:rsid w:val="005356CA"/>
    <w:rsid w:val="005358DF"/>
    <w:rsid w:val="00535B15"/>
    <w:rsid w:val="00535D36"/>
    <w:rsid w:val="00536506"/>
    <w:rsid w:val="0053661F"/>
    <w:rsid w:val="005367FA"/>
    <w:rsid w:val="00536CAE"/>
    <w:rsid w:val="00537CE2"/>
    <w:rsid w:val="00540BBE"/>
    <w:rsid w:val="00540D5E"/>
    <w:rsid w:val="00540FAC"/>
    <w:rsid w:val="005419D4"/>
    <w:rsid w:val="00541DB4"/>
    <w:rsid w:val="005424EF"/>
    <w:rsid w:val="0054278F"/>
    <w:rsid w:val="00542B54"/>
    <w:rsid w:val="00543547"/>
    <w:rsid w:val="00543F74"/>
    <w:rsid w:val="0054403B"/>
    <w:rsid w:val="00544248"/>
    <w:rsid w:val="0054525B"/>
    <w:rsid w:val="00545AF9"/>
    <w:rsid w:val="00546790"/>
    <w:rsid w:val="00546978"/>
    <w:rsid w:val="005470D3"/>
    <w:rsid w:val="00547BD2"/>
    <w:rsid w:val="00550BA2"/>
    <w:rsid w:val="00551343"/>
    <w:rsid w:val="005520A7"/>
    <w:rsid w:val="005520C3"/>
    <w:rsid w:val="00552BBC"/>
    <w:rsid w:val="00553435"/>
    <w:rsid w:val="0055381E"/>
    <w:rsid w:val="00554373"/>
    <w:rsid w:val="00556848"/>
    <w:rsid w:val="00556D19"/>
    <w:rsid w:val="005574B6"/>
    <w:rsid w:val="005577B4"/>
    <w:rsid w:val="00557F7A"/>
    <w:rsid w:val="00560D15"/>
    <w:rsid w:val="00561178"/>
    <w:rsid w:val="0056171A"/>
    <w:rsid w:val="005629E4"/>
    <w:rsid w:val="00562DE9"/>
    <w:rsid w:val="00562FAD"/>
    <w:rsid w:val="005632C1"/>
    <w:rsid w:val="00563E1D"/>
    <w:rsid w:val="005655A8"/>
    <w:rsid w:val="005657FC"/>
    <w:rsid w:val="005658F0"/>
    <w:rsid w:val="00565C84"/>
    <w:rsid w:val="00565D69"/>
    <w:rsid w:val="0056644D"/>
    <w:rsid w:val="0056658A"/>
    <w:rsid w:val="00566813"/>
    <w:rsid w:val="00566F9B"/>
    <w:rsid w:val="005700CF"/>
    <w:rsid w:val="005717CC"/>
    <w:rsid w:val="005725B1"/>
    <w:rsid w:val="00573282"/>
    <w:rsid w:val="005734B7"/>
    <w:rsid w:val="00573678"/>
    <w:rsid w:val="0057387B"/>
    <w:rsid w:val="0057458F"/>
    <w:rsid w:val="00575D23"/>
    <w:rsid w:val="00576302"/>
    <w:rsid w:val="005766CD"/>
    <w:rsid w:val="0057691E"/>
    <w:rsid w:val="00576E19"/>
    <w:rsid w:val="00576EE0"/>
    <w:rsid w:val="0057792B"/>
    <w:rsid w:val="00577A7F"/>
    <w:rsid w:val="00577B49"/>
    <w:rsid w:val="00580018"/>
    <w:rsid w:val="00580717"/>
    <w:rsid w:val="00580E47"/>
    <w:rsid w:val="00580F41"/>
    <w:rsid w:val="0058107B"/>
    <w:rsid w:val="005810E3"/>
    <w:rsid w:val="00581BE8"/>
    <w:rsid w:val="00581E52"/>
    <w:rsid w:val="00583217"/>
    <w:rsid w:val="0058482C"/>
    <w:rsid w:val="0058527D"/>
    <w:rsid w:val="00585AA6"/>
    <w:rsid w:val="00585E79"/>
    <w:rsid w:val="005861D9"/>
    <w:rsid w:val="005867AE"/>
    <w:rsid w:val="00586B15"/>
    <w:rsid w:val="00587EFC"/>
    <w:rsid w:val="005917AB"/>
    <w:rsid w:val="00591A15"/>
    <w:rsid w:val="0059263E"/>
    <w:rsid w:val="0059272E"/>
    <w:rsid w:val="00592BF9"/>
    <w:rsid w:val="005930B2"/>
    <w:rsid w:val="0059346B"/>
    <w:rsid w:val="0059368B"/>
    <w:rsid w:val="00594998"/>
    <w:rsid w:val="005955C6"/>
    <w:rsid w:val="00596126"/>
    <w:rsid w:val="005962E1"/>
    <w:rsid w:val="00596826"/>
    <w:rsid w:val="00596942"/>
    <w:rsid w:val="00597139"/>
    <w:rsid w:val="00597C80"/>
    <w:rsid w:val="005A0225"/>
    <w:rsid w:val="005A139F"/>
    <w:rsid w:val="005A162D"/>
    <w:rsid w:val="005A1B3E"/>
    <w:rsid w:val="005A1D0D"/>
    <w:rsid w:val="005A273C"/>
    <w:rsid w:val="005A2A61"/>
    <w:rsid w:val="005A2D4E"/>
    <w:rsid w:val="005A2DA5"/>
    <w:rsid w:val="005A336F"/>
    <w:rsid w:val="005A3F88"/>
    <w:rsid w:val="005A43B2"/>
    <w:rsid w:val="005A43FE"/>
    <w:rsid w:val="005A5824"/>
    <w:rsid w:val="005A64E2"/>
    <w:rsid w:val="005A6766"/>
    <w:rsid w:val="005A6BDD"/>
    <w:rsid w:val="005A74A3"/>
    <w:rsid w:val="005A7861"/>
    <w:rsid w:val="005B0422"/>
    <w:rsid w:val="005B0ACA"/>
    <w:rsid w:val="005B14E5"/>
    <w:rsid w:val="005B1DB6"/>
    <w:rsid w:val="005B2000"/>
    <w:rsid w:val="005B20F3"/>
    <w:rsid w:val="005B2CA8"/>
    <w:rsid w:val="005B3CD6"/>
    <w:rsid w:val="005B4170"/>
    <w:rsid w:val="005B547E"/>
    <w:rsid w:val="005B6513"/>
    <w:rsid w:val="005B7525"/>
    <w:rsid w:val="005C0037"/>
    <w:rsid w:val="005C0C7A"/>
    <w:rsid w:val="005C106E"/>
    <w:rsid w:val="005C176E"/>
    <w:rsid w:val="005C1F0D"/>
    <w:rsid w:val="005C1FF8"/>
    <w:rsid w:val="005C2516"/>
    <w:rsid w:val="005C261D"/>
    <w:rsid w:val="005C3173"/>
    <w:rsid w:val="005C38E1"/>
    <w:rsid w:val="005C40AD"/>
    <w:rsid w:val="005C483D"/>
    <w:rsid w:val="005C53FA"/>
    <w:rsid w:val="005C5EF8"/>
    <w:rsid w:val="005C69E9"/>
    <w:rsid w:val="005C7D26"/>
    <w:rsid w:val="005C7E89"/>
    <w:rsid w:val="005D0BDC"/>
    <w:rsid w:val="005D1447"/>
    <w:rsid w:val="005D2446"/>
    <w:rsid w:val="005D374E"/>
    <w:rsid w:val="005D3847"/>
    <w:rsid w:val="005D43CE"/>
    <w:rsid w:val="005D46DC"/>
    <w:rsid w:val="005D6ADD"/>
    <w:rsid w:val="005D7563"/>
    <w:rsid w:val="005D7B60"/>
    <w:rsid w:val="005E006F"/>
    <w:rsid w:val="005E010E"/>
    <w:rsid w:val="005E0DEB"/>
    <w:rsid w:val="005E10C1"/>
    <w:rsid w:val="005E15C0"/>
    <w:rsid w:val="005E19D1"/>
    <w:rsid w:val="005E1A5F"/>
    <w:rsid w:val="005E1A80"/>
    <w:rsid w:val="005E2A74"/>
    <w:rsid w:val="005E38C5"/>
    <w:rsid w:val="005E3E40"/>
    <w:rsid w:val="005E3F31"/>
    <w:rsid w:val="005E4572"/>
    <w:rsid w:val="005E4910"/>
    <w:rsid w:val="005E4CA8"/>
    <w:rsid w:val="005E4E97"/>
    <w:rsid w:val="005E5206"/>
    <w:rsid w:val="005E56F9"/>
    <w:rsid w:val="005E5D25"/>
    <w:rsid w:val="005E63B0"/>
    <w:rsid w:val="005E6625"/>
    <w:rsid w:val="005E6F09"/>
    <w:rsid w:val="005E7143"/>
    <w:rsid w:val="005E7506"/>
    <w:rsid w:val="005E7775"/>
    <w:rsid w:val="005E7DD1"/>
    <w:rsid w:val="005F0E22"/>
    <w:rsid w:val="005F111A"/>
    <w:rsid w:val="005F1223"/>
    <w:rsid w:val="005F227D"/>
    <w:rsid w:val="005F3423"/>
    <w:rsid w:val="005F3891"/>
    <w:rsid w:val="005F3D5E"/>
    <w:rsid w:val="005F48E5"/>
    <w:rsid w:val="005F52A1"/>
    <w:rsid w:val="005F5656"/>
    <w:rsid w:val="005F59CF"/>
    <w:rsid w:val="005F6656"/>
    <w:rsid w:val="005F6962"/>
    <w:rsid w:val="005F71BA"/>
    <w:rsid w:val="005F71C7"/>
    <w:rsid w:val="005F7417"/>
    <w:rsid w:val="005F74F5"/>
    <w:rsid w:val="005F781D"/>
    <w:rsid w:val="00600530"/>
    <w:rsid w:val="00601D24"/>
    <w:rsid w:val="006021A9"/>
    <w:rsid w:val="006024DE"/>
    <w:rsid w:val="00602C35"/>
    <w:rsid w:val="00602F12"/>
    <w:rsid w:val="0060443A"/>
    <w:rsid w:val="006045D3"/>
    <w:rsid w:val="00604A9D"/>
    <w:rsid w:val="00605A6B"/>
    <w:rsid w:val="00606368"/>
    <w:rsid w:val="00606403"/>
    <w:rsid w:val="00607544"/>
    <w:rsid w:val="006076DF"/>
    <w:rsid w:val="00607DE2"/>
    <w:rsid w:val="006102C9"/>
    <w:rsid w:val="0061099B"/>
    <w:rsid w:val="00610B70"/>
    <w:rsid w:val="00611083"/>
    <w:rsid w:val="00611652"/>
    <w:rsid w:val="00611AB0"/>
    <w:rsid w:val="00611E05"/>
    <w:rsid w:val="006120A7"/>
    <w:rsid w:val="00613578"/>
    <w:rsid w:val="00613977"/>
    <w:rsid w:val="0061444D"/>
    <w:rsid w:val="00614738"/>
    <w:rsid w:val="00615624"/>
    <w:rsid w:val="00615D5C"/>
    <w:rsid w:val="00616BE0"/>
    <w:rsid w:val="00616D12"/>
    <w:rsid w:val="00617464"/>
    <w:rsid w:val="00617A27"/>
    <w:rsid w:val="00617BDD"/>
    <w:rsid w:val="0062064B"/>
    <w:rsid w:val="006206F6"/>
    <w:rsid w:val="00620B7F"/>
    <w:rsid w:val="00621C67"/>
    <w:rsid w:val="00621DEF"/>
    <w:rsid w:val="00622349"/>
    <w:rsid w:val="0062249F"/>
    <w:rsid w:val="00622688"/>
    <w:rsid w:val="00622703"/>
    <w:rsid w:val="0062285B"/>
    <w:rsid w:val="00622A42"/>
    <w:rsid w:val="00622A5A"/>
    <w:rsid w:val="0062321A"/>
    <w:rsid w:val="0062328E"/>
    <w:rsid w:val="00623496"/>
    <w:rsid w:val="00623B95"/>
    <w:rsid w:val="00624B59"/>
    <w:rsid w:val="0062514B"/>
    <w:rsid w:val="00626198"/>
    <w:rsid w:val="00626AF3"/>
    <w:rsid w:val="00626C7D"/>
    <w:rsid w:val="006270C2"/>
    <w:rsid w:val="00627331"/>
    <w:rsid w:val="00627E2E"/>
    <w:rsid w:val="006306BB"/>
    <w:rsid w:val="00630AC3"/>
    <w:rsid w:val="00631367"/>
    <w:rsid w:val="006319A5"/>
    <w:rsid w:val="00631CBE"/>
    <w:rsid w:val="006326F9"/>
    <w:rsid w:val="0063292C"/>
    <w:rsid w:val="0063351C"/>
    <w:rsid w:val="0063364B"/>
    <w:rsid w:val="00633DD3"/>
    <w:rsid w:val="00633F79"/>
    <w:rsid w:val="0063521A"/>
    <w:rsid w:val="006354F0"/>
    <w:rsid w:val="006356D6"/>
    <w:rsid w:val="00635C02"/>
    <w:rsid w:val="00636185"/>
    <w:rsid w:val="00637342"/>
    <w:rsid w:val="006373A3"/>
    <w:rsid w:val="00640092"/>
    <w:rsid w:val="006401D7"/>
    <w:rsid w:val="006401EC"/>
    <w:rsid w:val="00640561"/>
    <w:rsid w:val="00640819"/>
    <w:rsid w:val="00640ACF"/>
    <w:rsid w:val="00640C0E"/>
    <w:rsid w:val="00640DA8"/>
    <w:rsid w:val="00641044"/>
    <w:rsid w:val="00641892"/>
    <w:rsid w:val="00642468"/>
    <w:rsid w:val="00643334"/>
    <w:rsid w:val="0064334E"/>
    <w:rsid w:val="00643AE9"/>
    <w:rsid w:val="0064426D"/>
    <w:rsid w:val="00644BB1"/>
    <w:rsid w:val="00645AA8"/>
    <w:rsid w:val="0064605C"/>
    <w:rsid w:val="00646A7A"/>
    <w:rsid w:val="00647E66"/>
    <w:rsid w:val="006504CD"/>
    <w:rsid w:val="006509DD"/>
    <w:rsid w:val="006509EA"/>
    <w:rsid w:val="00650B7C"/>
    <w:rsid w:val="00650E50"/>
    <w:rsid w:val="00651566"/>
    <w:rsid w:val="00651D30"/>
    <w:rsid w:val="00651F5B"/>
    <w:rsid w:val="0065236D"/>
    <w:rsid w:val="006527A2"/>
    <w:rsid w:val="006528E3"/>
    <w:rsid w:val="00653315"/>
    <w:rsid w:val="0065336A"/>
    <w:rsid w:val="006537A3"/>
    <w:rsid w:val="00653DDE"/>
    <w:rsid w:val="006552A4"/>
    <w:rsid w:val="00655334"/>
    <w:rsid w:val="006554E5"/>
    <w:rsid w:val="00655683"/>
    <w:rsid w:val="00656558"/>
    <w:rsid w:val="006574E3"/>
    <w:rsid w:val="00657C56"/>
    <w:rsid w:val="00660D84"/>
    <w:rsid w:val="006612B5"/>
    <w:rsid w:val="0066211C"/>
    <w:rsid w:val="006625BF"/>
    <w:rsid w:val="0066260F"/>
    <w:rsid w:val="00662673"/>
    <w:rsid w:val="00662A51"/>
    <w:rsid w:val="00662B3C"/>
    <w:rsid w:val="00662F63"/>
    <w:rsid w:val="0066304A"/>
    <w:rsid w:val="00663133"/>
    <w:rsid w:val="00663AB3"/>
    <w:rsid w:val="00663CD9"/>
    <w:rsid w:val="0066408A"/>
    <w:rsid w:val="00664B1F"/>
    <w:rsid w:val="0066506E"/>
    <w:rsid w:val="006653B0"/>
    <w:rsid w:val="00665570"/>
    <w:rsid w:val="006662D4"/>
    <w:rsid w:val="00666484"/>
    <w:rsid w:val="006668FC"/>
    <w:rsid w:val="00666DBD"/>
    <w:rsid w:val="00671C20"/>
    <w:rsid w:val="00671E93"/>
    <w:rsid w:val="00672C16"/>
    <w:rsid w:val="006737C3"/>
    <w:rsid w:val="00673FB6"/>
    <w:rsid w:val="006747C2"/>
    <w:rsid w:val="00674E53"/>
    <w:rsid w:val="00675240"/>
    <w:rsid w:val="00675471"/>
    <w:rsid w:val="00675680"/>
    <w:rsid w:val="00675841"/>
    <w:rsid w:val="00675FE0"/>
    <w:rsid w:val="00676278"/>
    <w:rsid w:val="00676D3E"/>
    <w:rsid w:val="0067725F"/>
    <w:rsid w:val="00677333"/>
    <w:rsid w:val="00677378"/>
    <w:rsid w:val="00680191"/>
    <w:rsid w:val="006804EC"/>
    <w:rsid w:val="006805D6"/>
    <w:rsid w:val="00680812"/>
    <w:rsid w:val="006811E8"/>
    <w:rsid w:val="0068182D"/>
    <w:rsid w:val="00681D3F"/>
    <w:rsid w:val="00681D83"/>
    <w:rsid w:val="00681DEF"/>
    <w:rsid w:val="00681F02"/>
    <w:rsid w:val="00682421"/>
    <w:rsid w:val="00682C4C"/>
    <w:rsid w:val="00684DA5"/>
    <w:rsid w:val="006861C1"/>
    <w:rsid w:val="0068728E"/>
    <w:rsid w:val="00687B8C"/>
    <w:rsid w:val="00690726"/>
    <w:rsid w:val="00690C88"/>
    <w:rsid w:val="00690F13"/>
    <w:rsid w:val="0069127A"/>
    <w:rsid w:val="00692563"/>
    <w:rsid w:val="0069308C"/>
    <w:rsid w:val="00693843"/>
    <w:rsid w:val="00693912"/>
    <w:rsid w:val="00694572"/>
    <w:rsid w:val="0069486A"/>
    <w:rsid w:val="00694A89"/>
    <w:rsid w:val="00694FD2"/>
    <w:rsid w:val="00696012"/>
    <w:rsid w:val="00696153"/>
    <w:rsid w:val="00696197"/>
    <w:rsid w:val="00696B45"/>
    <w:rsid w:val="0069712E"/>
    <w:rsid w:val="006A01A0"/>
    <w:rsid w:val="006A03BA"/>
    <w:rsid w:val="006A04E2"/>
    <w:rsid w:val="006A14BD"/>
    <w:rsid w:val="006A1551"/>
    <w:rsid w:val="006A1BA1"/>
    <w:rsid w:val="006A1FEE"/>
    <w:rsid w:val="006A2321"/>
    <w:rsid w:val="006A26A4"/>
    <w:rsid w:val="006A4A42"/>
    <w:rsid w:val="006A4B4F"/>
    <w:rsid w:val="006A4E67"/>
    <w:rsid w:val="006A52A8"/>
    <w:rsid w:val="006A5907"/>
    <w:rsid w:val="006A59FB"/>
    <w:rsid w:val="006A5CEF"/>
    <w:rsid w:val="006A7ED4"/>
    <w:rsid w:val="006B00A6"/>
    <w:rsid w:val="006B10C4"/>
    <w:rsid w:val="006B1348"/>
    <w:rsid w:val="006B137C"/>
    <w:rsid w:val="006B2087"/>
    <w:rsid w:val="006B2589"/>
    <w:rsid w:val="006B29BB"/>
    <w:rsid w:val="006B35D5"/>
    <w:rsid w:val="006B46C8"/>
    <w:rsid w:val="006B4A2E"/>
    <w:rsid w:val="006B76C3"/>
    <w:rsid w:val="006B79D1"/>
    <w:rsid w:val="006B7A3D"/>
    <w:rsid w:val="006B7A93"/>
    <w:rsid w:val="006B7C61"/>
    <w:rsid w:val="006BAD18"/>
    <w:rsid w:val="006C0E90"/>
    <w:rsid w:val="006C1506"/>
    <w:rsid w:val="006C164B"/>
    <w:rsid w:val="006C18A7"/>
    <w:rsid w:val="006C1958"/>
    <w:rsid w:val="006C1D03"/>
    <w:rsid w:val="006C271D"/>
    <w:rsid w:val="006C2F0F"/>
    <w:rsid w:val="006C489B"/>
    <w:rsid w:val="006C54ED"/>
    <w:rsid w:val="006C5CB2"/>
    <w:rsid w:val="006C5DD9"/>
    <w:rsid w:val="006C6726"/>
    <w:rsid w:val="006C6764"/>
    <w:rsid w:val="006C6D5D"/>
    <w:rsid w:val="006C77A6"/>
    <w:rsid w:val="006C7BA5"/>
    <w:rsid w:val="006D106E"/>
    <w:rsid w:val="006D1CCE"/>
    <w:rsid w:val="006D2966"/>
    <w:rsid w:val="006D2969"/>
    <w:rsid w:val="006D2A29"/>
    <w:rsid w:val="006D3AD1"/>
    <w:rsid w:val="006D455B"/>
    <w:rsid w:val="006D4EDE"/>
    <w:rsid w:val="006D5642"/>
    <w:rsid w:val="006D5AE8"/>
    <w:rsid w:val="006D5B4C"/>
    <w:rsid w:val="006D5DC9"/>
    <w:rsid w:val="006D5FF3"/>
    <w:rsid w:val="006D607A"/>
    <w:rsid w:val="006D6539"/>
    <w:rsid w:val="006D6E27"/>
    <w:rsid w:val="006D7944"/>
    <w:rsid w:val="006D7D5D"/>
    <w:rsid w:val="006E0E99"/>
    <w:rsid w:val="006E245C"/>
    <w:rsid w:val="006E288F"/>
    <w:rsid w:val="006E28E6"/>
    <w:rsid w:val="006E2B6E"/>
    <w:rsid w:val="006E4475"/>
    <w:rsid w:val="006E4697"/>
    <w:rsid w:val="006E48BB"/>
    <w:rsid w:val="006E54ED"/>
    <w:rsid w:val="006E6346"/>
    <w:rsid w:val="006E6AC7"/>
    <w:rsid w:val="006E790E"/>
    <w:rsid w:val="006E7916"/>
    <w:rsid w:val="006E79EC"/>
    <w:rsid w:val="006E95C0"/>
    <w:rsid w:val="006F035B"/>
    <w:rsid w:val="006F058D"/>
    <w:rsid w:val="006F0869"/>
    <w:rsid w:val="006F089B"/>
    <w:rsid w:val="006F0A06"/>
    <w:rsid w:val="006F0AD7"/>
    <w:rsid w:val="006F0D82"/>
    <w:rsid w:val="006F0E98"/>
    <w:rsid w:val="006F1245"/>
    <w:rsid w:val="006F26E1"/>
    <w:rsid w:val="006F3C3F"/>
    <w:rsid w:val="006F525F"/>
    <w:rsid w:val="006F55E8"/>
    <w:rsid w:val="006F5648"/>
    <w:rsid w:val="006F57E1"/>
    <w:rsid w:val="006F58C6"/>
    <w:rsid w:val="006F5B88"/>
    <w:rsid w:val="006F76D3"/>
    <w:rsid w:val="006F7F58"/>
    <w:rsid w:val="00700D7D"/>
    <w:rsid w:val="007011C6"/>
    <w:rsid w:val="00701853"/>
    <w:rsid w:val="0070204F"/>
    <w:rsid w:val="00702B4E"/>
    <w:rsid w:val="00703166"/>
    <w:rsid w:val="00703A70"/>
    <w:rsid w:val="00704139"/>
    <w:rsid w:val="0070485C"/>
    <w:rsid w:val="00704B99"/>
    <w:rsid w:val="00704BFB"/>
    <w:rsid w:val="0070593C"/>
    <w:rsid w:val="00705E07"/>
    <w:rsid w:val="007063CC"/>
    <w:rsid w:val="00706F84"/>
    <w:rsid w:val="0071022A"/>
    <w:rsid w:val="007108CE"/>
    <w:rsid w:val="007115A5"/>
    <w:rsid w:val="00711A86"/>
    <w:rsid w:val="00711D94"/>
    <w:rsid w:val="007124C6"/>
    <w:rsid w:val="00712A81"/>
    <w:rsid w:val="00713865"/>
    <w:rsid w:val="00713C87"/>
    <w:rsid w:val="007143BC"/>
    <w:rsid w:val="00714A68"/>
    <w:rsid w:val="00714F62"/>
    <w:rsid w:val="007165DA"/>
    <w:rsid w:val="00716DBD"/>
    <w:rsid w:val="0071BCC3"/>
    <w:rsid w:val="0072030E"/>
    <w:rsid w:val="00720781"/>
    <w:rsid w:val="00720DE2"/>
    <w:rsid w:val="0072153A"/>
    <w:rsid w:val="00721625"/>
    <w:rsid w:val="00721D4A"/>
    <w:rsid w:val="00722317"/>
    <w:rsid w:val="0072246B"/>
    <w:rsid w:val="00722A21"/>
    <w:rsid w:val="00722C59"/>
    <w:rsid w:val="00722F5D"/>
    <w:rsid w:val="007230F1"/>
    <w:rsid w:val="00724AC8"/>
    <w:rsid w:val="0072540F"/>
    <w:rsid w:val="00725A29"/>
    <w:rsid w:val="00725CF7"/>
    <w:rsid w:val="00726618"/>
    <w:rsid w:val="00726FD4"/>
    <w:rsid w:val="00727756"/>
    <w:rsid w:val="00727846"/>
    <w:rsid w:val="00727ADE"/>
    <w:rsid w:val="00727DC0"/>
    <w:rsid w:val="00731F9C"/>
    <w:rsid w:val="00732AE4"/>
    <w:rsid w:val="00732E40"/>
    <w:rsid w:val="007331AC"/>
    <w:rsid w:val="00733594"/>
    <w:rsid w:val="00734392"/>
    <w:rsid w:val="00734EA7"/>
    <w:rsid w:val="00735B3E"/>
    <w:rsid w:val="00736176"/>
    <w:rsid w:val="00736F4A"/>
    <w:rsid w:val="00737312"/>
    <w:rsid w:val="00737645"/>
    <w:rsid w:val="00737976"/>
    <w:rsid w:val="00741051"/>
    <w:rsid w:val="00741781"/>
    <w:rsid w:val="0074185F"/>
    <w:rsid w:val="00741C87"/>
    <w:rsid w:val="00742259"/>
    <w:rsid w:val="00742289"/>
    <w:rsid w:val="0074359B"/>
    <w:rsid w:val="007441A6"/>
    <w:rsid w:val="0074470F"/>
    <w:rsid w:val="00744E81"/>
    <w:rsid w:val="007451C0"/>
    <w:rsid w:val="0074547E"/>
    <w:rsid w:val="007455B2"/>
    <w:rsid w:val="00745624"/>
    <w:rsid w:val="00745BF4"/>
    <w:rsid w:val="00746334"/>
    <w:rsid w:val="0074687E"/>
    <w:rsid w:val="0074739F"/>
    <w:rsid w:val="00747B65"/>
    <w:rsid w:val="00747ED6"/>
    <w:rsid w:val="00750175"/>
    <w:rsid w:val="0075414A"/>
    <w:rsid w:val="00754A62"/>
    <w:rsid w:val="007550BC"/>
    <w:rsid w:val="007557C7"/>
    <w:rsid w:val="007558B8"/>
    <w:rsid w:val="00755DD1"/>
    <w:rsid w:val="0075637C"/>
    <w:rsid w:val="00756423"/>
    <w:rsid w:val="007569B8"/>
    <w:rsid w:val="00756AAD"/>
    <w:rsid w:val="00756ADF"/>
    <w:rsid w:val="00756BD3"/>
    <w:rsid w:val="00757995"/>
    <w:rsid w:val="00757B65"/>
    <w:rsid w:val="00757ECB"/>
    <w:rsid w:val="0076082C"/>
    <w:rsid w:val="00761559"/>
    <w:rsid w:val="007618D7"/>
    <w:rsid w:val="00761AE2"/>
    <w:rsid w:val="00761FDC"/>
    <w:rsid w:val="0076240B"/>
    <w:rsid w:val="00762BCE"/>
    <w:rsid w:val="00763708"/>
    <w:rsid w:val="0076417A"/>
    <w:rsid w:val="007649E9"/>
    <w:rsid w:val="00765AAA"/>
    <w:rsid w:val="0076690A"/>
    <w:rsid w:val="00766BCF"/>
    <w:rsid w:val="00767259"/>
    <w:rsid w:val="00767A98"/>
    <w:rsid w:val="007701F4"/>
    <w:rsid w:val="00770258"/>
    <w:rsid w:val="007709E1"/>
    <w:rsid w:val="00770C73"/>
    <w:rsid w:val="00770EED"/>
    <w:rsid w:val="007711A8"/>
    <w:rsid w:val="0077184D"/>
    <w:rsid w:val="007718E5"/>
    <w:rsid w:val="00771A8D"/>
    <w:rsid w:val="00772671"/>
    <w:rsid w:val="007733E2"/>
    <w:rsid w:val="007735E2"/>
    <w:rsid w:val="00774E3B"/>
    <w:rsid w:val="007752A5"/>
    <w:rsid w:val="00775C56"/>
    <w:rsid w:val="00776169"/>
    <w:rsid w:val="00777113"/>
    <w:rsid w:val="007779E5"/>
    <w:rsid w:val="00777C04"/>
    <w:rsid w:val="00777CE5"/>
    <w:rsid w:val="007810E7"/>
    <w:rsid w:val="007814E5"/>
    <w:rsid w:val="0078164C"/>
    <w:rsid w:val="00781814"/>
    <w:rsid w:val="007819FB"/>
    <w:rsid w:val="00781EF6"/>
    <w:rsid w:val="007822E3"/>
    <w:rsid w:val="00783D64"/>
    <w:rsid w:val="00786253"/>
    <w:rsid w:val="007864AC"/>
    <w:rsid w:val="0078661A"/>
    <w:rsid w:val="0078792A"/>
    <w:rsid w:val="00787BE5"/>
    <w:rsid w:val="00787E02"/>
    <w:rsid w:val="0078D74D"/>
    <w:rsid w:val="00790344"/>
    <w:rsid w:val="007904F2"/>
    <w:rsid w:val="00790E52"/>
    <w:rsid w:val="0079190A"/>
    <w:rsid w:val="00791B07"/>
    <w:rsid w:val="00791BBA"/>
    <w:rsid w:val="0079233A"/>
    <w:rsid w:val="007923BB"/>
    <w:rsid w:val="00792BED"/>
    <w:rsid w:val="00792E42"/>
    <w:rsid w:val="007937BA"/>
    <w:rsid w:val="00793B31"/>
    <w:rsid w:val="0079461A"/>
    <w:rsid w:val="00794719"/>
    <w:rsid w:val="00794905"/>
    <w:rsid w:val="00794E99"/>
    <w:rsid w:val="0079532D"/>
    <w:rsid w:val="00795746"/>
    <w:rsid w:val="00795BD1"/>
    <w:rsid w:val="00795C20"/>
    <w:rsid w:val="00796744"/>
    <w:rsid w:val="00796FFB"/>
    <w:rsid w:val="0079739B"/>
    <w:rsid w:val="00797485"/>
    <w:rsid w:val="007A092F"/>
    <w:rsid w:val="007A0BE4"/>
    <w:rsid w:val="007A0C9F"/>
    <w:rsid w:val="007A2327"/>
    <w:rsid w:val="007A2A42"/>
    <w:rsid w:val="007A2B17"/>
    <w:rsid w:val="007A3154"/>
    <w:rsid w:val="007A3549"/>
    <w:rsid w:val="007A3C0D"/>
    <w:rsid w:val="007A4C41"/>
    <w:rsid w:val="007A58B9"/>
    <w:rsid w:val="007A606A"/>
    <w:rsid w:val="007A6560"/>
    <w:rsid w:val="007A6F8C"/>
    <w:rsid w:val="007A7724"/>
    <w:rsid w:val="007A79A8"/>
    <w:rsid w:val="007B043B"/>
    <w:rsid w:val="007B1921"/>
    <w:rsid w:val="007B28DF"/>
    <w:rsid w:val="007B364E"/>
    <w:rsid w:val="007B3F86"/>
    <w:rsid w:val="007B402F"/>
    <w:rsid w:val="007B4077"/>
    <w:rsid w:val="007B40B0"/>
    <w:rsid w:val="007B57E8"/>
    <w:rsid w:val="007B58F8"/>
    <w:rsid w:val="007B5CAD"/>
    <w:rsid w:val="007B6422"/>
    <w:rsid w:val="007B64D7"/>
    <w:rsid w:val="007B6790"/>
    <w:rsid w:val="007B696D"/>
    <w:rsid w:val="007B6FB2"/>
    <w:rsid w:val="007B7E26"/>
    <w:rsid w:val="007C01C6"/>
    <w:rsid w:val="007C0E6C"/>
    <w:rsid w:val="007C0F80"/>
    <w:rsid w:val="007C1767"/>
    <w:rsid w:val="007C1FF7"/>
    <w:rsid w:val="007C20A3"/>
    <w:rsid w:val="007C2273"/>
    <w:rsid w:val="007C2BAC"/>
    <w:rsid w:val="007C3865"/>
    <w:rsid w:val="007C3EB0"/>
    <w:rsid w:val="007C4269"/>
    <w:rsid w:val="007C4421"/>
    <w:rsid w:val="007C4F3E"/>
    <w:rsid w:val="007C5CB2"/>
    <w:rsid w:val="007C603E"/>
    <w:rsid w:val="007C6257"/>
    <w:rsid w:val="007C625A"/>
    <w:rsid w:val="007C63B1"/>
    <w:rsid w:val="007C6ED7"/>
    <w:rsid w:val="007C70D4"/>
    <w:rsid w:val="007C73B7"/>
    <w:rsid w:val="007C787F"/>
    <w:rsid w:val="007C7D79"/>
    <w:rsid w:val="007C7EAA"/>
    <w:rsid w:val="007D0225"/>
    <w:rsid w:val="007D04C9"/>
    <w:rsid w:val="007D0802"/>
    <w:rsid w:val="007D0F3C"/>
    <w:rsid w:val="007D0F84"/>
    <w:rsid w:val="007D1C3C"/>
    <w:rsid w:val="007D1F85"/>
    <w:rsid w:val="007D21E6"/>
    <w:rsid w:val="007D2A12"/>
    <w:rsid w:val="007D2CEB"/>
    <w:rsid w:val="007D3317"/>
    <w:rsid w:val="007D3E9C"/>
    <w:rsid w:val="007D3EB3"/>
    <w:rsid w:val="007D4149"/>
    <w:rsid w:val="007D4398"/>
    <w:rsid w:val="007D47F8"/>
    <w:rsid w:val="007D48F5"/>
    <w:rsid w:val="007D542C"/>
    <w:rsid w:val="007D5825"/>
    <w:rsid w:val="007D5F67"/>
    <w:rsid w:val="007D5F69"/>
    <w:rsid w:val="007D6B94"/>
    <w:rsid w:val="007D6F7D"/>
    <w:rsid w:val="007D7088"/>
    <w:rsid w:val="007D7C21"/>
    <w:rsid w:val="007E1D18"/>
    <w:rsid w:val="007E270A"/>
    <w:rsid w:val="007E33E0"/>
    <w:rsid w:val="007E36A5"/>
    <w:rsid w:val="007E3A28"/>
    <w:rsid w:val="007E3A56"/>
    <w:rsid w:val="007E4105"/>
    <w:rsid w:val="007E43AE"/>
    <w:rsid w:val="007E49BD"/>
    <w:rsid w:val="007E4E5A"/>
    <w:rsid w:val="007E5428"/>
    <w:rsid w:val="007E5663"/>
    <w:rsid w:val="007E5FC1"/>
    <w:rsid w:val="007E6A46"/>
    <w:rsid w:val="007E7056"/>
    <w:rsid w:val="007E70D4"/>
    <w:rsid w:val="007E77D5"/>
    <w:rsid w:val="007F0204"/>
    <w:rsid w:val="007F09F5"/>
    <w:rsid w:val="007F12B4"/>
    <w:rsid w:val="007F21B8"/>
    <w:rsid w:val="007F2272"/>
    <w:rsid w:val="007F24F9"/>
    <w:rsid w:val="007F2568"/>
    <w:rsid w:val="007F3166"/>
    <w:rsid w:val="007F32AC"/>
    <w:rsid w:val="007F3426"/>
    <w:rsid w:val="007F34A1"/>
    <w:rsid w:val="007F36EA"/>
    <w:rsid w:val="007F3D41"/>
    <w:rsid w:val="007F431A"/>
    <w:rsid w:val="007F439F"/>
    <w:rsid w:val="007F457C"/>
    <w:rsid w:val="007F49D7"/>
    <w:rsid w:val="007F57E4"/>
    <w:rsid w:val="007F5E7E"/>
    <w:rsid w:val="007F72D2"/>
    <w:rsid w:val="007F7AFE"/>
    <w:rsid w:val="007F7CB4"/>
    <w:rsid w:val="00800389"/>
    <w:rsid w:val="0080072C"/>
    <w:rsid w:val="008009B2"/>
    <w:rsid w:val="00800BE7"/>
    <w:rsid w:val="00800EEC"/>
    <w:rsid w:val="00801019"/>
    <w:rsid w:val="00801916"/>
    <w:rsid w:val="00801F5E"/>
    <w:rsid w:val="00802491"/>
    <w:rsid w:val="008025B2"/>
    <w:rsid w:val="0080354B"/>
    <w:rsid w:val="00803D5E"/>
    <w:rsid w:val="00803EC1"/>
    <w:rsid w:val="008041BB"/>
    <w:rsid w:val="0080446F"/>
    <w:rsid w:val="00804746"/>
    <w:rsid w:val="0080490B"/>
    <w:rsid w:val="00804971"/>
    <w:rsid w:val="00804D21"/>
    <w:rsid w:val="0080519C"/>
    <w:rsid w:val="00805564"/>
    <w:rsid w:val="0080568F"/>
    <w:rsid w:val="00805B28"/>
    <w:rsid w:val="00806150"/>
    <w:rsid w:val="00806802"/>
    <w:rsid w:val="008068E6"/>
    <w:rsid w:val="008074C3"/>
    <w:rsid w:val="00807B6F"/>
    <w:rsid w:val="00807D6B"/>
    <w:rsid w:val="008104C1"/>
    <w:rsid w:val="00810D18"/>
    <w:rsid w:val="00810DD2"/>
    <w:rsid w:val="00812540"/>
    <w:rsid w:val="008126ED"/>
    <w:rsid w:val="0081283B"/>
    <w:rsid w:val="008129F2"/>
    <w:rsid w:val="00813B28"/>
    <w:rsid w:val="00814449"/>
    <w:rsid w:val="008149E1"/>
    <w:rsid w:val="008155DA"/>
    <w:rsid w:val="00815DE6"/>
    <w:rsid w:val="00816970"/>
    <w:rsid w:val="00817A57"/>
    <w:rsid w:val="00817DAC"/>
    <w:rsid w:val="00817F71"/>
    <w:rsid w:val="00820BD9"/>
    <w:rsid w:val="00820EB6"/>
    <w:rsid w:val="00821550"/>
    <w:rsid w:val="00822831"/>
    <w:rsid w:val="008247EC"/>
    <w:rsid w:val="00824B01"/>
    <w:rsid w:val="00826538"/>
    <w:rsid w:val="00826BBC"/>
    <w:rsid w:val="00827CFC"/>
    <w:rsid w:val="008310D3"/>
    <w:rsid w:val="00831540"/>
    <w:rsid w:val="00831745"/>
    <w:rsid w:val="00831FD8"/>
    <w:rsid w:val="0083216E"/>
    <w:rsid w:val="0083221F"/>
    <w:rsid w:val="00832427"/>
    <w:rsid w:val="00832CAC"/>
    <w:rsid w:val="008331FD"/>
    <w:rsid w:val="00833309"/>
    <w:rsid w:val="0083367A"/>
    <w:rsid w:val="008336E5"/>
    <w:rsid w:val="00833ED8"/>
    <w:rsid w:val="008345D1"/>
    <w:rsid w:val="00834917"/>
    <w:rsid w:val="00834EBA"/>
    <w:rsid w:val="00835511"/>
    <w:rsid w:val="0083577E"/>
    <w:rsid w:val="00835830"/>
    <w:rsid w:val="00835970"/>
    <w:rsid w:val="0083631C"/>
    <w:rsid w:val="0083679A"/>
    <w:rsid w:val="00837268"/>
    <w:rsid w:val="008372AB"/>
    <w:rsid w:val="0083781F"/>
    <w:rsid w:val="0084122C"/>
    <w:rsid w:val="0084124A"/>
    <w:rsid w:val="00841733"/>
    <w:rsid w:val="00841A3D"/>
    <w:rsid w:val="00841B51"/>
    <w:rsid w:val="00842FF4"/>
    <w:rsid w:val="008436D1"/>
    <w:rsid w:val="00843D90"/>
    <w:rsid w:val="00845004"/>
    <w:rsid w:val="008450E6"/>
    <w:rsid w:val="00845D1E"/>
    <w:rsid w:val="00847860"/>
    <w:rsid w:val="008504AF"/>
    <w:rsid w:val="0085111B"/>
    <w:rsid w:val="008512A4"/>
    <w:rsid w:val="00852189"/>
    <w:rsid w:val="00852A27"/>
    <w:rsid w:val="00852D07"/>
    <w:rsid w:val="00853907"/>
    <w:rsid w:val="00853F53"/>
    <w:rsid w:val="00854348"/>
    <w:rsid w:val="0085494C"/>
    <w:rsid w:val="00855215"/>
    <w:rsid w:val="008553AF"/>
    <w:rsid w:val="008559E0"/>
    <w:rsid w:val="00855CF0"/>
    <w:rsid w:val="00855D82"/>
    <w:rsid w:val="00855DB2"/>
    <w:rsid w:val="008564D9"/>
    <w:rsid w:val="008579A7"/>
    <w:rsid w:val="0086010C"/>
    <w:rsid w:val="00860357"/>
    <w:rsid w:val="00860768"/>
    <w:rsid w:val="0086088B"/>
    <w:rsid w:val="00860F11"/>
    <w:rsid w:val="00861072"/>
    <w:rsid w:val="00861255"/>
    <w:rsid w:val="00862C24"/>
    <w:rsid w:val="00862CB9"/>
    <w:rsid w:val="00863322"/>
    <w:rsid w:val="008636C2"/>
    <w:rsid w:val="00863729"/>
    <w:rsid w:val="0086372F"/>
    <w:rsid w:val="0086405A"/>
    <w:rsid w:val="008642AD"/>
    <w:rsid w:val="00864623"/>
    <w:rsid w:val="0086533F"/>
    <w:rsid w:val="00866003"/>
    <w:rsid w:val="00867239"/>
    <w:rsid w:val="00867E3D"/>
    <w:rsid w:val="00867E41"/>
    <w:rsid w:val="00870355"/>
    <w:rsid w:val="0087072A"/>
    <w:rsid w:val="00870DD0"/>
    <w:rsid w:val="00871B8B"/>
    <w:rsid w:val="0087206B"/>
    <w:rsid w:val="0087261C"/>
    <w:rsid w:val="008726CD"/>
    <w:rsid w:val="008733A9"/>
    <w:rsid w:val="008749DD"/>
    <w:rsid w:val="00874AB2"/>
    <w:rsid w:val="00874D48"/>
    <w:rsid w:val="008754CE"/>
    <w:rsid w:val="00875904"/>
    <w:rsid w:val="00876A5D"/>
    <w:rsid w:val="00876E4D"/>
    <w:rsid w:val="00877EDA"/>
    <w:rsid w:val="00880E4B"/>
    <w:rsid w:val="008811F2"/>
    <w:rsid w:val="008811FA"/>
    <w:rsid w:val="0088196D"/>
    <w:rsid w:val="008830DF"/>
    <w:rsid w:val="00883114"/>
    <w:rsid w:val="0088416E"/>
    <w:rsid w:val="0088466B"/>
    <w:rsid w:val="00884CEE"/>
    <w:rsid w:val="00885804"/>
    <w:rsid w:val="008863AC"/>
    <w:rsid w:val="0088713E"/>
    <w:rsid w:val="008914B5"/>
    <w:rsid w:val="00891E33"/>
    <w:rsid w:val="00891EAD"/>
    <w:rsid w:val="0089207C"/>
    <w:rsid w:val="008921DE"/>
    <w:rsid w:val="00892B9C"/>
    <w:rsid w:val="00892BC6"/>
    <w:rsid w:val="008937AE"/>
    <w:rsid w:val="00893F23"/>
    <w:rsid w:val="00894B56"/>
    <w:rsid w:val="00894D9B"/>
    <w:rsid w:val="00894DED"/>
    <w:rsid w:val="008955F1"/>
    <w:rsid w:val="00895C15"/>
    <w:rsid w:val="00896C6D"/>
    <w:rsid w:val="00896FB5"/>
    <w:rsid w:val="008A0DCB"/>
    <w:rsid w:val="008A111D"/>
    <w:rsid w:val="008A147C"/>
    <w:rsid w:val="008A14F9"/>
    <w:rsid w:val="008A1D38"/>
    <w:rsid w:val="008A2254"/>
    <w:rsid w:val="008A3125"/>
    <w:rsid w:val="008A4661"/>
    <w:rsid w:val="008A4938"/>
    <w:rsid w:val="008A4962"/>
    <w:rsid w:val="008A4D60"/>
    <w:rsid w:val="008A4EAB"/>
    <w:rsid w:val="008A5C91"/>
    <w:rsid w:val="008A6185"/>
    <w:rsid w:val="008A6A8B"/>
    <w:rsid w:val="008A6AE3"/>
    <w:rsid w:val="008A6EA9"/>
    <w:rsid w:val="008A7B4A"/>
    <w:rsid w:val="008B0126"/>
    <w:rsid w:val="008B0157"/>
    <w:rsid w:val="008B060E"/>
    <w:rsid w:val="008B074B"/>
    <w:rsid w:val="008B08FC"/>
    <w:rsid w:val="008B090F"/>
    <w:rsid w:val="008B09BE"/>
    <w:rsid w:val="008B10D6"/>
    <w:rsid w:val="008B158F"/>
    <w:rsid w:val="008B1620"/>
    <w:rsid w:val="008B1C2C"/>
    <w:rsid w:val="008B1DBD"/>
    <w:rsid w:val="008B2342"/>
    <w:rsid w:val="008B2938"/>
    <w:rsid w:val="008B2C6B"/>
    <w:rsid w:val="008B4184"/>
    <w:rsid w:val="008B566F"/>
    <w:rsid w:val="008B5B03"/>
    <w:rsid w:val="008B5BF7"/>
    <w:rsid w:val="008B6828"/>
    <w:rsid w:val="008B6952"/>
    <w:rsid w:val="008B6E7F"/>
    <w:rsid w:val="008C08AE"/>
    <w:rsid w:val="008C0EE8"/>
    <w:rsid w:val="008C15EC"/>
    <w:rsid w:val="008C1836"/>
    <w:rsid w:val="008C1E7D"/>
    <w:rsid w:val="008C28B0"/>
    <w:rsid w:val="008C3A9A"/>
    <w:rsid w:val="008C5955"/>
    <w:rsid w:val="008C63BC"/>
    <w:rsid w:val="008C6572"/>
    <w:rsid w:val="008C6D40"/>
    <w:rsid w:val="008C6EEF"/>
    <w:rsid w:val="008C74DB"/>
    <w:rsid w:val="008D050C"/>
    <w:rsid w:val="008D1416"/>
    <w:rsid w:val="008D1FAA"/>
    <w:rsid w:val="008D240D"/>
    <w:rsid w:val="008D2565"/>
    <w:rsid w:val="008D2BAF"/>
    <w:rsid w:val="008D2E63"/>
    <w:rsid w:val="008D37AE"/>
    <w:rsid w:val="008D3BE3"/>
    <w:rsid w:val="008D3C16"/>
    <w:rsid w:val="008D4E65"/>
    <w:rsid w:val="008D575B"/>
    <w:rsid w:val="008D5C47"/>
    <w:rsid w:val="008D6356"/>
    <w:rsid w:val="008D64D0"/>
    <w:rsid w:val="008D66E7"/>
    <w:rsid w:val="008D6A3F"/>
    <w:rsid w:val="008D6A45"/>
    <w:rsid w:val="008D70D7"/>
    <w:rsid w:val="008D7366"/>
    <w:rsid w:val="008D79A8"/>
    <w:rsid w:val="008D7D66"/>
    <w:rsid w:val="008E1CDB"/>
    <w:rsid w:val="008E20A1"/>
    <w:rsid w:val="008E248E"/>
    <w:rsid w:val="008E2BED"/>
    <w:rsid w:val="008E432A"/>
    <w:rsid w:val="008E43F8"/>
    <w:rsid w:val="008E4F6C"/>
    <w:rsid w:val="008E6339"/>
    <w:rsid w:val="008E6AE2"/>
    <w:rsid w:val="008E6D6C"/>
    <w:rsid w:val="008E6E7E"/>
    <w:rsid w:val="008E7A0F"/>
    <w:rsid w:val="008E7ACA"/>
    <w:rsid w:val="008E7B9C"/>
    <w:rsid w:val="008F0BB8"/>
    <w:rsid w:val="008F1DBB"/>
    <w:rsid w:val="008F257D"/>
    <w:rsid w:val="008F2BF6"/>
    <w:rsid w:val="008F3692"/>
    <w:rsid w:val="008F41BC"/>
    <w:rsid w:val="008F4E20"/>
    <w:rsid w:val="008F5201"/>
    <w:rsid w:val="008F523A"/>
    <w:rsid w:val="008F565C"/>
    <w:rsid w:val="008F5AA0"/>
    <w:rsid w:val="008F61B4"/>
    <w:rsid w:val="008F6248"/>
    <w:rsid w:val="008F6CE0"/>
    <w:rsid w:val="008F6F1C"/>
    <w:rsid w:val="008F72FD"/>
    <w:rsid w:val="008F7A65"/>
    <w:rsid w:val="008F7C22"/>
    <w:rsid w:val="008F7E91"/>
    <w:rsid w:val="0090041C"/>
    <w:rsid w:val="00900B57"/>
    <w:rsid w:val="00900E68"/>
    <w:rsid w:val="0090148F"/>
    <w:rsid w:val="00901A41"/>
    <w:rsid w:val="00901CC1"/>
    <w:rsid w:val="00901CC2"/>
    <w:rsid w:val="00901D80"/>
    <w:rsid w:val="00901FC8"/>
    <w:rsid w:val="009025AE"/>
    <w:rsid w:val="00902B25"/>
    <w:rsid w:val="0090326C"/>
    <w:rsid w:val="00903C6A"/>
    <w:rsid w:val="009042B5"/>
    <w:rsid w:val="0090478C"/>
    <w:rsid w:val="00904A15"/>
    <w:rsid w:val="009056CE"/>
    <w:rsid w:val="009060BC"/>
    <w:rsid w:val="0090622F"/>
    <w:rsid w:val="00910F12"/>
    <w:rsid w:val="00910FE1"/>
    <w:rsid w:val="009111B4"/>
    <w:rsid w:val="0091130E"/>
    <w:rsid w:val="009113E4"/>
    <w:rsid w:val="00911A52"/>
    <w:rsid w:val="009125B8"/>
    <w:rsid w:val="00912C40"/>
    <w:rsid w:val="00912D2F"/>
    <w:rsid w:val="00913520"/>
    <w:rsid w:val="0091362C"/>
    <w:rsid w:val="00913807"/>
    <w:rsid w:val="00913989"/>
    <w:rsid w:val="00913D66"/>
    <w:rsid w:val="00913EAF"/>
    <w:rsid w:val="00914205"/>
    <w:rsid w:val="009156AB"/>
    <w:rsid w:val="0091592F"/>
    <w:rsid w:val="00915C42"/>
    <w:rsid w:val="00916558"/>
    <w:rsid w:val="009203BB"/>
    <w:rsid w:val="0092050D"/>
    <w:rsid w:val="00920F30"/>
    <w:rsid w:val="009214B1"/>
    <w:rsid w:val="0092283A"/>
    <w:rsid w:val="00922BB6"/>
    <w:rsid w:val="00922E87"/>
    <w:rsid w:val="009252AC"/>
    <w:rsid w:val="0092611D"/>
    <w:rsid w:val="00926E4D"/>
    <w:rsid w:val="0092767B"/>
    <w:rsid w:val="00927822"/>
    <w:rsid w:val="00927A56"/>
    <w:rsid w:val="00927F7B"/>
    <w:rsid w:val="00927FAB"/>
    <w:rsid w:val="00932595"/>
    <w:rsid w:val="009325DA"/>
    <w:rsid w:val="0093381E"/>
    <w:rsid w:val="00933C40"/>
    <w:rsid w:val="00933EB6"/>
    <w:rsid w:val="00933F27"/>
    <w:rsid w:val="0093512C"/>
    <w:rsid w:val="009352D5"/>
    <w:rsid w:val="009359BB"/>
    <w:rsid w:val="0093630B"/>
    <w:rsid w:val="00937180"/>
    <w:rsid w:val="00937285"/>
    <w:rsid w:val="00937485"/>
    <w:rsid w:val="00937F9A"/>
    <w:rsid w:val="00940CF8"/>
    <w:rsid w:val="0094211D"/>
    <w:rsid w:val="009433C8"/>
    <w:rsid w:val="009445E5"/>
    <w:rsid w:val="00944831"/>
    <w:rsid w:val="00944BB4"/>
    <w:rsid w:val="00944DB6"/>
    <w:rsid w:val="00944F14"/>
    <w:rsid w:val="00944F32"/>
    <w:rsid w:val="00944FC3"/>
    <w:rsid w:val="009458D1"/>
    <w:rsid w:val="00946E5E"/>
    <w:rsid w:val="009478B4"/>
    <w:rsid w:val="00947E81"/>
    <w:rsid w:val="00947FBA"/>
    <w:rsid w:val="00947FDD"/>
    <w:rsid w:val="0095015B"/>
    <w:rsid w:val="00950D64"/>
    <w:rsid w:val="00952134"/>
    <w:rsid w:val="0095257A"/>
    <w:rsid w:val="00953068"/>
    <w:rsid w:val="00953D6E"/>
    <w:rsid w:val="009546BB"/>
    <w:rsid w:val="0095536B"/>
    <w:rsid w:val="009557E4"/>
    <w:rsid w:val="009566A1"/>
    <w:rsid w:val="009566D9"/>
    <w:rsid w:val="009568E3"/>
    <w:rsid w:val="00956952"/>
    <w:rsid w:val="00957300"/>
    <w:rsid w:val="0095736B"/>
    <w:rsid w:val="009575BA"/>
    <w:rsid w:val="00957970"/>
    <w:rsid w:val="009602D1"/>
    <w:rsid w:val="0096064C"/>
    <w:rsid w:val="00960FBD"/>
    <w:rsid w:val="009613EE"/>
    <w:rsid w:val="00961B77"/>
    <w:rsid w:val="00961FA9"/>
    <w:rsid w:val="0096208A"/>
    <w:rsid w:val="00963B86"/>
    <w:rsid w:val="00963EB5"/>
    <w:rsid w:val="00964C26"/>
    <w:rsid w:val="009657C1"/>
    <w:rsid w:val="00966471"/>
    <w:rsid w:val="00966C3F"/>
    <w:rsid w:val="009679A9"/>
    <w:rsid w:val="00967BE7"/>
    <w:rsid w:val="009702F5"/>
    <w:rsid w:val="009706D4"/>
    <w:rsid w:val="00971289"/>
    <w:rsid w:val="00971541"/>
    <w:rsid w:val="0097167B"/>
    <w:rsid w:val="00971762"/>
    <w:rsid w:val="00971F08"/>
    <w:rsid w:val="0097208D"/>
    <w:rsid w:val="00972AC5"/>
    <w:rsid w:val="009737F7"/>
    <w:rsid w:val="009738B6"/>
    <w:rsid w:val="00974771"/>
    <w:rsid w:val="00974F36"/>
    <w:rsid w:val="009756E2"/>
    <w:rsid w:val="00975C54"/>
    <w:rsid w:val="00975F9F"/>
    <w:rsid w:val="009761C2"/>
    <w:rsid w:val="00977219"/>
    <w:rsid w:val="00977686"/>
    <w:rsid w:val="0097792A"/>
    <w:rsid w:val="00980095"/>
    <w:rsid w:val="009826DB"/>
    <w:rsid w:val="009834A8"/>
    <w:rsid w:val="00983AE1"/>
    <w:rsid w:val="0098413F"/>
    <w:rsid w:val="00984528"/>
    <w:rsid w:val="009855A6"/>
    <w:rsid w:val="00986996"/>
    <w:rsid w:val="00986F8C"/>
    <w:rsid w:val="00987420"/>
    <w:rsid w:val="00990BCF"/>
    <w:rsid w:val="00991734"/>
    <w:rsid w:val="00991D16"/>
    <w:rsid w:val="00991EB2"/>
    <w:rsid w:val="00991EF2"/>
    <w:rsid w:val="009920BB"/>
    <w:rsid w:val="00993CA9"/>
    <w:rsid w:val="00994947"/>
    <w:rsid w:val="00994C9B"/>
    <w:rsid w:val="00995CAC"/>
    <w:rsid w:val="009961A2"/>
    <w:rsid w:val="009961E8"/>
    <w:rsid w:val="009963CC"/>
    <w:rsid w:val="0099782D"/>
    <w:rsid w:val="00997F51"/>
    <w:rsid w:val="009A064F"/>
    <w:rsid w:val="009A0796"/>
    <w:rsid w:val="009A0853"/>
    <w:rsid w:val="009A0E7C"/>
    <w:rsid w:val="009A124C"/>
    <w:rsid w:val="009A1936"/>
    <w:rsid w:val="009A1EE1"/>
    <w:rsid w:val="009A288D"/>
    <w:rsid w:val="009A2C13"/>
    <w:rsid w:val="009A2D89"/>
    <w:rsid w:val="009A2DF7"/>
    <w:rsid w:val="009A3603"/>
    <w:rsid w:val="009A36D0"/>
    <w:rsid w:val="009A412D"/>
    <w:rsid w:val="009A4865"/>
    <w:rsid w:val="009A51BB"/>
    <w:rsid w:val="009A5887"/>
    <w:rsid w:val="009A6086"/>
    <w:rsid w:val="009A66CA"/>
    <w:rsid w:val="009A71FB"/>
    <w:rsid w:val="009A74BA"/>
    <w:rsid w:val="009A79D3"/>
    <w:rsid w:val="009B00BA"/>
    <w:rsid w:val="009B082B"/>
    <w:rsid w:val="009B08C2"/>
    <w:rsid w:val="009B0A4B"/>
    <w:rsid w:val="009B0A99"/>
    <w:rsid w:val="009B0EE8"/>
    <w:rsid w:val="009B1044"/>
    <w:rsid w:val="009B185E"/>
    <w:rsid w:val="009B1A83"/>
    <w:rsid w:val="009B2C13"/>
    <w:rsid w:val="009B391A"/>
    <w:rsid w:val="009B5D04"/>
    <w:rsid w:val="009B65D3"/>
    <w:rsid w:val="009B73D1"/>
    <w:rsid w:val="009B7757"/>
    <w:rsid w:val="009C037C"/>
    <w:rsid w:val="009C05BC"/>
    <w:rsid w:val="009C0889"/>
    <w:rsid w:val="009C1922"/>
    <w:rsid w:val="009C1DA4"/>
    <w:rsid w:val="009C32AB"/>
    <w:rsid w:val="009C41C8"/>
    <w:rsid w:val="009C469F"/>
    <w:rsid w:val="009C4DB2"/>
    <w:rsid w:val="009C5077"/>
    <w:rsid w:val="009C591A"/>
    <w:rsid w:val="009C6EA0"/>
    <w:rsid w:val="009C7408"/>
    <w:rsid w:val="009C74B7"/>
    <w:rsid w:val="009D07A9"/>
    <w:rsid w:val="009D0AE6"/>
    <w:rsid w:val="009D1621"/>
    <w:rsid w:val="009D1760"/>
    <w:rsid w:val="009D1E8D"/>
    <w:rsid w:val="009D28F5"/>
    <w:rsid w:val="009D3A11"/>
    <w:rsid w:val="009D3C7C"/>
    <w:rsid w:val="009D3D49"/>
    <w:rsid w:val="009D3D9A"/>
    <w:rsid w:val="009D40CA"/>
    <w:rsid w:val="009D412F"/>
    <w:rsid w:val="009D5542"/>
    <w:rsid w:val="009D566B"/>
    <w:rsid w:val="009D63FE"/>
    <w:rsid w:val="009D71C4"/>
    <w:rsid w:val="009E142A"/>
    <w:rsid w:val="009E1B3D"/>
    <w:rsid w:val="009E2C58"/>
    <w:rsid w:val="009E2C9A"/>
    <w:rsid w:val="009E2D18"/>
    <w:rsid w:val="009E4064"/>
    <w:rsid w:val="009E45ED"/>
    <w:rsid w:val="009E4646"/>
    <w:rsid w:val="009E4C16"/>
    <w:rsid w:val="009E4EE5"/>
    <w:rsid w:val="009E6A38"/>
    <w:rsid w:val="009E717F"/>
    <w:rsid w:val="009E71AF"/>
    <w:rsid w:val="009E72D5"/>
    <w:rsid w:val="009E7319"/>
    <w:rsid w:val="009E74AB"/>
    <w:rsid w:val="009E780A"/>
    <w:rsid w:val="009E7C1C"/>
    <w:rsid w:val="009F00B8"/>
    <w:rsid w:val="009F11FC"/>
    <w:rsid w:val="009F1746"/>
    <w:rsid w:val="009F29F0"/>
    <w:rsid w:val="009F2A7D"/>
    <w:rsid w:val="009F2B80"/>
    <w:rsid w:val="009F3110"/>
    <w:rsid w:val="009F3857"/>
    <w:rsid w:val="009F38AD"/>
    <w:rsid w:val="009F424B"/>
    <w:rsid w:val="009F475A"/>
    <w:rsid w:val="009F4799"/>
    <w:rsid w:val="009F4EBB"/>
    <w:rsid w:val="009F57ED"/>
    <w:rsid w:val="009F604D"/>
    <w:rsid w:val="009F7CF5"/>
    <w:rsid w:val="00A00249"/>
    <w:rsid w:val="00A01095"/>
    <w:rsid w:val="00A015BA"/>
    <w:rsid w:val="00A017BD"/>
    <w:rsid w:val="00A01E48"/>
    <w:rsid w:val="00A02515"/>
    <w:rsid w:val="00A02A24"/>
    <w:rsid w:val="00A038CA"/>
    <w:rsid w:val="00A03EBF"/>
    <w:rsid w:val="00A042DE"/>
    <w:rsid w:val="00A043D4"/>
    <w:rsid w:val="00A044DE"/>
    <w:rsid w:val="00A05484"/>
    <w:rsid w:val="00A057A3"/>
    <w:rsid w:val="00A05CB3"/>
    <w:rsid w:val="00A06A76"/>
    <w:rsid w:val="00A06F02"/>
    <w:rsid w:val="00A072F7"/>
    <w:rsid w:val="00A0740D"/>
    <w:rsid w:val="00A077C8"/>
    <w:rsid w:val="00A07C08"/>
    <w:rsid w:val="00A102A2"/>
    <w:rsid w:val="00A11AB3"/>
    <w:rsid w:val="00A12A6E"/>
    <w:rsid w:val="00A12C25"/>
    <w:rsid w:val="00A12F36"/>
    <w:rsid w:val="00A132DE"/>
    <w:rsid w:val="00A13B18"/>
    <w:rsid w:val="00A141D4"/>
    <w:rsid w:val="00A14764"/>
    <w:rsid w:val="00A14DC0"/>
    <w:rsid w:val="00A15185"/>
    <w:rsid w:val="00A152D5"/>
    <w:rsid w:val="00A15344"/>
    <w:rsid w:val="00A1580E"/>
    <w:rsid w:val="00A15B2F"/>
    <w:rsid w:val="00A1657B"/>
    <w:rsid w:val="00A165DA"/>
    <w:rsid w:val="00A170AF"/>
    <w:rsid w:val="00A171BD"/>
    <w:rsid w:val="00A17EBF"/>
    <w:rsid w:val="00A203F6"/>
    <w:rsid w:val="00A20967"/>
    <w:rsid w:val="00A20973"/>
    <w:rsid w:val="00A222EC"/>
    <w:rsid w:val="00A223CB"/>
    <w:rsid w:val="00A226AD"/>
    <w:rsid w:val="00A2291B"/>
    <w:rsid w:val="00A237FE"/>
    <w:rsid w:val="00A23A4D"/>
    <w:rsid w:val="00A24067"/>
    <w:rsid w:val="00A24123"/>
    <w:rsid w:val="00A244D1"/>
    <w:rsid w:val="00A246D0"/>
    <w:rsid w:val="00A24A3A"/>
    <w:rsid w:val="00A24F19"/>
    <w:rsid w:val="00A25167"/>
    <w:rsid w:val="00A258D2"/>
    <w:rsid w:val="00A25D28"/>
    <w:rsid w:val="00A26083"/>
    <w:rsid w:val="00A265C2"/>
    <w:rsid w:val="00A275A0"/>
    <w:rsid w:val="00A27658"/>
    <w:rsid w:val="00A27C4A"/>
    <w:rsid w:val="00A2D979"/>
    <w:rsid w:val="00A3063F"/>
    <w:rsid w:val="00A3206B"/>
    <w:rsid w:val="00A339AB"/>
    <w:rsid w:val="00A33C0B"/>
    <w:rsid w:val="00A33C53"/>
    <w:rsid w:val="00A3400C"/>
    <w:rsid w:val="00A34E00"/>
    <w:rsid w:val="00A3522C"/>
    <w:rsid w:val="00A35AE1"/>
    <w:rsid w:val="00A35CC7"/>
    <w:rsid w:val="00A367A9"/>
    <w:rsid w:val="00A3680D"/>
    <w:rsid w:val="00A37041"/>
    <w:rsid w:val="00A37AC4"/>
    <w:rsid w:val="00A40286"/>
    <w:rsid w:val="00A41027"/>
    <w:rsid w:val="00A41156"/>
    <w:rsid w:val="00A418B1"/>
    <w:rsid w:val="00A41C56"/>
    <w:rsid w:val="00A41FC2"/>
    <w:rsid w:val="00A42CB6"/>
    <w:rsid w:val="00A43077"/>
    <w:rsid w:val="00A430CB"/>
    <w:rsid w:val="00A43362"/>
    <w:rsid w:val="00A433E3"/>
    <w:rsid w:val="00A44D0D"/>
    <w:rsid w:val="00A45344"/>
    <w:rsid w:val="00A4605A"/>
    <w:rsid w:val="00A462D2"/>
    <w:rsid w:val="00A471AF"/>
    <w:rsid w:val="00A47353"/>
    <w:rsid w:val="00A476E8"/>
    <w:rsid w:val="00A51FC9"/>
    <w:rsid w:val="00A5248A"/>
    <w:rsid w:val="00A528BB"/>
    <w:rsid w:val="00A52CFB"/>
    <w:rsid w:val="00A5309B"/>
    <w:rsid w:val="00A533C5"/>
    <w:rsid w:val="00A53425"/>
    <w:rsid w:val="00A539A8"/>
    <w:rsid w:val="00A53D30"/>
    <w:rsid w:val="00A53DBE"/>
    <w:rsid w:val="00A542B1"/>
    <w:rsid w:val="00A5447A"/>
    <w:rsid w:val="00A54818"/>
    <w:rsid w:val="00A54968"/>
    <w:rsid w:val="00A54F2D"/>
    <w:rsid w:val="00A54FD1"/>
    <w:rsid w:val="00A55A31"/>
    <w:rsid w:val="00A55AC0"/>
    <w:rsid w:val="00A565F6"/>
    <w:rsid w:val="00A56B14"/>
    <w:rsid w:val="00A57110"/>
    <w:rsid w:val="00A57598"/>
    <w:rsid w:val="00A575FA"/>
    <w:rsid w:val="00A57ABF"/>
    <w:rsid w:val="00A57CCF"/>
    <w:rsid w:val="00A57CEE"/>
    <w:rsid w:val="00A57E11"/>
    <w:rsid w:val="00A600E1"/>
    <w:rsid w:val="00A6024E"/>
    <w:rsid w:val="00A60588"/>
    <w:rsid w:val="00A607E7"/>
    <w:rsid w:val="00A609DF"/>
    <w:rsid w:val="00A60AD1"/>
    <w:rsid w:val="00A60AD4"/>
    <w:rsid w:val="00A61181"/>
    <w:rsid w:val="00A617E8"/>
    <w:rsid w:val="00A61943"/>
    <w:rsid w:val="00A61EE4"/>
    <w:rsid w:val="00A6201C"/>
    <w:rsid w:val="00A62C9D"/>
    <w:rsid w:val="00A63E03"/>
    <w:rsid w:val="00A63E36"/>
    <w:rsid w:val="00A64D10"/>
    <w:rsid w:val="00A64E54"/>
    <w:rsid w:val="00A663FA"/>
    <w:rsid w:val="00A66608"/>
    <w:rsid w:val="00A66ADF"/>
    <w:rsid w:val="00A67458"/>
    <w:rsid w:val="00A70978"/>
    <w:rsid w:val="00A70E37"/>
    <w:rsid w:val="00A70F5B"/>
    <w:rsid w:val="00A711E2"/>
    <w:rsid w:val="00A712CE"/>
    <w:rsid w:val="00A72962"/>
    <w:rsid w:val="00A72C98"/>
    <w:rsid w:val="00A72E44"/>
    <w:rsid w:val="00A739E4"/>
    <w:rsid w:val="00A7432E"/>
    <w:rsid w:val="00A747D0"/>
    <w:rsid w:val="00A74EE3"/>
    <w:rsid w:val="00A754FB"/>
    <w:rsid w:val="00A75514"/>
    <w:rsid w:val="00A7579D"/>
    <w:rsid w:val="00A759F0"/>
    <w:rsid w:val="00A75A98"/>
    <w:rsid w:val="00A77292"/>
    <w:rsid w:val="00A7760D"/>
    <w:rsid w:val="00A779C9"/>
    <w:rsid w:val="00A77BCC"/>
    <w:rsid w:val="00A80EF7"/>
    <w:rsid w:val="00A81EB0"/>
    <w:rsid w:val="00A81FB3"/>
    <w:rsid w:val="00A82394"/>
    <w:rsid w:val="00A824B0"/>
    <w:rsid w:val="00A82658"/>
    <w:rsid w:val="00A82D4B"/>
    <w:rsid w:val="00A830F4"/>
    <w:rsid w:val="00A83472"/>
    <w:rsid w:val="00A83C87"/>
    <w:rsid w:val="00A84590"/>
    <w:rsid w:val="00A85506"/>
    <w:rsid w:val="00A85AF3"/>
    <w:rsid w:val="00A86FD2"/>
    <w:rsid w:val="00A87B44"/>
    <w:rsid w:val="00A900A1"/>
    <w:rsid w:val="00A90302"/>
    <w:rsid w:val="00A90B48"/>
    <w:rsid w:val="00A90CEA"/>
    <w:rsid w:val="00A90DB4"/>
    <w:rsid w:val="00A910A3"/>
    <w:rsid w:val="00A915D4"/>
    <w:rsid w:val="00A916D5"/>
    <w:rsid w:val="00A91B9F"/>
    <w:rsid w:val="00A91FF6"/>
    <w:rsid w:val="00A92F77"/>
    <w:rsid w:val="00A930FD"/>
    <w:rsid w:val="00A937CA"/>
    <w:rsid w:val="00A94963"/>
    <w:rsid w:val="00A94B76"/>
    <w:rsid w:val="00A94CC8"/>
    <w:rsid w:val="00A94D8E"/>
    <w:rsid w:val="00A94F40"/>
    <w:rsid w:val="00A9603D"/>
    <w:rsid w:val="00A96202"/>
    <w:rsid w:val="00A96512"/>
    <w:rsid w:val="00A972CD"/>
    <w:rsid w:val="00A97A0F"/>
    <w:rsid w:val="00A97D85"/>
    <w:rsid w:val="00A97EEE"/>
    <w:rsid w:val="00AA01F4"/>
    <w:rsid w:val="00AA0BA4"/>
    <w:rsid w:val="00AA1051"/>
    <w:rsid w:val="00AA13D8"/>
    <w:rsid w:val="00AA2206"/>
    <w:rsid w:val="00AA22A7"/>
    <w:rsid w:val="00AA2B4D"/>
    <w:rsid w:val="00AA3AE7"/>
    <w:rsid w:val="00AA4BA7"/>
    <w:rsid w:val="00AA523F"/>
    <w:rsid w:val="00AA5415"/>
    <w:rsid w:val="00AA5441"/>
    <w:rsid w:val="00AA6504"/>
    <w:rsid w:val="00AA6774"/>
    <w:rsid w:val="00AA775A"/>
    <w:rsid w:val="00AA7BEC"/>
    <w:rsid w:val="00AB027C"/>
    <w:rsid w:val="00AB03C8"/>
    <w:rsid w:val="00AB0FE3"/>
    <w:rsid w:val="00AB22C0"/>
    <w:rsid w:val="00AB27AF"/>
    <w:rsid w:val="00AB330A"/>
    <w:rsid w:val="00AB4036"/>
    <w:rsid w:val="00AB453B"/>
    <w:rsid w:val="00AB55D5"/>
    <w:rsid w:val="00AB671C"/>
    <w:rsid w:val="00AB76E3"/>
    <w:rsid w:val="00AB792A"/>
    <w:rsid w:val="00AC082F"/>
    <w:rsid w:val="00AC0ABA"/>
    <w:rsid w:val="00AC1340"/>
    <w:rsid w:val="00AC1896"/>
    <w:rsid w:val="00AC194D"/>
    <w:rsid w:val="00AC1CE2"/>
    <w:rsid w:val="00AC2660"/>
    <w:rsid w:val="00AC272C"/>
    <w:rsid w:val="00AC2DC9"/>
    <w:rsid w:val="00AC3813"/>
    <w:rsid w:val="00AC4082"/>
    <w:rsid w:val="00AC4E1C"/>
    <w:rsid w:val="00AC5F1C"/>
    <w:rsid w:val="00AC5F22"/>
    <w:rsid w:val="00AC654A"/>
    <w:rsid w:val="00AC6C18"/>
    <w:rsid w:val="00AC70AB"/>
    <w:rsid w:val="00AC7550"/>
    <w:rsid w:val="00AC76D2"/>
    <w:rsid w:val="00AC79D1"/>
    <w:rsid w:val="00AD1742"/>
    <w:rsid w:val="00AD17D6"/>
    <w:rsid w:val="00AD1B8F"/>
    <w:rsid w:val="00AD1C14"/>
    <w:rsid w:val="00AD2B69"/>
    <w:rsid w:val="00AD2B6A"/>
    <w:rsid w:val="00AD30E8"/>
    <w:rsid w:val="00AD362E"/>
    <w:rsid w:val="00AD3D21"/>
    <w:rsid w:val="00AD430D"/>
    <w:rsid w:val="00AD59E7"/>
    <w:rsid w:val="00AD66F5"/>
    <w:rsid w:val="00AD695B"/>
    <w:rsid w:val="00AD6C4A"/>
    <w:rsid w:val="00AD6C97"/>
    <w:rsid w:val="00AD6F39"/>
    <w:rsid w:val="00AD71BC"/>
    <w:rsid w:val="00AD7757"/>
    <w:rsid w:val="00AD78FA"/>
    <w:rsid w:val="00AE01A9"/>
    <w:rsid w:val="00AE021E"/>
    <w:rsid w:val="00AE04D9"/>
    <w:rsid w:val="00AE093C"/>
    <w:rsid w:val="00AE0D27"/>
    <w:rsid w:val="00AE0E4A"/>
    <w:rsid w:val="00AE18C9"/>
    <w:rsid w:val="00AE192E"/>
    <w:rsid w:val="00AE2255"/>
    <w:rsid w:val="00AE3356"/>
    <w:rsid w:val="00AE33C7"/>
    <w:rsid w:val="00AE3678"/>
    <w:rsid w:val="00AE43AA"/>
    <w:rsid w:val="00AE45F8"/>
    <w:rsid w:val="00AE4903"/>
    <w:rsid w:val="00AE4FD2"/>
    <w:rsid w:val="00AE690E"/>
    <w:rsid w:val="00AE6E2B"/>
    <w:rsid w:val="00AF0B09"/>
    <w:rsid w:val="00AF14B2"/>
    <w:rsid w:val="00AF316D"/>
    <w:rsid w:val="00AF412D"/>
    <w:rsid w:val="00AF46CA"/>
    <w:rsid w:val="00AF4927"/>
    <w:rsid w:val="00AF49F1"/>
    <w:rsid w:val="00AF4AB8"/>
    <w:rsid w:val="00AF4BFC"/>
    <w:rsid w:val="00AF5212"/>
    <w:rsid w:val="00AF564A"/>
    <w:rsid w:val="00AF6389"/>
    <w:rsid w:val="00AF64AF"/>
    <w:rsid w:val="00AF6B83"/>
    <w:rsid w:val="00AF6CC2"/>
    <w:rsid w:val="00AF6CE4"/>
    <w:rsid w:val="00AF6DF1"/>
    <w:rsid w:val="00AF783F"/>
    <w:rsid w:val="00B00622"/>
    <w:rsid w:val="00B008A1"/>
    <w:rsid w:val="00B0272A"/>
    <w:rsid w:val="00B02895"/>
    <w:rsid w:val="00B02970"/>
    <w:rsid w:val="00B0319A"/>
    <w:rsid w:val="00B0340A"/>
    <w:rsid w:val="00B04650"/>
    <w:rsid w:val="00B05870"/>
    <w:rsid w:val="00B06364"/>
    <w:rsid w:val="00B068FC"/>
    <w:rsid w:val="00B079D6"/>
    <w:rsid w:val="00B07B1B"/>
    <w:rsid w:val="00B10FD3"/>
    <w:rsid w:val="00B10FDD"/>
    <w:rsid w:val="00B11601"/>
    <w:rsid w:val="00B11B57"/>
    <w:rsid w:val="00B11C8E"/>
    <w:rsid w:val="00B11CE4"/>
    <w:rsid w:val="00B12C5E"/>
    <w:rsid w:val="00B12FD0"/>
    <w:rsid w:val="00B130AD"/>
    <w:rsid w:val="00B1342B"/>
    <w:rsid w:val="00B13EC4"/>
    <w:rsid w:val="00B13FC0"/>
    <w:rsid w:val="00B14C79"/>
    <w:rsid w:val="00B14EEE"/>
    <w:rsid w:val="00B151C5"/>
    <w:rsid w:val="00B16286"/>
    <w:rsid w:val="00B16884"/>
    <w:rsid w:val="00B20513"/>
    <w:rsid w:val="00B227E5"/>
    <w:rsid w:val="00B22E30"/>
    <w:rsid w:val="00B231AA"/>
    <w:rsid w:val="00B233ED"/>
    <w:rsid w:val="00B23610"/>
    <w:rsid w:val="00B238EF"/>
    <w:rsid w:val="00B23CC4"/>
    <w:rsid w:val="00B245D2"/>
    <w:rsid w:val="00B24AC3"/>
    <w:rsid w:val="00B24B59"/>
    <w:rsid w:val="00B25DDB"/>
    <w:rsid w:val="00B26577"/>
    <w:rsid w:val="00B27384"/>
    <w:rsid w:val="00B3004F"/>
    <w:rsid w:val="00B307C0"/>
    <w:rsid w:val="00B308C2"/>
    <w:rsid w:val="00B309BB"/>
    <w:rsid w:val="00B30CC3"/>
    <w:rsid w:val="00B3108D"/>
    <w:rsid w:val="00B312E7"/>
    <w:rsid w:val="00B3158E"/>
    <w:rsid w:val="00B31CD5"/>
    <w:rsid w:val="00B334C6"/>
    <w:rsid w:val="00B338EF"/>
    <w:rsid w:val="00B346EB"/>
    <w:rsid w:val="00B35103"/>
    <w:rsid w:val="00B35DB5"/>
    <w:rsid w:val="00B36004"/>
    <w:rsid w:val="00B36AFA"/>
    <w:rsid w:val="00B37408"/>
    <w:rsid w:val="00B37561"/>
    <w:rsid w:val="00B3776A"/>
    <w:rsid w:val="00B377B1"/>
    <w:rsid w:val="00B40303"/>
    <w:rsid w:val="00B41982"/>
    <w:rsid w:val="00B41AB9"/>
    <w:rsid w:val="00B41C8B"/>
    <w:rsid w:val="00B428C4"/>
    <w:rsid w:val="00B42919"/>
    <w:rsid w:val="00B438AD"/>
    <w:rsid w:val="00B44146"/>
    <w:rsid w:val="00B44A6C"/>
    <w:rsid w:val="00B44A9A"/>
    <w:rsid w:val="00B45EC1"/>
    <w:rsid w:val="00B470CE"/>
    <w:rsid w:val="00B47721"/>
    <w:rsid w:val="00B47A91"/>
    <w:rsid w:val="00B47E64"/>
    <w:rsid w:val="00B50126"/>
    <w:rsid w:val="00B508E0"/>
    <w:rsid w:val="00B51DCB"/>
    <w:rsid w:val="00B52737"/>
    <w:rsid w:val="00B52A16"/>
    <w:rsid w:val="00B52BB0"/>
    <w:rsid w:val="00B52C48"/>
    <w:rsid w:val="00B53356"/>
    <w:rsid w:val="00B535CD"/>
    <w:rsid w:val="00B53B06"/>
    <w:rsid w:val="00B544A0"/>
    <w:rsid w:val="00B545C2"/>
    <w:rsid w:val="00B55857"/>
    <w:rsid w:val="00B55A53"/>
    <w:rsid w:val="00B55B9A"/>
    <w:rsid w:val="00B55FC3"/>
    <w:rsid w:val="00B56163"/>
    <w:rsid w:val="00B566F3"/>
    <w:rsid w:val="00B569CE"/>
    <w:rsid w:val="00B57F0F"/>
    <w:rsid w:val="00B601AD"/>
    <w:rsid w:val="00B601D1"/>
    <w:rsid w:val="00B604A4"/>
    <w:rsid w:val="00B609B1"/>
    <w:rsid w:val="00B60BA2"/>
    <w:rsid w:val="00B60CBF"/>
    <w:rsid w:val="00B6114B"/>
    <w:rsid w:val="00B62356"/>
    <w:rsid w:val="00B62E0D"/>
    <w:rsid w:val="00B644E6"/>
    <w:rsid w:val="00B64802"/>
    <w:rsid w:val="00B65143"/>
    <w:rsid w:val="00B65A38"/>
    <w:rsid w:val="00B65C07"/>
    <w:rsid w:val="00B65C77"/>
    <w:rsid w:val="00B67762"/>
    <w:rsid w:val="00B67E23"/>
    <w:rsid w:val="00B67FDD"/>
    <w:rsid w:val="00B67FE4"/>
    <w:rsid w:val="00B7042A"/>
    <w:rsid w:val="00B705B3"/>
    <w:rsid w:val="00B71225"/>
    <w:rsid w:val="00B714D0"/>
    <w:rsid w:val="00B71AB4"/>
    <w:rsid w:val="00B71C6B"/>
    <w:rsid w:val="00B72267"/>
    <w:rsid w:val="00B72E2B"/>
    <w:rsid w:val="00B73013"/>
    <w:rsid w:val="00B739D2"/>
    <w:rsid w:val="00B73F50"/>
    <w:rsid w:val="00B74710"/>
    <w:rsid w:val="00B74AF1"/>
    <w:rsid w:val="00B74F49"/>
    <w:rsid w:val="00B752F1"/>
    <w:rsid w:val="00B753FC"/>
    <w:rsid w:val="00B7578C"/>
    <w:rsid w:val="00B7595D"/>
    <w:rsid w:val="00B76A45"/>
    <w:rsid w:val="00B77178"/>
    <w:rsid w:val="00B77282"/>
    <w:rsid w:val="00B77650"/>
    <w:rsid w:val="00B777E9"/>
    <w:rsid w:val="00B77CE1"/>
    <w:rsid w:val="00B77E9D"/>
    <w:rsid w:val="00B80BB1"/>
    <w:rsid w:val="00B80C6F"/>
    <w:rsid w:val="00B80DE1"/>
    <w:rsid w:val="00B80E1B"/>
    <w:rsid w:val="00B813A9"/>
    <w:rsid w:val="00B81821"/>
    <w:rsid w:val="00B819A2"/>
    <w:rsid w:val="00B81A7C"/>
    <w:rsid w:val="00B82945"/>
    <w:rsid w:val="00B82FA9"/>
    <w:rsid w:val="00B83033"/>
    <w:rsid w:val="00B8382D"/>
    <w:rsid w:val="00B83E10"/>
    <w:rsid w:val="00B84D9E"/>
    <w:rsid w:val="00B84DF6"/>
    <w:rsid w:val="00B84F84"/>
    <w:rsid w:val="00B84F90"/>
    <w:rsid w:val="00B86DF2"/>
    <w:rsid w:val="00B90818"/>
    <w:rsid w:val="00B9081A"/>
    <w:rsid w:val="00B91294"/>
    <w:rsid w:val="00B916B9"/>
    <w:rsid w:val="00B91CC0"/>
    <w:rsid w:val="00B92FFD"/>
    <w:rsid w:val="00B9345F"/>
    <w:rsid w:val="00B93964"/>
    <w:rsid w:val="00B948A2"/>
    <w:rsid w:val="00B94A66"/>
    <w:rsid w:val="00B953D5"/>
    <w:rsid w:val="00B9551C"/>
    <w:rsid w:val="00B96A32"/>
    <w:rsid w:val="00B96F21"/>
    <w:rsid w:val="00B96F5C"/>
    <w:rsid w:val="00B9741C"/>
    <w:rsid w:val="00B97C52"/>
    <w:rsid w:val="00BA076C"/>
    <w:rsid w:val="00BA0BCC"/>
    <w:rsid w:val="00BA22A0"/>
    <w:rsid w:val="00BA34ED"/>
    <w:rsid w:val="00BA4E5F"/>
    <w:rsid w:val="00BA523F"/>
    <w:rsid w:val="00BA56D1"/>
    <w:rsid w:val="00BA5D13"/>
    <w:rsid w:val="00BA5DE0"/>
    <w:rsid w:val="00BA5EB2"/>
    <w:rsid w:val="00BA66F8"/>
    <w:rsid w:val="00BA72A7"/>
    <w:rsid w:val="00BA73AB"/>
    <w:rsid w:val="00BB00F3"/>
    <w:rsid w:val="00BB0306"/>
    <w:rsid w:val="00BB16F1"/>
    <w:rsid w:val="00BB1D6F"/>
    <w:rsid w:val="00BB1DAC"/>
    <w:rsid w:val="00BB26DA"/>
    <w:rsid w:val="00BB2C16"/>
    <w:rsid w:val="00BB2DE5"/>
    <w:rsid w:val="00BB3A2D"/>
    <w:rsid w:val="00BB4E23"/>
    <w:rsid w:val="00BB505F"/>
    <w:rsid w:val="00BB61CD"/>
    <w:rsid w:val="00BB6509"/>
    <w:rsid w:val="00BB7C31"/>
    <w:rsid w:val="00BB7D80"/>
    <w:rsid w:val="00BC00EE"/>
    <w:rsid w:val="00BC1B97"/>
    <w:rsid w:val="00BC1DD7"/>
    <w:rsid w:val="00BC20F0"/>
    <w:rsid w:val="00BC2A83"/>
    <w:rsid w:val="00BC2C17"/>
    <w:rsid w:val="00BC2E38"/>
    <w:rsid w:val="00BC3342"/>
    <w:rsid w:val="00BC4484"/>
    <w:rsid w:val="00BC4D2D"/>
    <w:rsid w:val="00BC56FF"/>
    <w:rsid w:val="00BC5841"/>
    <w:rsid w:val="00BC5856"/>
    <w:rsid w:val="00BC6090"/>
    <w:rsid w:val="00BC6497"/>
    <w:rsid w:val="00BC66FE"/>
    <w:rsid w:val="00BC7131"/>
    <w:rsid w:val="00BC7720"/>
    <w:rsid w:val="00BC7BBB"/>
    <w:rsid w:val="00BD0200"/>
    <w:rsid w:val="00BD0257"/>
    <w:rsid w:val="00BD0278"/>
    <w:rsid w:val="00BD13AF"/>
    <w:rsid w:val="00BD146C"/>
    <w:rsid w:val="00BD1E65"/>
    <w:rsid w:val="00BD20A4"/>
    <w:rsid w:val="00BD3264"/>
    <w:rsid w:val="00BD3EB0"/>
    <w:rsid w:val="00BD4037"/>
    <w:rsid w:val="00BD4059"/>
    <w:rsid w:val="00BD4099"/>
    <w:rsid w:val="00BD4143"/>
    <w:rsid w:val="00BD46E6"/>
    <w:rsid w:val="00BD4986"/>
    <w:rsid w:val="00BD4FDE"/>
    <w:rsid w:val="00BD5549"/>
    <w:rsid w:val="00BD5CA4"/>
    <w:rsid w:val="00BD60A5"/>
    <w:rsid w:val="00BD66D1"/>
    <w:rsid w:val="00BD7A3A"/>
    <w:rsid w:val="00BD7EA8"/>
    <w:rsid w:val="00BE05E5"/>
    <w:rsid w:val="00BE0D06"/>
    <w:rsid w:val="00BE1517"/>
    <w:rsid w:val="00BE34D6"/>
    <w:rsid w:val="00BE3850"/>
    <w:rsid w:val="00BE452C"/>
    <w:rsid w:val="00BE4669"/>
    <w:rsid w:val="00BE4B4B"/>
    <w:rsid w:val="00BE56F0"/>
    <w:rsid w:val="00BE6396"/>
    <w:rsid w:val="00BE74A2"/>
    <w:rsid w:val="00BE7992"/>
    <w:rsid w:val="00BE7B34"/>
    <w:rsid w:val="00BE7DC8"/>
    <w:rsid w:val="00BF039B"/>
    <w:rsid w:val="00BF06C3"/>
    <w:rsid w:val="00BF0A77"/>
    <w:rsid w:val="00BF0D41"/>
    <w:rsid w:val="00BF16FA"/>
    <w:rsid w:val="00BF1C7B"/>
    <w:rsid w:val="00BF2269"/>
    <w:rsid w:val="00BF2D40"/>
    <w:rsid w:val="00BF35FE"/>
    <w:rsid w:val="00BF4B5E"/>
    <w:rsid w:val="00BF5519"/>
    <w:rsid w:val="00BF5CC5"/>
    <w:rsid w:val="00BF69EA"/>
    <w:rsid w:val="00BF6AFD"/>
    <w:rsid w:val="00C0036F"/>
    <w:rsid w:val="00C0096C"/>
    <w:rsid w:val="00C00A12"/>
    <w:rsid w:val="00C010DB"/>
    <w:rsid w:val="00C02781"/>
    <w:rsid w:val="00C02ABF"/>
    <w:rsid w:val="00C02BDF"/>
    <w:rsid w:val="00C03656"/>
    <w:rsid w:val="00C03E37"/>
    <w:rsid w:val="00C051B0"/>
    <w:rsid w:val="00C05581"/>
    <w:rsid w:val="00C056C9"/>
    <w:rsid w:val="00C05A0A"/>
    <w:rsid w:val="00C0634F"/>
    <w:rsid w:val="00C068D9"/>
    <w:rsid w:val="00C07212"/>
    <w:rsid w:val="00C0785E"/>
    <w:rsid w:val="00C10068"/>
    <w:rsid w:val="00C1020B"/>
    <w:rsid w:val="00C10FB0"/>
    <w:rsid w:val="00C11147"/>
    <w:rsid w:val="00C11555"/>
    <w:rsid w:val="00C1157C"/>
    <w:rsid w:val="00C12369"/>
    <w:rsid w:val="00C125B0"/>
    <w:rsid w:val="00C12C2D"/>
    <w:rsid w:val="00C13430"/>
    <w:rsid w:val="00C135C4"/>
    <w:rsid w:val="00C143B7"/>
    <w:rsid w:val="00C14CF8"/>
    <w:rsid w:val="00C15000"/>
    <w:rsid w:val="00C152D3"/>
    <w:rsid w:val="00C15EDF"/>
    <w:rsid w:val="00C1620A"/>
    <w:rsid w:val="00C16E41"/>
    <w:rsid w:val="00C20126"/>
    <w:rsid w:val="00C201B9"/>
    <w:rsid w:val="00C20958"/>
    <w:rsid w:val="00C20BD2"/>
    <w:rsid w:val="00C20F2D"/>
    <w:rsid w:val="00C20F5D"/>
    <w:rsid w:val="00C2101F"/>
    <w:rsid w:val="00C2144E"/>
    <w:rsid w:val="00C21A79"/>
    <w:rsid w:val="00C21B50"/>
    <w:rsid w:val="00C21D18"/>
    <w:rsid w:val="00C223A4"/>
    <w:rsid w:val="00C22BEE"/>
    <w:rsid w:val="00C2332A"/>
    <w:rsid w:val="00C237CC"/>
    <w:rsid w:val="00C2450B"/>
    <w:rsid w:val="00C24987"/>
    <w:rsid w:val="00C24A61"/>
    <w:rsid w:val="00C25590"/>
    <w:rsid w:val="00C2575B"/>
    <w:rsid w:val="00C257F2"/>
    <w:rsid w:val="00C25C45"/>
    <w:rsid w:val="00C26303"/>
    <w:rsid w:val="00C269FD"/>
    <w:rsid w:val="00C2786F"/>
    <w:rsid w:val="00C27AFE"/>
    <w:rsid w:val="00C300D3"/>
    <w:rsid w:val="00C305F2"/>
    <w:rsid w:val="00C32868"/>
    <w:rsid w:val="00C33071"/>
    <w:rsid w:val="00C33D3A"/>
    <w:rsid w:val="00C33EB9"/>
    <w:rsid w:val="00C33EDD"/>
    <w:rsid w:val="00C345E4"/>
    <w:rsid w:val="00C3515E"/>
    <w:rsid w:val="00C3556E"/>
    <w:rsid w:val="00C35EA2"/>
    <w:rsid w:val="00C36099"/>
    <w:rsid w:val="00C365C8"/>
    <w:rsid w:val="00C3661B"/>
    <w:rsid w:val="00C36B11"/>
    <w:rsid w:val="00C36B8C"/>
    <w:rsid w:val="00C372F5"/>
    <w:rsid w:val="00C37B59"/>
    <w:rsid w:val="00C404AC"/>
    <w:rsid w:val="00C40861"/>
    <w:rsid w:val="00C40DCB"/>
    <w:rsid w:val="00C418D8"/>
    <w:rsid w:val="00C41CA1"/>
    <w:rsid w:val="00C41E48"/>
    <w:rsid w:val="00C421DC"/>
    <w:rsid w:val="00C43439"/>
    <w:rsid w:val="00C4345C"/>
    <w:rsid w:val="00C435EF"/>
    <w:rsid w:val="00C438EE"/>
    <w:rsid w:val="00C43F93"/>
    <w:rsid w:val="00C445BC"/>
    <w:rsid w:val="00C4550D"/>
    <w:rsid w:val="00C466D5"/>
    <w:rsid w:val="00C4673C"/>
    <w:rsid w:val="00C47220"/>
    <w:rsid w:val="00C4780F"/>
    <w:rsid w:val="00C478F4"/>
    <w:rsid w:val="00C47AC7"/>
    <w:rsid w:val="00C47D43"/>
    <w:rsid w:val="00C47EBA"/>
    <w:rsid w:val="00C5014D"/>
    <w:rsid w:val="00C50300"/>
    <w:rsid w:val="00C50322"/>
    <w:rsid w:val="00C50D02"/>
    <w:rsid w:val="00C51127"/>
    <w:rsid w:val="00C51814"/>
    <w:rsid w:val="00C523B7"/>
    <w:rsid w:val="00C55EF6"/>
    <w:rsid w:val="00C56726"/>
    <w:rsid w:val="00C57386"/>
    <w:rsid w:val="00C57A9B"/>
    <w:rsid w:val="00C60219"/>
    <w:rsid w:val="00C60228"/>
    <w:rsid w:val="00C63328"/>
    <w:rsid w:val="00C633A9"/>
    <w:rsid w:val="00C6369A"/>
    <w:rsid w:val="00C63C18"/>
    <w:rsid w:val="00C64A52"/>
    <w:rsid w:val="00C64C64"/>
    <w:rsid w:val="00C64DFD"/>
    <w:rsid w:val="00C6513F"/>
    <w:rsid w:val="00C658FF"/>
    <w:rsid w:val="00C65AD1"/>
    <w:rsid w:val="00C65C2E"/>
    <w:rsid w:val="00C66BA3"/>
    <w:rsid w:val="00C671A6"/>
    <w:rsid w:val="00C67710"/>
    <w:rsid w:val="00C67EBD"/>
    <w:rsid w:val="00C67F45"/>
    <w:rsid w:val="00C7024A"/>
    <w:rsid w:val="00C70EAD"/>
    <w:rsid w:val="00C712E4"/>
    <w:rsid w:val="00C72442"/>
    <w:rsid w:val="00C72A2C"/>
    <w:rsid w:val="00C72B6A"/>
    <w:rsid w:val="00C73254"/>
    <w:rsid w:val="00C7356B"/>
    <w:rsid w:val="00C7360A"/>
    <w:rsid w:val="00C7364C"/>
    <w:rsid w:val="00C7365A"/>
    <w:rsid w:val="00C73A9C"/>
    <w:rsid w:val="00C73AB2"/>
    <w:rsid w:val="00C73E66"/>
    <w:rsid w:val="00C73EBE"/>
    <w:rsid w:val="00C7457A"/>
    <w:rsid w:val="00C74DE0"/>
    <w:rsid w:val="00C756E4"/>
    <w:rsid w:val="00C7580C"/>
    <w:rsid w:val="00C761CF"/>
    <w:rsid w:val="00C77123"/>
    <w:rsid w:val="00C773A1"/>
    <w:rsid w:val="00C77517"/>
    <w:rsid w:val="00C77745"/>
    <w:rsid w:val="00C801AF"/>
    <w:rsid w:val="00C80A4A"/>
    <w:rsid w:val="00C80A68"/>
    <w:rsid w:val="00C817F1"/>
    <w:rsid w:val="00C81DB4"/>
    <w:rsid w:val="00C821DD"/>
    <w:rsid w:val="00C82625"/>
    <w:rsid w:val="00C82A45"/>
    <w:rsid w:val="00C8354B"/>
    <w:rsid w:val="00C842B8"/>
    <w:rsid w:val="00C842BB"/>
    <w:rsid w:val="00C848FD"/>
    <w:rsid w:val="00C857DC"/>
    <w:rsid w:val="00C86911"/>
    <w:rsid w:val="00C8737E"/>
    <w:rsid w:val="00C90528"/>
    <w:rsid w:val="00C907EE"/>
    <w:rsid w:val="00C9089E"/>
    <w:rsid w:val="00C90A13"/>
    <w:rsid w:val="00C90C6D"/>
    <w:rsid w:val="00C90CBF"/>
    <w:rsid w:val="00C91290"/>
    <w:rsid w:val="00C915E9"/>
    <w:rsid w:val="00C91D2A"/>
    <w:rsid w:val="00C9262C"/>
    <w:rsid w:val="00C93203"/>
    <w:rsid w:val="00C9366D"/>
    <w:rsid w:val="00C94CF9"/>
    <w:rsid w:val="00C95158"/>
    <w:rsid w:val="00C954B7"/>
    <w:rsid w:val="00C95AE4"/>
    <w:rsid w:val="00C96127"/>
    <w:rsid w:val="00C96D67"/>
    <w:rsid w:val="00C97168"/>
    <w:rsid w:val="00C97552"/>
    <w:rsid w:val="00C979C5"/>
    <w:rsid w:val="00CA0C36"/>
    <w:rsid w:val="00CA0EA9"/>
    <w:rsid w:val="00CA0FD9"/>
    <w:rsid w:val="00CA1682"/>
    <w:rsid w:val="00CA1849"/>
    <w:rsid w:val="00CA235E"/>
    <w:rsid w:val="00CA3097"/>
    <w:rsid w:val="00CA3366"/>
    <w:rsid w:val="00CA406F"/>
    <w:rsid w:val="00CA418D"/>
    <w:rsid w:val="00CA4771"/>
    <w:rsid w:val="00CA48E2"/>
    <w:rsid w:val="00CA4BA0"/>
    <w:rsid w:val="00CA5898"/>
    <w:rsid w:val="00CA58AC"/>
    <w:rsid w:val="00CA5A5F"/>
    <w:rsid w:val="00CA61BF"/>
    <w:rsid w:val="00CA6875"/>
    <w:rsid w:val="00CA6B70"/>
    <w:rsid w:val="00CA7197"/>
    <w:rsid w:val="00CA76CE"/>
    <w:rsid w:val="00CA7C38"/>
    <w:rsid w:val="00CA7C3F"/>
    <w:rsid w:val="00CB0423"/>
    <w:rsid w:val="00CB0514"/>
    <w:rsid w:val="00CB0B3D"/>
    <w:rsid w:val="00CB1685"/>
    <w:rsid w:val="00CB1738"/>
    <w:rsid w:val="00CB1801"/>
    <w:rsid w:val="00CB1E83"/>
    <w:rsid w:val="00CB1F9F"/>
    <w:rsid w:val="00CB2147"/>
    <w:rsid w:val="00CB2588"/>
    <w:rsid w:val="00CB2702"/>
    <w:rsid w:val="00CB2781"/>
    <w:rsid w:val="00CB2BA9"/>
    <w:rsid w:val="00CB3CA9"/>
    <w:rsid w:val="00CB45E2"/>
    <w:rsid w:val="00CB4CA8"/>
    <w:rsid w:val="00CB4E41"/>
    <w:rsid w:val="00CB4EDA"/>
    <w:rsid w:val="00CB52A7"/>
    <w:rsid w:val="00CB5382"/>
    <w:rsid w:val="00CB54C8"/>
    <w:rsid w:val="00CB5FC4"/>
    <w:rsid w:val="00CB6421"/>
    <w:rsid w:val="00CB64E9"/>
    <w:rsid w:val="00CB65F8"/>
    <w:rsid w:val="00CB67D1"/>
    <w:rsid w:val="00CB78FC"/>
    <w:rsid w:val="00CC26BA"/>
    <w:rsid w:val="00CC2C52"/>
    <w:rsid w:val="00CC3E65"/>
    <w:rsid w:val="00CC3F56"/>
    <w:rsid w:val="00CC51C6"/>
    <w:rsid w:val="00CC5746"/>
    <w:rsid w:val="00CC5B41"/>
    <w:rsid w:val="00CC6108"/>
    <w:rsid w:val="00CC7EA6"/>
    <w:rsid w:val="00CD0024"/>
    <w:rsid w:val="00CD0864"/>
    <w:rsid w:val="00CD0874"/>
    <w:rsid w:val="00CD0A8E"/>
    <w:rsid w:val="00CD0ACB"/>
    <w:rsid w:val="00CD0BDF"/>
    <w:rsid w:val="00CD0CE6"/>
    <w:rsid w:val="00CD0E4A"/>
    <w:rsid w:val="00CD103C"/>
    <w:rsid w:val="00CD139D"/>
    <w:rsid w:val="00CD15CD"/>
    <w:rsid w:val="00CD1B75"/>
    <w:rsid w:val="00CD2C2F"/>
    <w:rsid w:val="00CD3321"/>
    <w:rsid w:val="00CD3900"/>
    <w:rsid w:val="00CD4105"/>
    <w:rsid w:val="00CD4147"/>
    <w:rsid w:val="00CD42D4"/>
    <w:rsid w:val="00CD4C82"/>
    <w:rsid w:val="00CD565A"/>
    <w:rsid w:val="00CD69DD"/>
    <w:rsid w:val="00CD7752"/>
    <w:rsid w:val="00CD7CC6"/>
    <w:rsid w:val="00CE05C8"/>
    <w:rsid w:val="00CE084D"/>
    <w:rsid w:val="00CE09C9"/>
    <w:rsid w:val="00CE0C79"/>
    <w:rsid w:val="00CE0EB5"/>
    <w:rsid w:val="00CE11DB"/>
    <w:rsid w:val="00CE157F"/>
    <w:rsid w:val="00CE244B"/>
    <w:rsid w:val="00CE2605"/>
    <w:rsid w:val="00CE2AEE"/>
    <w:rsid w:val="00CE2E18"/>
    <w:rsid w:val="00CE4B05"/>
    <w:rsid w:val="00CE5431"/>
    <w:rsid w:val="00CE54E8"/>
    <w:rsid w:val="00CE5E36"/>
    <w:rsid w:val="00CE6E05"/>
    <w:rsid w:val="00CE6EE5"/>
    <w:rsid w:val="00CE6FE4"/>
    <w:rsid w:val="00CE7BCD"/>
    <w:rsid w:val="00CE7D34"/>
    <w:rsid w:val="00CF0022"/>
    <w:rsid w:val="00CF067B"/>
    <w:rsid w:val="00CF0986"/>
    <w:rsid w:val="00CF112C"/>
    <w:rsid w:val="00CF12DD"/>
    <w:rsid w:val="00CF18D7"/>
    <w:rsid w:val="00CF1A6B"/>
    <w:rsid w:val="00CF1EE8"/>
    <w:rsid w:val="00CF352A"/>
    <w:rsid w:val="00CF3BAE"/>
    <w:rsid w:val="00CF3FC0"/>
    <w:rsid w:val="00CF40C5"/>
    <w:rsid w:val="00CF4381"/>
    <w:rsid w:val="00CF5E75"/>
    <w:rsid w:val="00CF62B7"/>
    <w:rsid w:val="00CF62D8"/>
    <w:rsid w:val="00CF656D"/>
    <w:rsid w:val="00CF690A"/>
    <w:rsid w:val="00CF7445"/>
    <w:rsid w:val="00CF76F0"/>
    <w:rsid w:val="00CF7766"/>
    <w:rsid w:val="00CF78AA"/>
    <w:rsid w:val="00CF7DBF"/>
    <w:rsid w:val="00CF7E07"/>
    <w:rsid w:val="00D0214C"/>
    <w:rsid w:val="00D02191"/>
    <w:rsid w:val="00D02387"/>
    <w:rsid w:val="00D0268D"/>
    <w:rsid w:val="00D0288D"/>
    <w:rsid w:val="00D03157"/>
    <w:rsid w:val="00D0317E"/>
    <w:rsid w:val="00D03EC0"/>
    <w:rsid w:val="00D048E1"/>
    <w:rsid w:val="00D051EC"/>
    <w:rsid w:val="00D053EB"/>
    <w:rsid w:val="00D0549D"/>
    <w:rsid w:val="00D0602B"/>
    <w:rsid w:val="00D073B5"/>
    <w:rsid w:val="00D07B54"/>
    <w:rsid w:val="00D10C50"/>
    <w:rsid w:val="00D10CD9"/>
    <w:rsid w:val="00D11167"/>
    <w:rsid w:val="00D1149E"/>
    <w:rsid w:val="00D117B3"/>
    <w:rsid w:val="00D121F2"/>
    <w:rsid w:val="00D13503"/>
    <w:rsid w:val="00D13620"/>
    <w:rsid w:val="00D13C24"/>
    <w:rsid w:val="00D13E65"/>
    <w:rsid w:val="00D14353"/>
    <w:rsid w:val="00D1472F"/>
    <w:rsid w:val="00D15F77"/>
    <w:rsid w:val="00D166A2"/>
    <w:rsid w:val="00D16C8A"/>
    <w:rsid w:val="00D17CDA"/>
    <w:rsid w:val="00D208F9"/>
    <w:rsid w:val="00D20B9F"/>
    <w:rsid w:val="00D20C1B"/>
    <w:rsid w:val="00D21096"/>
    <w:rsid w:val="00D21CC1"/>
    <w:rsid w:val="00D2205D"/>
    <w:rsid w:val="00D22EE2"/>
    <w:rsid w:val="00D23683"/>
    <w:rsid w:val="00D236A4"/>
    <w:rsid w:val="00D23921"/>
    <w:rsid w:val="00D246E6"/>
    <w:rsid w:val="00D24AAF"/>
    <w:rsid w:val="00D255A9"/>
    <w:rsid w:val="00D25642"/>
    <w:rsid w:val="00D258B5"/>
    <w:rsid w:val="00D25FEC"/>
    <w:rsid w:val="00D27518"/>
    <w:rsid w:val="00D2770D"/>
    <w:rsid w:val="00D31A50"/>
    <w:rsid w:val="00D33618"/>
    <w:rsid w:val="00D3436F"/>
    <w:rsid w:val="00D34A42"/>
    <w:rsid w:val="00D34E72"/>
    <w:rsid w:val="00D35D41"/>
    <w:rsid w:val="00D36EBD"/>
    <w:rsid w:val="00D372E7"/>
    <w:rsid w:val="00D376D2"/>
    <w:rsid w:val="00D37986"/>
    <w:rsid w:val="00D40B46"/>
    <w:rsid w:val="00D40D58"/>
    <w:rsid w:val="00D4162A"/>
    <w:rsid w:val="00D41947"/>
    <w:rsid w:val="00D41CF5"/>
    <w:rsid w:val="00D41EC8"/>
    <w:rsid w:val="00D42328"/>
    <w:rsid w:val="00D425CF"/>
    <w:rsid w:val="00D42B44"/>
    <w:rsid w:val="00D433D5"/>
    <w:rsid w:val="00D43C98"/>
    <w:rsid w:val="00D441EF"/>
    <w:rsid w:val="00D447DA"/>
    <w:rsid w:val="00D44D1A"/>
    <w:rsid w:val="00D45183"/>
    <w:rsid w:val="00D4545B"/>
    <w:rsid w:val="00D45965"/>
    <w:rsid w:val="00D46C16"/>
    <w:rsid w:val="00D46D5F"/>
    <w:rsid w:val="00D472EB"/>
    <w:rsid w:val="00D50C01"/>
    <w:rsid w:val="00D511C2"/>
    <w:rsid w:val="00D5140D"/>
    <w:rsid w:val="00D517EE"/>
    <w:rsid w:val="00D51940"/>
    <w:rsid w:val="00D51D7D"/>
    <w:rsid w:val="00D51F6B"/>
    <w:rsid w:val="00D525EC"/>
    <w:rsid w:val="00D52EFF"/>
    <w:rsid w:val="00D52FD5"/>
    <w:rsid w:val="00D535C0"/>
    <w:rsid w:val="00D53727"/>
    <w:rsid w:val="00D53B02"/>
    <w:rsid w:val="00D53B3E"/>
    <w:rsid w:val="00D54D33"/>
    <w:rsid w:val="00D550AE"/>
    <w:rsid w:val="00D550E1"/>
    <w:rsid w:val="00D5568E"/>
    <w:rsid w:val="00D5599D"/>
    <w:rsid w:val="00D55FCA"/>
    <w:rsid w:val="00D56D9B"/>
    <w:rsid w:val="00D56F71"/>
    <w:rsid w:val="00D570E6"/>
    <w:rsid w:val="00D577F0"/>
    <w:rsid w:val="00D57829"/>
    <w:rsid w:val="00D57C1A"/>
    <w:rsid w:val="00D6012D"/>
    <w:rsid w:val="00D605B0"/>
    <w:rsid w:val="00D6093B"/>
    <w:rsid w:val="00D61640"/>
    <w:rsid w:val="00D61EDA"/>
    <w:rsid w:val="00D62B03"/>
    <w:rsid w:val="00D62B1D"/>
    <w:rsid w:val="00D6329F"/>
    <w:rsid w:val="00D6371C"/>
    <w:rsid w:val="00D64341"/>
    <w:rsid w:val="00D64BA3"/>
    <w:rsid w:val="00D65236"/>
    <w:rsid w:val="00D657ED"/>
    <w:rsid w:val="00D65E1F"/>
    <w:rsid w:val="00D67C84"/>
    <w:rsid w:val="00D67E78"/>
    <w:rsid w:val="00D70174"/>
    <w:rsid w:val="00D70716"/>
    <w:rsid w:val="00D70C9C"/>
    <w:rsid w:val="00D70EC1"/>
    <w:rsid w:val="00D71E21"/>
    <w:rsid w:val="00D723E7"/>
    <w:rsid w:val="00D727F6"/>
    <w:rsid w:val="00D728AB"/>
    <w:rsid w:val="00D72A50"/>
    <w:rsid w:val="00D72E3A"/>
    <w:rsid w:val="00D72FAC"/>
    <w:rsid w:val="00D73807"/>
    <w:rsid w:val="00D74287"/>
    <w:rsid w:val="00D745A7"/>
    <w:rsid w:val="00D74A5B"/>
    <w:rsid w:val="00D756E4"/>
    <w:rsid w:val="00D763F8"/>
    <w:rsid w:val="00D768CE"/>
    <w:rsid w:val="00D76A6A"/>
    <w:rsid w:val="00D77563"/>
    <w:rsid w:val="00D80BC5"/>
    <w:rsid w:val="00D81939"/>
    <w:rsid w:val="00D81B3F"/>
    <w:rsid w:val="00D81D3D"/>
    <w:rsid w:val="00D826C5"/>
    <w:rsid w:val="00D82E7B"/>
    <w:rsid w:val="00D83506"/>
    <w:rsid w:val="00D838DB"/>
    <w:rsid w:val="00D83DF5"/>
    <w:rsid w:val="00D84F76"/>
    <w:rsid w:val="00D85583"/>
    <w:rsid w:val="00D85FB6"/>
    <w:rsid w:val="00D85FE2"/>
    <w:rsid w:val="00D86847"/>
    <w:rsid w:val="00D86DCE"/>
    <w:rsid w:val="00D8751D"/>
    <w:rsid w:val="00D903CB"/>
    <w:rsid w:val="00D90944"/>
    <w:rsid w:val="00D90E7A"/>
    <w:rsid w:val="00D91B57"/>
    <w:rsid w:val="00D922B5"/>
    <w:rsid w:val="00D922EC"/>
    <w:rsid w:val="00D93130"/>
    <w:rsid w:val="00D937B6"/>
    <w:rsid w:val="00D93824"/>
    <w:rsid w:val="00D93B75"/>
    <w:rsid w:val="00D93EAD"/>
    <w:rsid w:val="00D9422C"/>
    <w:rsid w:val="00D94EBF"/>
    <w:rsid w:val="00D95505"/>
    <w:rsid w:val="00D96516"/>
    <w:rsid w:val="00D96722"/>
    <w:rsid w:val="00D9699F"/>
    <w:rsid w:val="00D96F83"/>
    <w:rsid w:val="00D9760B"/>
    <w:rsid w:val="00DA02C7"/>
    <w:rsid w:val="00DA0C50"/>
    <w:rsid w:val="00DA251B"/>
    <w:rsid w:val="00DA2AAC"/>
    <w:rsid w:val="00DA2BA2"/>
    <w:rsid w:val="00DA3A79"/>
    <w:rsid w:val="00DA3B40"/>
    <w:rsid w:val="00DA4F83"/>
    <w:rsid w:val="00DA5027"/>
    <w:rsid w:val="00DA5232"/>
    <w:rsid w:val="00DA53F3"/>
    <w:rsid w:val="00DA5819"/>
    <w:rsid w:val="00DA6A0C"/>
    <w:rsid w:val="00DA6C48"/>
    <w:rsid w:val="00DA732B"/>
    <w:rsid w:val="00DA767E"/>
    <w:rsid w:val="00DA7926"/>
    <w:rsid w:val="00DA7DCD"/>
    <w:rsid w:val="00DA8FAE"/>
    <w:rsid w:val="00DB012C"/>
    <w:rsid w:val="00DB12CE"/>
    <w:rsid w:val="00DB1563"/>
    <w:rsid w:val="00DB1A53"/>
    <w:rsid w:val="00DB20C3"/>
    <w:rsid w:val="00DB25B2"/>
    <w:rsid w:val="00DB2DDA"/>
    <w:rsid w:val="00DB310A"/>
    <w:rsid w:val="00DB3110"/>
    <w:rsid w:val="00DB3EA7"/>
    <w:rsid w:val="00DB4025"/>
    <w:rsid w:val="00DB4E82"/>
    <w:rsid w:val="00DB5E0A"/>
    <w:rsid w:val="00DB627B"/>
    <w:rsid w:val="00DB66BD"/>
    <w:rsid w:val="00DB7F28"/>
    <w:rsid w:val="00DB7F72"/>
    <w:rsid w:val="00DC1321"/>
    <w:rsid w:val="00DC232E"/>
    <w:rsid w:val="00DC2E5D"/>
    <w:rsid w:val="00DC3672"/>
    <w:rsid w:val="00DC41F5"/>
    <w:rsid w:val="00DC4273"/>
    <w:rsid w:val="00DC4637"/>
    <w:rsid w:val="00DC4D0E"/>
    <w:rsid w:val="00DC5617"/>
    <w:rsid w:val="00DC56B3"/>
    <w:rsid w:val="00DC5CD4"/>
    <w:rsid w:val="00DC67B2"/>
    <w:rsid w:val="00DC690E"/>
    <w:rsid w:val="00DC6A9B"/>
    <w:rsid w:val="00DC6B9C"/>
    <w:rsid w:val="00DC6F55"/>
    <w:rsid w:val="00DC71AC"/>
    <w:rsid w:val="00DC7DA6"/>
    <w:rsid w:val="00DC7E03"/>
    <w:rsid w:val="00DD1E7C"/>
    <w:rsid w:val="00DD236E"/>
    <w:rsid w:val="00DD284F"/>
    <w:rsid w:val="00DD2F47"/>
    <w:rsid w:val="00DD2FB8"/>
    <w:rsid w:val="00DD3188"/>
    <w:rsid w:val="00DD3648"/>
    <w:rsid w:val="00DD4958"/>
    <w:rsid w:val="00DD5566"/>
    <w:rsid w:val="00DD584B"/>
    <w:rsid w:val="00DD594D"/>
    <w:rsid w:val="00DD5E71"/>
    <w:rsid w:val="00DD6389"/>
    <w:rsid w:val="00DD6428"/>
    <w:rsid w:val="00DD67FF"/>
    <w:rsid w:val="00DD6E92"/>
    <w:rsid w:val="00DD7489"/>
    <w:rsid w:val="00DD7940"/>
    <w:rsid w:val="00DE0B62"/>
    <w:rsid w:val="00DE0B82"/>
    <w:rsid w:val="00DE12FF"/>
    <w:rsid w:val="00DE15A2"/>
    <w:rsid w:val="00DE178D"/>
    <w:rsid w:val="00DE1829"/>
    <w:rsid w:val="00DE184B"/>
    <w:rsid w:val="00DE18A1"/>
    <w:rsid w:val="00DE309D"/>
    <w:rsid w:val="00DE3B4F"/>
    <w:rsid w:val="00DE3CDF"/>
    <w:rsid w:val="00DE5337"/>
    <w:rsid w:val="00DE5D0E"/>
    <w:rsid w:val="00DE6DDA"/>
    <w:rsid w:val="00DE6F2D"/>
    <w:rsid w:val="00DF07CC"/>
    <w:rsid w:val="00DF1412"/>
    <w:rsid w:val="00DF1B59"/>
    <w:rsid w:val="00DF1DC3"/>
    <w:rsid w:val="00DF241E"/>
    <w:rsid w:val="00DF3E0B"/>
    <w:rsid w:val="00DF4623"/>
    <w:rsid w:val="00DF5504"/>
    <w:rsid w:val="00DF5B1F"/>
    <w:rsid w:val="00DF6A3A"/>
    <w:rsid w:val="00DF7459"/>
    <w:rsid w:val="00DF7688"/>
    <w:rsid w:val="00E003D0"/>
    <w:rsid w:val="00E006D5"/>
    <w:rsid w:val="00E00AC7"/>
    <w:rsid w:val="00E00BBE"/>
    <w:rsid w:val="00E00CA9"/>
    <w:rsid w:val="00E01534"/>
    <w:rsid w:val="00E0190D"/>
    <w:rsid w:val="00E02320"/>
    <w:rsid w:val="00E02755"/>
    <w:rsid w:val="00E030A4"/>
    <w:rsid w:val="00E04678"/>
    <w:rsid w:val="00E04CE2"/>
    <w:rsid w:val="00E04EA4"/>
    <w:rsid w:val="00E05DD4"/>
    <w:rsid w:val="00E05E69"/>
    <w:rsid w:val="00E05E9F"/>
    <w:rsid w:val="00E05FE3"/>
    <w:rsid w:val="00E0653C"/>
    <w:rsid w:val="00E067F5"/>
    <w:rsid w:val="00E06C3B"/>
    <w:rsid w:val="00E07274"/>
    <w:rsid w:val="00E075AC"/>
    <w:rsid w:val="00E0766B"/>
    <w:rsid w:val="00E107DC"/>
    <w:rsid w:val="00E10869"/>
    <w:rsid w:val="00E10D50"/>
    <w:rsid w:val="00E11382"/>
    <w:rsid w:val="00E12A37"/>
    <w:rsid w:val="00E12F4C"/>
    <w:rsid w:val="00E13087"/>
    <w:rsid w:val="00E13AE3"/>
    <w:rsid w:val="00E13B21"/>
    <w:rsid w:val="00E146D3"/>
    <w:rsid w:val="00E155D2"/>
    <w:rsid w:val="00E15D36"/>
    <w:rsid w:val="00E15D5E"/>
    <w:rsid w:val="00E16E2A"/>
    <w:rsid w:val="00E171B6"/>
    <w:rsid w:val="00E1781E"/>
    <w:rsid w:val="00E20198"/>
    <w:rsid w:val="00E20414"/>
    <w:rsid w:val="00E204FA"/>
    <w:rsid w:val="00E21055"/>
    <w:rsid w:val="00E2156A"/>
    <w:rsid w:val="00E21612"/>
    <w:rsid w:val="00E21A68"/>
    <w:rsid w:val="00E21BD9"/>
    <w:rsid w:val="00E227C2"/>
    <w:rsid w:val="00E22C47"/>
    <w:rsid w:val="00E2314A"/>
    <w:rsid w:val="00E231E9"/>
    <w:rsid w:val="00E24254"/>
    <w:rsid w:val="00E24B70"/>
    <w:rsid w:val="00E250A9"/>
    <w:rsid w:val="00E252CE"/>
    <w:rsid w:val="00E25732"/>
    <w:rsid w:val="00E264F3"/>
    <w:rsid w:val="00E26DEF"/>
    <w:rsid w:val="00E27481"/>
    <w:rsid w:val="00E27A87"/>
    <w:rsid w:val="00E27F2D"/>
    <w:rsid w:val="00E30177"/>
    <w:rsid w:val="00E305CF"/>
    <w:rsid w:val="00E315AE"/>
    <w:rsid w:val="00E31D8F"/>
    <w:rsid w:val="00E3269F"/>
    <w:rsid w:val="00E33197"/>
    <w:rsid w:val="00E33392"/>
    <w:rsid w:val="00E33AC1"/>
    <w:rsid w:val="00E33CDB"/>
    <w:rsid w:val="00E34A7C"/>
    <w:rsid w:val="00E34D79"/>
    <w:rsid w:val="00E353B4"/>
    <w:rsid w:val="00E35463"/>
    <w:rsid w:val="00E40DA7"/>
    <w:rsid w:val="00E4138F"/>
    <w:rsid w:val="00E414D8"/>
    <w:rsid w:val="00E41666"/>
    <w:rsid w:val="00E41BB1"/>
    <w:rsid w:val="00E42276"/>
    <w:rsid w:val="00E43C06"/>
    <w:rsid w:val="00E43C79"/>
    <w:rsid w:val="00E4410F"/>
    <w:rsid w:val="00E45365"/>
    <w:rsid w:val="00E458EF"/>
    <w:rsid w:val="00E45C50"/>
    <w:rsid w:val="00E45F38"/>
    <w:rsid w:val="00E46032"/>
    <w:rsid w:val="00E4631B"/>
    <w:rsid w:val="00E50543"/>
    <w:rsid w:val="00E5094F"/>
    <w:rsid w:val="00E50A60"/>
    <w:rsid w:val="00E510EF"/>
    <w:rsid w:val="00E51B24"/>
    <w:rsid w:val="00E51C44"/>
    <w:rsid w:val="00E526F3"/>
    <w:rsid w:val="00E52B9C"/>
    <w:rsid w:val="00E52CFC"/>
    <w:rsid w:val="00E53325"/>
    <w:rsid w:val="00E5375E"/>
    <w:rsid w:val="00E537A2"/>
    <w:rsid w:val="00E53DD8"/>
    <w:rsid w:val="00E549C0"/>
    <w:rsid w:val="00E54AD6"/>
    <w:rsid w:val="00E54CAA"/>
    <w:rsid w:val="00E55F76"/>
    <w:rsid w:val="00E601AF"/>
    <w:rsid w:val="00E6104E"/>
    <w:rsid w:val="00E612C1"/>
    <w:rsid w:val="00E61A9F"/>
    <w:rsid w:val="00E62246"/>
    <w:rsid w:val="00E627DF"/>
    <w:rsid w:val="00E629BF"/>
    <w:rsid w:val="00E63F46"/>
    <w:rsid w:val="00E65655"/>
    <w:rsid w:val="00E65AB9"/>
    <w:rsid w:val="00E65DA3"/>
    <w:rsid w:val="00E66D88"/>
    <w:rsid w:val="00E67153"/>
    <w:rsid w:val="00E7065C"/>
    <w:rsid w:val="00E7158D"/>
    <w:rsid w:val="00E718AA"/>
    <w:rsid w:val="00E71C2E"/>
    <w:rsid w:val="00E72294"/>
    <w:rsid w:val="00E7270E"/>
    <w:rsid w:val="00E72DD1"/>
    <w:rsid w:val="00E7397A"/>
    <w:rsid w:val="00E73A69"/>
    <w:rsid w:val="00E73F08"/>
    <w:rsid w:val="00E74259"/>
    <w:rsid w:val="00E74355"/>
    <w:rsid w:val="00E75D63"/>
    <w:rsid w:val="00E75F55"/>
    <w:rsid w:val="00E76918"/>
    <w:rsid w:val="00E77049"/>
    <w:rsid w:val="00E7772E"/>
    <w:rsid w:val="00E80B3D"/>
    <w:rsid w:val="00E81121"/>
    <w:rsid w:val="00E8119E"/>
    <w:rsid w:val="00E81CD8"/>
    <w:rsid w:val="00E81DEF"/>
    <w:rsid w:val="00E81EF7"/>
    <w:rsid w:val="00E8202A"/>
    <w:rsid w:val="00E82D17"/>
    <w:rsid w:val="00E8315B"/>
    <w:rsid w:val="00E833DE"/>
    <w:rsid w:val="00E833EE"/>
    <w:rsid w:val="00E83B1A"/>
    <w:rsid w:val="00E8668C"/>
    <w:rsid w:val="00E87C53"/>
    <w:rsid w:val="00E908BE"/>
    <w:rsid w:val="00E9097E"/>
    <w:rsid w:val="00E90A44"/>
    <w:rsid w:val="00E90BC8"/>
    <w:rsid w:val="00E913A3"/>
    <w:rsid w:val="00E914C7"/>
    <w:rsid w:val="00E9161B"/>
    <w:rsid w:val="00E92431"/>
    <w:rsid w:val="00E9255E"/>
    <w:rsid w:val="00E93480"/>
    <w:rsid w:val="00E93F57"/>
    <w:rsid w:val="00E9401E"/>
    <w:rsid w:val="00E9452B"/>
    <w:rsid w:val="00E947BD"/>
    <w:rsid w:val="00E947FC"/>
    <w:rsid w:val="00E9497F"/>
    <w:rsid w:val="00E950F9"/>
    <w:rsid w:val="00E954AD"/>
    <w:rsid w:val="00E95C7E"/>
    <w:rsid w:val="00E961E5"/>
    <w:rsid w:val="00E9625B"/>
    <w:rsid w:val="00EA004B"/>
    <w:rsid w:val="00EA024E"/>
    <w:rsid w:val="00EA0DBA"/>
    <w:rsid w:val="00EA0EDC"/>
    <w:rsid w:val="00EA1396"/>
    <w:rsid w:val="00EA13B5"/>
    <w:rsid w:val="00EA1854"/>
    <w:rsid w:val="00EA25F2"/>
    <w:rsid w:val="00EA2908"/>
    <w:rsid w:val="00EA298D"/>
    <w:rsid w:val="00EA393D"/>
    <w:rsid w:val="00EA39E6"/>
    <w:rsid w:val="00EA3C36"/>
    <w:rsid w:val="00EA4005"/>
    <w:rsid w:val="00EA4DBF"/>
    <w:rsid w:val="00EA51BC"/>
    <w:rsid w:val="00EA527E"/>
    <w:rsid w:val="00EA58C8"/>
    <w:rsid w:val="00EA674D"/>
    <w:rsid w:val="00EA67DF"/>
    <w:rsid w:val="00EA712F"/>
    <w:rsid w:val="00EA7A27"/>
    <w:rsid w:val="00EA7AF3"/>
    <w:rsid w:val="00EB0198"/>
    <w:rsid w:val="00EB0482"/>
    <w:rsid w:val="00EB0535"/>
    <w:rsid w:val="00EB0BE5"/>
    <w:rsid w:val="00EB299F"/>
    <w:rsid w:val="00EB2AA8"/>
    <w:rsid w:val="00EB2BFC"/>
    <w:rsid w:val="00EB395C"/>
    <w:rsid w:val="00EB4DEF"/>
    <w:rsid w:val="00EB5348"/>
    <w:rsid w:val="00EB5DEC"/>
    <w:rsid w:val="00EB67A0"/>
    <w:rsid w:val="00EB6CBA"/>
    <w:rsid w:val="00EB7C31"/>
    <w:rsid w:val="00EB7CA9"/>
    <w:rsid w:val="00EC0156"/>
    <w:rsid w:val="00EC0928"/>
    <w:rsid w:val="00EC20B6"/>
    <w:rsid w:val="00EC21F4"/>
    <w:rsid w:val="00EC252D"/>
    <w:rsid w:val="00EC37CF"/>
    <w:rsid w:val="00EC3C89"/>
    <w:rsid w:val="00EC5365"/>
    <w:rsid w:val="00EC5E6B"/>
    <w:rsid w:val="00EC5EE6"/>
    <w:rsid w:val="00EC6BDA"/>
    <w:rsid w:val="00EC6ECA"/>
    <w:rsid w:val="00EC6FD2"/>
    <w:rsid w:val="00EC7113"/>
    <w:rsid w:val="00EC740E"/>
    <w:rsid w:val="00EC75CF"/>
    <w:rsid w:val="00EC7AB4"/>
    <w:rsid w:val="00ED2DD5"/>
    <w:rsid w:val="00ED2F8E"/>
    <w:rsid w:val="00ED3032"/>
    <w:rsid w:val="00ED31A0"/>
    <w:rsid w:val="00ED39A8"/>
    <w:rsid w:val="00ED3C45"/>
    <w:rsid w:val="00ED3F4F"/>
    <w:rsid w:val="00ED4777"/>
    <w:rsid w:val="00ED4A9E"/>
    <w:rsid w:val="00ED4C4C"/>
    <w:rsid w:val="00ED4C5C"/>
    <w:rsid w:val="00ED4E94"/>
    <w:rsid w:val="00ED574C"/>
    <w:rsid w:val="00ED5FCD"/>
    <w:rsid w:val="00ED7D14"/>
    <w:rsid w:val="00EE024F"/>
    <w:rsid w:val="00EE0273"/>
    <w:rsid w:val="00EE1766"/>
    <w:rsid w:val="00EE23A1"/>
    <w:rsid w:val="00EE3037"/>
    <w:rsid w:val="00EE30EF"/>
    <w:rsid w:val="00EE3FA3"/>
    <w:rsid w:val="00EE4057"/>
    <w:rsid w:val="00EE4E1D"/>
    <w:rsid w:val="00EE5452"/>
    <w:rsid w:val="00EE54FC"/>
    <w:rsid w:val="00EE6964"/>
    <w:rsid w:val="00EF0345"/>
    <w:rsid w:val="00EF05CE"/>
    <w:rsid w:val="00EF10F9"/>
    <w:rsid w:val="00EF1BFC"/>
    <w:rsid w:val="00EF1DA4"/>
    <w:rsid w:val="00EF23A7"/>
    <w:rsid w:val="00EF23D8"/>
    <w:rsid w:val="00EF4503"/>
    <w:rsid w:val="00EF520C"/>
    <w:rsid w:val="00EF5B16"/>
    <w:rsid w:val="00EF6B2B"/>
    <w:rsid w:val="00EF7180"/>
    <w:rsid w:val="00EF757F"/>
    <w:rsid w:val="00EF79EA"/>
    <w:rsid w:val="00EF7A58"/>
    <w:rsid w:val="00EF7D2B"/>
    <w:rsid w:val="00F00004"/>
    <w:rsid w:val="00F00553"/>
    <w:rsid w:val="00F00E60"/>
    <w:rsid w:val="00F00F18"/>
    <w:rsid w:val="00F010DA"/>
    <w:rsid w:val="00F01241"/>
    <w:rsid w:val="00F01349"/>
    <w:rsid w:val="00F014EE"/>
    <w:rsid w:val="00F016FA"/>
    <w:rsid w:val="00F01900"/>
    <w:rsid w:val="00F01DA3"/>
    <w:rsid w:val="00F01E9B"/>
    <w:rsid w:val="00F03509"/>
    <w:rsid w:val="00F03A70"/>
    <w:rsid w:val="00F03D63"/>
    <w:rsid w:val="00F03E45"/>
    <w:rsid w:val="00F04065"/>
    <w:rsid w:val="00F04149"/>
    <w:rsid w:val="00F04647"/>
    <w:rsid w:val="00F061C3"/>
    <w:rsid w:val="00F067D1"/>
    <w:rsid w:val="00F06E77"/>
    <w:rsid w:val="00F07170"/>
    <w:rsid w:val="00F079AA"/>
    <w:rsid w:val="00F07A6F"/>
    <w:rsid w:val="00F1026E"/>
    <w:rsid w:val="00F10992"/>
    <w:rsid w:val="00F11246"/>
    <w:rsid w:val="00F11720"/>
    <w:rsid w:val="00F1172E"/>
    <w:rsid w:val="00F12130"/>
    <w:rsid w:val="00F12668"/>
    <w:rsid w:val="00F12C4A"/>
    <w:rsid w:val="00F12FAA"/>
    <w:rsid w:val="00F13018"/>
    <w:rsid w:val="00F135AE"/>
    <w:rsid w:val="00F14065"/>
    <w:rsid w:val="00F146ED"/>
    <w:rsid w:val="00F1473A"/>
    <w:rsid w:val="00F147F0"/>
    <w:rsid w:val="00F15452"/>
    <w:rsid w:val="00F15770"/>
    <w:rsid w:val="00F15B72"/>
    <w:rsid w:val="00F16302"/>
    <w:rsid w:val="00F16654"/>
    <w:rsid w:val="00F16B14"/>
    <w:rsid w:val="00F16B39"/>
    <w:rsid w:val="00F16FAE"/>
    <w:rsid w:val="00F1727B"/>
    <w:rsid w:val="00F1736F"/>
    <w:rsid w:val="00F20558"/>
    <w:rsid w:val="00F20C57"/>
    <w:rsid w:val="00F21316"/>
    <w:rsid w:val="00F22014"/>
    <w:rsid w:val="00F23118"/>
    <w:rsid w:val="00F233F4"/>
    <w:rsid w:val="00F23A27"/>
    <w:rsid w:val="00F24403"/>
    <w:rsid w:val="00F2459B"/>
    <w:rsid w:val="00F24B0C"/>
    <w:rsid w:val="00F2547B"/>
    <w:rsid w:val="00F262A0"/>
    <w:rsid w:val="00F26430"/>
    <w:rsid w:val="00F26452"/>
    <w:rsid w:val="00F264AB"/>
    <w:rsid w:val="00F27039"/>
    <w:rsid w:val="00F273A4"/>
    <w:rsid w:val="00F2754E"/>
    <w:rsid w:val="00F2758F"/>
    <w:rsid w:val="00F27E57"/>
    <w:rsid w:val="00F31612"/>
    <w:rsid w:val="00F31A26"/>
    <w:rsid w:val="00F3269B"/>
    <w:rsid w:val="00F3292C"/>
    <w:rsid w:val="00F33528"/>
    <w:rsid w:val="00F337F1"/>
    <w:rsid w:val="00F33C54"/>
    <w:rsid w:val="00F33D97"/>
    <w:rsid w:val="00F33F8C"/>
    <w:rsid w:val="00F34178"/>
    <w:rsid w:val="00F3484E"/>
    <w:rsid w:val="00F34A7F"/>
    <w:rsid w:val="00F34E72"/>
    <w:rsid w:val="00F350FE"/>
    <w:rsid w:val="00F364F0"/>
    <w:rsid w:val="00F36852"/>
    <w:rsid w:val="00F36FD7"/>
    <w:rsid w:val="00F37C2A"/>
    <w:rsid w:val="00F4004B"/>
    <w:rsid w:val="00F402FC"/>
    <w:rsid w:val="00F4071F"/>
    <w:rsid w:val="00F40A57"/>
    <w:rsid w:val="00F40BE0"/>
    <w:rsid w:val="00F41124"/>
    <w:rsid w:val="00F413A2"/>
    <w:rsid w:val="00F419AD"/>
    <w:rsid w:val="00F41ACE"/>
    <w:rsid w:val="00F41B24"/>
    <w:rsid w:val="00F41C67"/>
    <w:rsid w:val="00F42C0F"/>
    <w:rsid w:val="00F42E3F"/>
    <w:rsid w:val="00F42F3E"/>
    <w:rsid w:val="00F438A5"/>
    <w:rsid w:val="00F43A52"/>
    <w:rsid w:val="00F43F9E"/>
    <w:rsid w:val="00F44DF6"/>
    <w:rsid w:val="00F452A2"/>
    <w:rsid w:val="00F4567E"/>
    <w:rsid w:val="00F45CC4"/>
    <w:rsid w:val="00F45E87"/>
    <w:rsid w:val="00F461FE"/>
    <w:rsid w:val="00F46748"/>
    <w:rsid w:val="00F46CB3"/>
    <w:rsid w:val="00F46D42"/>
    <w:rsid w:val="00F476F7"/>
    <w:rsid w:val="00F47B9D"/>
    <w:rsid w:val="00F47D95"/>
    <w:rsid w:val="00F50316"/>
    <w:rsid w:val="00F509C6"/>
    <w:rsid w:val="00F50E0C"/>
    <w:rsid w:val="00F50F8C"/>
    <w:rsid w:val="00F51144"/>
    <w:rsid w:val="00F516F4"/>
    <w:rsid w:val="00F51CFF"/>
    <w:rsid w:val="00F52454"/>
    <w:rsid w:val="00F52564"/>
    <w:rsid w:val="00F531C6"/>
    <w:rsid w:val="00F5391A"/>
    <w:rsid w:val="00F54E00"/>
    <w:rsid w:val="00F55028"/>
    <w:rsid w:val="00F553D2"/>
    <w:rsid w:val="00F5557D"/>
    <w:rsid w:val="00F55E41"/>
    <w:rsid w:val="00F5627F"/>
    <w:rsid w:val="00F5637E"/>
    <w:rsid w:val="00F57754"/>
    <w:rsid w:val="00F57E97"/>
    <w:rsid w:val="00F62649"/>
    <w:rsid w:val="00F628CD"/>
    <w:rsid w:val="00F6443F"/>
    <w:rsid w:val="00F65B07"/>
    <w:rsid w:val="00F65B98"/>
    <w:rsid w:val="00F662F1"/>
    <w:rsid w:val="00F664A7"/>
    <w:rsid w:val="00F66507"/>
    <w:rsid w:val="00F66CD2"/>
    <w:rsid w:val="00F675AE"/>
    <w:rsid w:val="00F704C7"/>
    <w:rsid w:val="00F70C41"/>
    <w:rsid w:val="00F711B1"/>
    <w:rsid w:val="00F711FA"/>
    <w:rsid w:val="00F72A40"/>
    <w:rsid w:val="00F7318D"/>
    <w:rsid w:val="00F74190"/>
    <w:rsid w:val="00F74223"/>
    <w:rsid w:val="00F744E7"/>
    <w:rsid w:val="00F745F5"/>
    <w:rsid w:val="00F74C76"/>
    <w:rsid w:val="00F75408"/>
    <w:rsid w:val="00F7601A"/>
    <w:rsid w:val="00F76EB3"/>
    <w:rsid w:val="00F775F5"/>
    <w:rsid w:val="00F77DB0"/>
    <w:rsid w:val="00F77EE0"/>
    <w:rsid w:val="00F800D7"/>
    <w:rsid w:val="00F814A3"/>
    <w:rsid w:val="00F82805"/>
    <w:rsid w:val="00F82CBB"/>
    <w:rsid w:val="00F83313"/>
    <w:rsid w:val="00F8398B"/>
    <w:rsid w:val="00F83CC1"/>
    <w:rsid w:val="00F843F6"/>
    <w:rsid w:val="00F84737"/>
    <w:rsid w:val="00F85D61"/>
    <w:rsid w:val="00F8670E"/>
    <w:rsid w:val="00F8758B"/>
    <w:rsid w:val="00F87CB6"/>
    <w:rsid w:val="00F9102A"/>
    <w:rsid w:val="00F91312"/>
    <w:rsid w:val="00F916CE"/>
    <w:rsid w:val="00F91A7E"/>
    <w:rsid w:val="00F91BC0"/>
    <w:rsid w:val="00F9214E"/>
    <w:rsid w:val="00F92274"/>
    <w:rsid w:val="00F92970"/>
    <w:rsid w:val="00F929BB"/>
    <w:rsid w:val="00F92F7A"/>
    <w:rsid w:val="00F9320E"/>
    <w:rsid w:val="00F935C1"/>
    <w:rsid w:val="00F93889"/>
    <w:rsid w:val="00F945B4"/>
    <w:rsid w:val="00F946E9"/>
    <w:rsid w:val="00F94826"/>
    <w:rsid w:val="00F94FBC"/>
    <w:rsid w:val="00F9597E"/>
    <w:rsid w:val="00F95DED"/>
    <w:rsid w:val="00F95EDE"/>
    <w:rsid w:val="00F96A39"/>
    <w:rsid w:val="00F97BE1"/>
    <w:rsid w:val="00FA074F"/>
    <w:rsid w:val="00FA0C90"/>
    <w:rsid w:val="00FA0F9F"/>
    <w:rsid w:val="00FA1839"/>
    <w:rsid w:val="00FA1A7F"/>
    <w:rsid w:val="00FA1EE5"/>
    <w:rsid w:val="00FA21E4"/>
    <w:rsid w:val="00FA23EA"/>
    <w:rsid w:val="00FA2588"/>
    <w:rsid w:val="00FA264A"/>
    <w:rsid w:val="00FA2B67"/>
    <w:rsid w:val="00FA359A"/>
    <w:rsid w:val="00FA427F"/>
    <w:rsid w:val="00FA4E71"/>
    <w:rsid w:val="00FA552C"/>
    <w:rsid w:val="00FA5638"/>
    <w:rsid w:val="00FA567A"/>
    <w:rsid w:val="00FA587F"/>
    <w:rsid w:val="00FA5902"/>
    <w:rsid w:val="00FA6289"/>
    <w:rsid w:val="00FA6972"/>
    <w:rsid w:val="00FA6D8E"/>
    <w:rsid w:val="00FA72CF"/>
    <w:rsid w:val="00FA7450"/>
    <w:rsid w:val="00FB019D"/>
    <w:rsid w:val="00FB085E"/>
    <w:rsid w:val="00FB0868"/>
    <w:rsid w:val="00FB0DA1"/>
    <w:rsid w:val="00FB119A"/>
    <w:rsid w:val="00FB17CC"/>
    <w:rsid w:val="00FB18F5"/>
    <w:rsid w:val="00FB1C5B"/>
    <w:rsid w:val="00FB3461"/>
    <w:rsid w:val="00FB35C9"/>
    <w:rsid w:val="00FB46F7"/>
    <w:rsid w:val="00FB4826"/>
    <w:rsid w:val="00FB548D"/>
    <w:rsid w:val="00FB5522"/>
    <w:rsid w:val="00FB5683"/>
    <w:rsid w:val="00FB5A7E"/>
    <w:rsid w:val="00FB5E82"/>
    <w:rsid w:val="00FB64A3"/>
    <w:rsid w:val="00FC05A5"/>
    <w:rsid w:val="00FC0F8D"/>
    <w:rsid w:val="00FC1499"/>
    <w:rsid w:val="00FC1926"/>
    <w:rsid w:val="00FC1A52"/>
    <w:rsid w:val="00FC1DF6"/>
    <w:rsid w:val="00FC231B"/>
    <w:rsid w:val="00FC23BB"/>
    <w:rsid w:val="00FC2523"/>
    <w:rsid w:val="00FC35DA"/>
    <w:rsid w:val="00FC3BE1"/>
    <w:rsid w:val="00FC4270"/>
    <w:rsid w:val="00FC49B5"/>
    <w:rsid w:val="00FC4B7B"/>
    <w:rsid w:val="00FC4C55"/>
    <w:rsid w:val="00FC55BE"/>
    <w:rsid w:val="00FC6D96"/>
    <w:rsid w:val="00FC70F0"/>
    <w:rsid w:val="00FC755E"/>
    <w:rsid w:val="00FC7C07"/>
    <w:rsid w:val="00FC7D14"/>
    <w:rsid w:val="00FD051B"/>
    <w:rsid w:val="00FD0B8D"/>
    <w:rsid w:val="00FD137B"/>
    <w:rsid w:val="00FD1392"/>
    <w:rsid w:val="00FD14EE"/>
    <w:rsid w:val="00FD182D"/>
    <w:rsid w:val="00FD223E"/>
    <w:rsid w:val="00FD284F"/>
    <w:rsid w:val="00FD3D19"/>
    <w:rsid w:val="00FD3D90"/>
    <w:rsid w:val="00FD43C0"/>
    <w:rsid w:val="00FD4652"/>
    <w:rsid w:val="00FD4843"/>
    <w:rsid w:val="00FD4D0E"/>
    <w:rsid w:val="00FD5A7C"/>
    <w:rsid w:val="00FD69CE"/>
    <w:rsid w:val="00FD6B0F"/>
    <w:rsid w:val="00FD6F42"/>
    <w:rsid w:val="00FD70F1"/>
    <w:rsid w:val="00FD7224"/>
    <w:rsid w:val="00FD7506"/>
    <w:rsid w:val="00FD75A0"/>
    <w:rsid w:val="00FD7757"/>
    <w:rsid w:val="00FE0190"/>
    <w:rsid w:val="00FE0350"/>
    <w:rsid w:val="00FE037E"/>
    <w:rsid w:val="00FE0F2B"/>
    <w:rsid w:val="00FE1655"/>
    <w:rsid w:val="00FE1D31"/>
    <w:rsid w:val="00FE1DAA"/>
    <w:rsid w:val="00FE2258"/>
    <w:rsid w:val="00FE2D39"/>
    <w:rsid w:val="00FE3788"/>
    <w:rsid w:val="00FE4E6D"/>
    <w:rsid w:val="00FE5218"/>
    <w:rsid w:val="00FE56C4"/>
    <w:rsid w:val="00FE5989"/>
    <w:rsid w:val="00FE5F4B"/>
    <w:rsid w:val="00FE620B"/>
    <w:rsid w:val="00FE6401"/>
    <w:rsid w:val="00FE6BEF"/>
    <w:rsid w:val="00FE6EF0"/>
    <w:rsid w:val="00FE78D3"/>
    <w:rsid w:val="00FE7E5A"/>
    <w:rsid w:val="00FF1269"/>
    <w:rsid w:val="00FF16A7"/>
    <w:rsid w:val="00FF1912"/>
    <w:rsid w:val="00FF1B64"/>
    <w:rsid w:val="00FF1D27"/>
    <w:rsid w:val="00FF201E"/>
    <w:rsid w:val="00FF259D"/>
    <w:rsid w:val="00FF3E24"/>
    <w:rsid w:val="00FF3E73"/>
    <w:rsid w:val="00FF3F88"/>
    <w:rsid w:val="00FF433C"/>
    <w:rsid w:val="00FF4F49"/>
    <w:rsid w:val="00FF5404"/>
    <w:rsid w:val="00FF609F"/>
    <w:rsid w:val="00FF6BFD"/>
    <w:rsid w:val="00FF7014"/>
    <w:rsid w:val="00FF739C"/>
    <w:rsid w:val="00FF7465"/>
    <w:rsid w:val="00FF787B"/>
    <w:rsid w:val="011095BA"/>
    <w:rsid w:val="014B4DBE"/>
    <w:rsid w:val="0164E189"/>
    <w:rsid w:val="01E8D9C4"/>
    <w:rsid w:val="01E9947E"/>
    <w:rsid w:val="02070AF8"/>
    <w:rsid w:val="022624D4"/>
    <w:rsid w:val="023729A0"/>
    <w:rsid w:val="023862A1"/>
    <w:rsid w:val="0248610C"/>
    <w:rsid w:val="02785CF0"/>
    <w:rsid w:val="02792E80"/>
    <w:rsid w:val="02CE7411"/>
    <w:rsid w:val="02F01853"/>
    <w:rsid w:val="02F825CC"/>
    <w:rsid w:val="0313F0A7"/>
    <w:rsid w:val="032E71A8"/>
    <w:rsid w:val="033B5FCD"/>
    <w:rsid w:val="0374C9A6"/>
    <w:rsid w:val="03B6650D"/>
    <w:rsid w:val="03DD2292"/>
    <w:rsid w:val="03F8E663"/>
    <w:rsid w:val="03FC3455"/>
    <w:rsid w:val="043A999B"/>
    <w:rsid w:val="044F187B"/>
    <w:rsid w:val="04718EC7"/>
    <w:rsid w:val="04823F60"/>
    <w:rsid w:val="04B75D5A"/>
    <w:rsid w:val="04DE184A"/>
    <w:rsid w:val="04FF0342"/>
    <w:rsid w:val="05637D53"/>
    <w:rsid w:val="05A21C7E"/>
    <w:rsid w:val="05CCC65B"/>
    <w:rsid w:val="05DE53B7"/>
    <w:rsid w:val="0616D8D4"/>
    <w:rsid w:val="06194319"/>
    <w:rsid w:val="06279898"/>
    <w:rsid w:val="062D67B5"/>
    <w:rsid w:val="06453178"/>
    <w:rsid w:val="0645961B"/>
    <w:rsid w:val="06502409"/>
    <w:rsid w:val="065F7650"/>
    <w:rsid w:val="067BD527"/>
    <w:rsid w:val="0681BB6A"/>
    <w:rsid w:val="0685CA90"/>
    <w:rsid w:val="068660D0"/>
    <w:rsid w:val="068B89DA"/>
    <w:rsid w:val="069CD838"/>
    <w:rsid w:val="06A4C6FA"/>
    <w:rsid w:val="06BD3DC9"/>
    <w:rsid w:val="06DCCB8E"/>
    <w:rsid w:val="06E658A7"/>
    <w:rsid w:val="07622C4F"/>
    <w:rsid w:val="07706F20"/>
    <w:rsid w:val="07896B2C"/>
    <w:rsid w:val="07A56642"/>
    <w:rsid w:val="07A9BD2F"/>
    <w:rsid w:val="07C2B665"/>
    <w:rsid w:val="07DEA79C"/>
    <w:rsid w:val="07DFBFC6"/>
    <w:rsid w:val="07E2F7E9"/>
    <w:rsid w:val="07EE1203"/>
    <w:rsid w:val="080BADDC"/>
    <w:rsid w:val="080EC197"/>
    <w:rsid w:val="08274255"/>
    <w:rsid w:val="083B5916"/>
    <w:rsid w:val="084EE937"/>
    <w:rsid w:val="08539BD2"/>
    <w:rsid w:val="08674A04"/>
    <w:rsid w:val="086DC264"/>
    <w:rsid w:val="088DF843"/>
    <w:rsid w:val="08D394A6"/>
    <w:rsid w:val="08D8C8D9"/>
    <w:rsid w:val="08F470B9"/>
    <w:rsid w:val="08FD353B"/>
    <w:rsid w:val="090049BD"/>
    <w:rsid w:val="0933C88C"/>
    <w:rsid w:val="094950A1"/>
    <w:rsid w:val="096CD2DA"/>
    <w:rsid w:val="096F18E5"/>
    <w:rsid w:val="0972F819"/>
    <w:rsid w:val="097C2606"/>
    <w:rsid w:val="09942EA9"/>
    <w:rsid w:val="099AA58F"/>
    <w:rsid w:val="09B3555E"/>
    <w:rsid w:val="09B45DD2"/>
    <w:rsid w:val="09D1AC7D"/>
    <w:rsid w:val="0A15F2C2"/>
    <w:rsid w:val="0A377B3A"/>
    <w:rsid w:val="0A623DD3"/>
    <w:rsid w:val="0A769B94"/>
    <w:rsid w:val="0A816131"/>
    <w:rsid w:val="0A9352E6"/>
    <w:rsid w:val="0A9CFECA"/>
    <w:rsid w:val="0AB90000"/>
    <w:rsid w:val="0AD86256"/>
    <w:rsid w:val="0AE39F1D"/>
    <w:rsid w:val="0AE9A567"/>
    <w:rsid w:val="0B0DE924"/>
    <w:rsid w:val="0B48555F"/>
    <w:rsid w:val="0B542EB1"/>
    <w:rsid w:val="0B5E40D1"/>
    <w:rsid w:val="0B98EFEC"/>
    <w:rsid w:val="0BCAF153"/>
    <w:rsid w:val="0BDD6C50"/>
    <w:rsid w:val="0BF99F94"/>
    <w:rsid w:val="0C0F8624"/>
    <w:rsid w:val="0C1F47E4"/>
    <w:rsid w:val="0C2F5D4B"/>
    <w:rsid w:val="0C3E7CBB"/>
    <w:rsid w:val="0C449081"/>
    <w:rsid w:val="0CB1E967"/>
    <w:rsid w:val="0CBD1179"/>
    <w:rsid w:val="0CE3528F"/>
    <w:rsid w:val="0D11D499"/>
    <w:rsid w:val="0D5D5EBF"/>
    <w:rsid w:val="0D6B3CE6"/>
    <w:rsid w:val="0DD6C772"/>
    <w:rsid w:val="0DE6EF30"/>
    <w:rsid w:val="0DFD2F3F"/>
    <w:rsid w:val="0DFDD3BB"/>
    <w:rsid w:val="0E1444B8"/>
    <w:rsid w:val="0E205460"/>
    <w:rsid w:val="0E3E5DC6"/>
    <w:rsid w:val="0E478774"/>
    <w:rsid w:val="0E48E6E2"/>
    <w:rsid w:val="0E9903C3"/>
    <w:rsid w:val="0F198661"/>
    <w:rsid w:val="0F20C18F"/>
    <w:rsid w:val="0F217F52"/>
    <w:rsid w:val="0F374E56"/>
    <w:rsid w:val="0F4BD264"/>
    <w:rsid w:val="0F5D56D8"/>
    <w:rsid w:val="0F80C0E5"/>
    <w:rsid w:val="0F8A4362"/>
    <w:rsid w:val="0F976503"/>
    <w:rsid w:val="0F9DFE0E"/>
    <w:rsid w:val="0FC75580"/>
    <w:rsid w:val="0FE16917"/>
    <w:rsid w:val="0FEBE70E"/>
    <w:rsid w:val="0FF29044"/>
    <w:rsid w:val="0FF4F6A5"/>
    <w:rsid w:val="1033C00A"/>
    <w:rsid w:val="103AF6DD"/>
    <w:rsid w:val="103FDBE4"/>
    <w:rsid w:val="104132D8"/>
    <w:rsid w:val="107B1BED"/>
    <w:rsid w:val="10C2650D"/>
    <w:rsid w:val="10F3AD8B"/>
    <w:rsid w:val="11015DDA"/>
    <w:rsid w:val="11212580"/>
    <w:rsid w:val="112D5403"/>
    <w:rsid w:val="11559F6B"/>
    <w:rsid w:val="1173FEFC"/>
    <w:rsid w:val="118AAACD"/>
    <w:rsid w:val="118E345D"/>
    <w:rsid w:val="11A12D3B"/>
    <w:rsid w:val="11B1D13C"/>
    <w:rsid w:val="11BB07E7"/>
    <w:rsid w:val="11C74ECA"/>
    <w:rsid w:val="11FCB9AA"/>
    <w:rsid w:val="120BF31C"/>
    <w:rsid w:val="121BAAAB"/>
    <w:rsid w:val="121C81A2"/>
    <w:rsid w:val="1243FB99"/>
    <w:rsid w:val="124ED219"/>
    <w:rsid w:val="1275E514"/>
    <w:rsid w:val="1297C42C"/>
    <w:rsid w:val="12BFFAE3"/>
    <w:rsid w:val="12E11C05"/>
    <w:rsid w:val="12EA2690"/>
    <w:rsid w:val="12EC7DB3"/>
    <w:rsid w:val="13280143"/>
    <w:rsid w:val="133A5DEF"/>
    <w:rsid w:val="13413113"/>
    <w:rsid w:val="134FA5FE"/>
    <w:rsid w:val="137E76D0"/>
    <w:rsid w:val="138FD6A4"/>
    <w:rsid w:val="13A58492"/>
    <w:rsid w:val="13C51F8E"/>
    <w:rsid w:val="13CDD446"/>
    <w:rsid w:val="13CEAFA1"/>
    <w:rsid w:val="13E89845"/>
    <w:rsid w:val="140B7D60"/>
    <w:rsid w:val="14192E32"/>
    <w:rsid w:val="141B7FE0"/>
    <w:rsid w:val="1426A3AA"/>
    <w:rsid w:val="142883C8"/>
    <w:rsid w:val="14326425"/>
    <w:rsid w:val="1435DABC"/>
    <w:rsid w:val="14616441"/>
    <w:rsid w:val="1497796B"/>
    <w:rsid w:val="1499FA78"/>
    <w:rsid w:val="149FCF0E"/>
    <w:rsid w:val="14CED998"/>
    <w:rsid w:val="15188463"/>
    <w:rsid w:val="1533B8DF"/>
    <w:rsid w:val="153F6466"/>
    <w:rsid w:val="15426E12"/>
    <w:rsid w:val="1545DB5B"/>
    <w:rsid w:val="1548E842"/>
    <w:rsid w:val="15885A09"/>
    <w:rsid w:val="15DDA5CF"/>
    <w:rsid w:val="16018ECC"/>
    <w:rsid w:val="16434DE5"/>
    <w:rsid w:val="16435845"/>
    <w:rsid w:val="168B243B"/>
    <w:rsid w:val="16F5D545"/>
    <w:rsid w:val="1732E7E6"/>
    <w:rsid w:val="173D0F1C"/>
    <w:rsid w:val="176E54F2"/>
    <w:rsid w:val="17B450FF"/>
    <w:rsid w:val="17BBFCFF"/>
    <w:rsid w:val="17C06A1A"/>
    <w:rsid w:val="181C03C1"/>
    <w:rsid w:val="181FCF5C"/>
    <w:rsid w:val="182369F0"/>
    <w:rsid w:val="1840F506"/>
    <w:rsid w:val="184CA883"/>
    <w:rsid w:val="184FD224"/>
    <w:rsid w:val="1880ABC6"/>
    <w:rsid w:val="188157AB"/>
    <w:rsid w:val="18927246"/>
    <w:rsid w:val="18A46B01"/>
    <w:rsid w:val="18B5EE2D"/>
    <w:rsid w:val="18CD8CEA"/>
    <w:rsid w:val="18D29D37"/>
    <w:rsid w:val="18DC7315"/>
    <w:rsid w:val="18E7E6EF"/>
    <w:rsid w:val="191107A1"/>
    <w:rsid w:val="1921FE98"/>
    <w:rsid w:val="1961C8D3"/>
    <w:rsid w:val="199EC182"/>
    <w:rsid w:val="19A340E9"/>
    <w:rsid w:val="19C2D5B1"/>
    <w:rsid w:val="19C466CA"/>
    <w:rsid w:val="1A144650"/>
    <w:rsid w:val="1A28D327"/>
    <w:rsid w:val="1A3E2898"/>
    <w:rsid w:val="1A596CD4"/>
    <w:rsid w:val="1A8F4BC7"/>
    <w:rsid w:val="1AAA9B22"/>
    <w:rsid w:val="1ADFCADA"/>
    <w:rsid w:val="1B3C9F44"/>
    <w:rsid w:val="1B44904C"/>
    <w:rsid w:val="1BAB25ED"/>
    <w:rsid w:val="1BD8AD58"/>
    <w:rsid w:val="1BE21084"/>
    <w:rsid w:val="1BE77E50"/>
    <w:rsid w:val="1BEC7601"/>
    <w:rsid w:val="1BFB9001"/>
    <w:rsid w:val="1C07085D"/>
    <w:rsid w:val="1C1C50CE"/>
    <w:rsid w:val="1C51AB1F"/>
    <w:rsid w:val="1C5C0B58"/>
    <w:rsid w:val="1C69234B"/>
    <w:rsid w:val="1CACDCDD"/>
    <w:rsid w:val="1CB5F5BF"/>
    <w:rsid w:val="1CC0D227"/>
    <w:rsid w:val="1CC10F87"/>
    <w:rsid w:val="1CC7C1DA"/>
    <w:rsid w:val="1CC94F3D"/>
    <w:rsid w:val="1D105405"/>
    <w:rsid w:val="1D1968E9"/>
    <w:rsid w:val="1D369EC3"/>
    <w:rsid w:val="1D45AA04"/>
    <w:rsid w:val="1D524764"/>
    <w:rsid w:val="1D786A93"/>
    <w:rsid w:val="1D7B0AA0"/>
    <w:rsid w:val="1D8B32CE"/>
    <w:rsid w:val="1DAD3750"/>
    <w:rsid w:val="1DC43DF3"/>
    <w:rsid w:val="1DE2E321"/>
    <w:rsid w:val="1DE6C197"/>
    <w:rsid w:val="1DE7513D"/>
    <w:rsid w:val="1E166457"/>
    <w:rsid w:val="1E271651"/>
    <w:rsid w:val="1E4EA373"/>
    <w:rsid w:val="1E7AE902"/>
    <w:rsid w:val="1E7FF5CB"/>
    <w:rsid w:val="1EB51659"/>
    <w:rsid w:val="1EB51E96"/>
    <w:rsid w:val="1EBF0E1D"/>
    <w:rsid w:val="1EC099E7"/>
    <w:rsid w:val="1EEA4F34"/>
    <w:rsid w:val="1F1D9552"/>
    <w:rsid w:val="1F3ACBD3"/>
    <w:rsid w:val="1F686247"/>
    <w:rsid w:val="1F73FB25"/>
    <w:rsid w:val="1F9D581F"/>
    <w:rsid w:val="1FB56861"/>
    <w:rsid w:val="1FC3B851"/>
    <w:rsid w:val="1FE9E36B"/>
    <w:rsid w:val="1FF0F748"/>
    <w:rsid w:val="2008AE08"/>
    <w:rsid w:val="203A2A9C"/>
    <w:rsid w:val="2049C725"/>
    <w:rsid w:val="2058968D"/>
    <w:rsid w:val="205BC999"/>
    <w:rsid w:val="209CDCE6"/>
    <w:rsid w:val="209FADC1"/>
    <w:rsid w:val="20A30B6E"/>
    <w:rsid w:val="20A40FC5"/>
    <w:rsid w:val="20B52D41"/>
    <w:rsid w:val="20BA0F13"/>
    <w:rsid w:val="20BEC026"/>
    <w:rsid w:val="20CAC4F9"/>
    <w:rsid w:val="20E5169C"/>
    <w:rsid w:val="20F657E5"/>
    <w:rsid w:val="214291A9"/>
    <w:rsid w:val="214850E5"/>
    <w:rsid w:val="2156A7E2"/>
    <w:rsid w:val="21638CC3"/>
    <w:rsid w:val="21C7CFB6"/>
    <w:rsid w:val="21D37066"/>
    <w:rsid w:val="21FE7599"/>
    <w:rsid w:val="22063163"/>
    <w:rsid w:val="229DFEFD"/>
    <w:rsid w:val="22AABF8E"/>
    <w:rsid w:val="22F57AC5"/>
    <w:rsid w:val="2320E91E"/>
    <w:rsid w:val="2325800C"/>
    <w:rsid w:val="233DA7D7"/>
    <w:rsid w:val="234BBB12"/>
    <w:rsid w:val="23972E7C"/>
    <w:rsid w:val="23C42B21"/>
    <w:rsid w:val="23CD9344"/>
    <w:rsid w:val="23DD2DE8"/>
    <w:rsid w:val="23EEB63D"/>
    <w:rsid w:val="23F0DE54"/>
    <w:rsid w:val="2409FB6C"/>
    <w:rsid w:val="242B546F"/>
    <w:rsid w:val="245910D2"/>
    <w:rsid w:val="2499ABA7"/>
    <w:rsid w:val="24A49A07"/>
    <w:rsid w:val="24D57A5D"/>
    <w:rsid w:val="24D8F04E"/>
    <w:rsid w:val="24DCA286"/>
    <w:rsid w:val="250DBD28"/>
    <w:rsid w:val="2528648B"/>
    <w:rsid w:val="25347855"/>
    <w:rsid w:val="255A3FD4"/>
    <w:rsid w:val="256B9F65"/>
    <w:rsid w:val="2584835C"/>
    <w:rsid w:val="25858EC3"/>
    <w:rsid w:val="25A6EDF4"/>
    <w:rsid w:val="25ACF63F"/>
    <w:rsid w:val="25C65548"/>
    <w:rsid w:val="25E80237"/>
    <w:rsid w:val="25E99E94"/>
    <w:rsid w:val="25FA0470"/>
    <w:rsid w:val="262809DC"/>
    <w:rsid w:val="26298B94"/>
    <w:rsid w:val="2639C1A1"/>
    <w:rsid w:val="264EC665"/>
    <w:rsid w:val="266950A6"/>
    <w:rsid w:val="2681D68E"/>
    <w:rsid w:val="268EB3D6"/>
    <w:rsid w:val="26965F70"/>
    <w:rsid w:val="26B25352"/>
    <w:rsid w:val="26D2526E"/>
    <w:rsid w:val="26D97EA0"/>
    <w:rsid w:val="26EA4F0D"/>
    <w:rsid w:val="26FD5CCF"/>
    <w:rsid w:val="27170B4F"/>
    <w:rsid w:val="2720D19C"/>
    <w:rsid w:val="2731EF03"/>
    <w:rsid w:val="273ACE84"/>
    <w:rsid w:val="2744268B"/>
    <w:rsid w:val="279A57E2"/>
    <w:rsid w:val="27A7FCB3"/>
    <w:rsid w:val="27AD2100"/>
    <w:rsid w:val="27C927A2"/>
    <w:rsid w:val="27E8A80A"/>
    <w:rsid w:val="27FE59B8"/>
    <w:rsid w:val="28061871"/>
    <w:rsid w:val="284823ED"/>
    <w:rsid w:val="28613A4D"/>
    <w:rsid w:val="28646959"/>
    <w:rsid w:val="28865586"/>
    <w:rsid w:val="28B95B9A"/>
    <w:rsid w:val="28E180B8"/>
    <w:rsid w:val="2908F74F"/>
    <w:rsid w:val="29248D99"/>
    <w:rsid w:val="2952F8B6"/>
    <w:rsid w:val="29B0EFB1"/>
    <w:rsid w:val="29B7E95D"/>
    <w:rsid w:val="29D6C77A"/>
    <w:rsid w:val="29DA059F"/>
    <w:rsid w:val="29F7BD96"/>
    <w:rsid w:val="2A08D3F8"/>
    <w:rsid w:val="2A589D94"/>
    <w:rsid w:val="2A6D8DB0"/>
    <w:rsid w:val="2A8C169D"/>
    <w:rsid w:val="2AAEA7F0"/>
    <w:rsid w:val="2AC60163"/>
    <w:rsid w:val="2AC979B3"/>
    <w:rsid w:val="2AD631C2"/>
    <w:rsid w:val="2AEBDAC8"/>
    <w:rsid w:val="2AF11AEB"/>
    <w:rsid w:val="2AF8FE5E"/>
    <w:rsid w:val="2B0B50D3"/>
    <w:rsid w:val="2B19C944"/>
    <w:rsid w:val="2B1C98AC"/>
    <w:rsid w:val="2B3E1AF8"/>
    <w:rsid w:val="2B95D941"/>
    <w:rsid w:val="2BA436E4"/>
    <w:rsid w:val="2BC4253E"/>
    <w:rsid w:val="2C0654A6"/>
    <w:rsid w:val="2C5AA653"/>
    <w:rsid w:val="2C635483"/>
    <w:rsid w:val="2C93CF7A"/>
    <w:rsid w:val="2CBDFDDE"/>
    <w:rsid w:val="2CF643F3"/>
    <w:rsid w:val="2D47B86C"/>
    <w:rsid w:val="2D4D21B9"/>
    <w:rsid w:val="2D5D2193"/>
    <w:rsid w:val="2D69DF28"/>
    <w:rsid w:val="2D6D580F"/>
    <w:rsid w:val="2D90C164"/>
    <w:rsid w:val="2DA37B5F"/>
    <w:rsid w:val="2DC6870A"/>
    <w:rsid w:val="2DDB053E"/>
    <w:rsid w:val="2DF87E22"/>
    <w:rsid w:val="2DFB1835"/>
    <w:rsid w:val="2E173FD5"/>
    <w:rsid w:val="2E1FB311"/>
    <w:rsid w:val="2E26CCA8"/>
    <w:rsid w:val="2E304723"/>
    <w:rsid w:val="2E5C4496"/>
    <w:rsid w:val="2E6EEE99"/>
    <w:rsid w:val="2E89E2CD"/>
    <w:rsid w:val="2E950DCC"/>
    <w:rsid w:val="2EDEDE59"/>
    <w:rsid w:val="2EF634E9"/>
    <w:rsid w:val="2F2F8BF9"/>
    <w:rsid w:val="2F397B19"/>
    <w:rsid w:val="2F72A8E1"/>
    <w:rsid w:val="2F9F2CED"/>
    <w:rsid w:val="2FA786E2"/>
    <w:rsid w:val="2FA82F65"/>
    <w:rsid w:val="2FAEBABF"/>
    <w:rsid w:val="300EBA90"/>
    <w:rsid w:val="301C1DFC"/>
    <w:rsid w:val="3026ED33"/>
    <w:rsid w:val="3041C38B"/>
    <w:rsid w:val="3075AB36"/>
    <w:rsid w:val="30953698"/>
    <w:rsid w:val="30BE00F2"/>
    <w:rsid w:val="30E787C4"/>
    <w:rsid w:val="30F70C02"/>
    <w:rsid w:val="30FDE883"/>
    <w:rsid w:val="31184A40"/>
    <w:rsid w:val="31A81784"/>
    <w:rsid w:val="31B394C2"/>
    <w:rsid w:val="31E953F5"/>
    <w:rsid w:val="3207C01A"/>
    <w:rsid w:val="3233C7D7"/>
    <w:rsid w:val="3243D100"/>
    <w:rsid w:val="32DA61A0"/>
    <w:rsid w:val="330438E3"/>
    <w:rsid w:val="3314DDF5"/>
    <w:rsid w:val="332CD174"/>
    <w:rsid w:val="332D122E"/>
    <w:rsid w:val="3359F66B"/>
    <w:rsid w:val="33718FA3"/>
    <w:rsid w:val="3397C484"/>
    <w:rsid w:val="33A3EB58"/>
    <w:rsid w:val="33C123EB"/>
    <w:rsid w:val="33CC68DB"/>
    <w:rsid w:val="33E5B1E6"/>
    <w:rsid w:val="3417447B"/>
    <w:rsid w:val="344F0E34"/>
    <w:rsid w:val="345007B6"/>
    <w:rsid w:val="34511559"/>
    <w:rsid w:val="3455EE2B"/>
    <w:rsid w:val="3458D9E6"/>
    <w:rsid w:val="3467E1C3"/>
    <w:rsid w:val="347C3CE2"/>
    <w:rsid w:val="347D622E"/>
    <w:rsid w:val="347EC178"/>
    <w:rsid w:val="3483C32E"/>
    <w:rsid w:val="34B483F1"/>
    <w:rsid w:val="34BADB1B"/>
    <w:rsid w:val="34BDB06F"/>
    <w:rsid w:val="34CFAAC2"/>
    <w:rsid w:val="34E01B59"/>
    <w:rsid w:val="34EB39ED"/>
    <w:rsid w:val="34ED2B3F"/>
    <w:rsid w:val="35461D4A"/>
    <w:rsid w:val="3570D27A"/>
    <w:rsid w:val="357B895E"/>
    <w:rsid w:val="35D1C3B4"/>
    <w:rsid w:val="35D386BD"/>
    <w:rsid w:val="360677FF"/>
    <w:rsid w:val="3616E4D6"/>
    <w:rsid w:val="36407EF0"/>
    <w:rsid w:val="364CC527"/>
    <w:rsid w:val="3655A2A5"/>
    <w:rsid w:val="3675800B"/>
    <w:rsid w:val="367C349B"/>
    <w:rsid w:val="369C9039"/>
    <w:rsid w:val="36A6E22F"/>
    <w:rsid w:val="36D7E41A"/>
    <w:rsid w:val="36DE9CF7"/>
    <w:rsid w:val="36E2E909"/>
    <w:rsid w:val="36FE6EBC"/>
    <w:rsid w:val="370DE58A"/>
    <w:rsid w:val="37184D54"/>
    <w:rsid w:val="3728F6D9"/>
    <w:rsid w:val="37369D91"/>
    <w:rsid w:val="37489B32"/>
    <w:rsid w:val="376E2739"/>
    <w:rsid w:val="376E9C3F"/>
    <w:rsid w:val="3772E394"/>
    <w:rsid w:val="378E0CCB"/>
    <w:rsid w:val="37ABFA3A"/>
    <w:rsid w:val="37F18664"/>
    <w:rsid w:val="38074893"/>
    <w:rsid w:val="381B3FE0"/>
    <w:rsid w:val="382459EA"/>
    <w:rsid w:val="383B6B97"/>
    <w:rsid w:val="383CF660"/>
    <w:rsid w:val="3847DE50"/>
    <w:rsid w:val="384DB3BF"/>
    <w:rsid w:val="38544735"/>
    <w:rsid w:val="38973E7B"/>
    <w:rsid w:val="38A5A362"/>
    <w:rsid w:val="38DFCF5C"/>
    <w:rsid w:val="38ED7FD6"/>
    <w:rsid w:val="39034F5C"/>
    <w:rsid w:val="3922537C"/>
    <w:rsid w:val="393160BD"/>
    <w:rsid w:val="3950A2E1"/>
    <w:rsid w:val="3953F3D7"/>
    <w:rsid w:val="39684A96"/>
    <w:rsid w:val="397AFDD5"/>
    <w:rsid w:val="398AAC01"/>
    <w:rsid w:val="398AFE5E"/>
    <w:rsid w:val="398B9EC4"/>
    <w:rsid w:val="399AA2C2"/>
    <w:rsid w:val="399BCA7A"/>
    <w:rsid w:val="39A5943E"/>
    <w:rsid w:val="39C9B62E"/>
    <w:rsid w:val="39D1048C"/>
    <w:rsid w:val="39F6F954"/>
    <w:rsid w:val="3A0891A4"/>
    <w:rsid w:val="3A18ADF3"/>
    <w:rsid w:val="3A1D93D3"/>
    <w:rsid w:val="3A545521"/>
    <w:rsid w:val="3A5F9113"/>
    <w:rsid w:val="3A95F55F"/>
    <w:rsid w:val="3AB2356C"/>
    <w:rsid w:val="3AD12112"/>
    <w:rsid w:val="3B718210"/>
    <w:rsid w:val="3B7F9C16"/>
    <w:rsid w:val="3B8BB08C"/>
    <w:rsid w:val="3B8D750A"/>
    <w:rsid w:val="3BA219F1"/>
    <w:rsid w:val="3BA83448"/>
    <w:rsid w:val="3BA8C40C"/>
    <w:rsid w:val="3BC32F30"/>
    <w:rsid w:val="3BEA28DB"/>
    <w:rsid w:val="3C0D43D2"/>
    <w:rsid w:val="3C1761CB"/>
    <w:rsid w:val="3C1791A3"/>
    <w:rsid w:val="3C2AFEB6"/>
    <w:rsid w:val="3C2F7930"/>
    <w:rsid w:val="3C4535C8"/>
    <w:rsid w:val="3C4E3712"/>
    <w:rsid w:val="3C51CFBB"/>
    <w:rsid w:val="3C5376F7"/>
    <w:rsid w:val="3C53D81F"/>
    <w:rsid w:val="3C611CBE"/>
    <w:rsid w:val="3C746465"/>
    <w:rsid w:val="3CBF05B9"/>
    <w:rsid w:val="3CC31591"/>
    <w:rsid w:val="3CD887AA"/>
    <w:rsid w:val="3CE4EB2A"/>
    <w:rsid w:val="3D1B1C36"/>
    <w:rsid w:val="3D2577F4"/>
    <w:rsid w:val="3D32BBB8"/>
    <w:rsid w:val="3D57E264"/>
    <w:rsid w:val="3D7A526B"/>
    <w:rsid w:val="3D8F9185"/>
    <w:rsid w:val="3DB7E3A8"/>
    <w:rsid w:val="3DF567E3"/>
    <w:rsid w:val="3E03901C"/>
    <w:rsid w:val="3E2CCBBC"/>
    <w:rsid w:val="3E40C73B"/>
    <w:rsid w:val="3E66E4F2"/>
    <w:rsid w:val="3E88E0B2"/>
    <w:rsid w:val="3E9F49C6"/>
    <w:rsid w:val="3EA3642B"/>
    <w:rsid w:val="3EA762CB"/>
    <w:rsid w:val="3EB0A553"/>
    <w:rsid w:val="3EBC7B98"/>
    <w:rsid w:val="3ED9D718"/>
    <w:rsid w:val="3EF889B2"/>
    <w:rsid w:val="3EFD51ED"/>
    <w:rsid w:val="3F18C03F"/>
    <w:rsid w:val="3F2360E1"/>
    <w:rsid w:val="3F4367E4"/>
    <w:rsid w:val="3F71ACE0"/>
    <w:rsid w:val="3F773512"/>
    <w:rsid w:val="3F80267F"/>
    <w:rsid w:val="3FAF247F"/>
    <w:rsid w:val="3FCA0A57"/>
    <w:rsid w:val="3FD96D59"/>
    <w:rsid w:val="3FDB6BCE"/>
    <w:rsid w:val="3FE24260"/>
    <w:rsid w:val="4010F354"/>
    <w:rsid w:val="4012BD49"/>
    <w:rsid w:val="40196A5C"/>
    <w:rsid w:val="401BEA86"/>
    <w:rsid w:val="402CE09C"/>
    <w:rsid w:val="40464C6F"/>
    <w:rsid w:val="406CE6E6"/>
    <w:rsid w:val="408ADBC2"/>
    <w:rsid w:val="40CEEC95"/>
    <w:rsid w:val="40F6E5B3"/>
    <w:rsid w:val="40F9678E"/>
    <w:rsid w:val="41063AA4"/>
    <w:rsid w:val="41254478"/>
    <w:rsid w:val="4162B722"/>
    <w:rsid w:val="41660C4D"/>
    <w:rsid w:val="41A4C134"/>
    <w:rsid w:val="41B4BE0A"/>
    <w:rsid w:val="41D01B61"/>
    <w:rsid w:val="41D1ECC8"/>
    <w:rsid w:val="41D6C63E"/>
    <w:rsid w:val="41DD66BF"/>
    <w:rsid w:val="41E8DF3D"/>
    <w:rsid w:val="41EF934C"/>
    <w:rsid w:val="42063C3F"/>
    <w:rsid w:val="4239133B"/>
    <w:rsid w:val="4247DE86"/>
    <w:rsid w:val="4258A2D1"/>
    <w:rsid w:val="427839D5"/>
    <w:rsid w:val="42A260A3"/>
    <w:rsid w:val="42A45128"/>
    <w:rsid w:val="42AC7AFE"/>
    <w:rsid w:val="42BB634E"/>
    <w:rsid w:val="42C6EF38"/>
    <w:rsid w:val="42F6A203"/>
    <w:rsid w:val="4338AD02"/>
    <w:rsid w:val="433E2E56"/>
    <w:rsid w:val="43515428"/>
    <w:rsid w:val="435ED124"/>
    <w:rsid w:val="43822F69"/>
    <w:rsid w:val="438308A3"/>
    <w:rsid w:val="43A973CB"/>
    <w:rsid w:val="43F8929B"/>
    <w:rsid w:val="44132FD6"/>
    <w:rsid w:val="44409750"/>
    <w:rsid w:val="44AD405C"/>
    <w:rsid w:val="44ADEC69"/>
    <w:rsid w:val="450F69E2"/>
    <w:rsid w:val="451E8F08"/>
    <w:rsid w:val="454DA981"/>
    <w:rsid w:val="45526E26"/>
    <w:rsid w:val="4591AB3D"/>
    <w:rsid w:val="46187416"/>
    <w:rsid w:val="46187D1F"/>
    <w:rsid w:val="4651D2FE"/>
    <w:rsid w:val="4657A1FD"/>
    <w:rsid w:val="46611AE2"/>
    <w:rsid w:val="46BEB874"/>
    <w:rsid w:val="46C300D6"/>
    <w:rsid w:val="46E88351"/>
    <w:rsid w:val="4751EB7D"/>
    <w:rsid w:val="47591CA5"/>
    <w:rsid w:val="475B1BCC"/>
    <w:rsid w:val="479232A1"/>
    <w:rsid w:val="47A25D19"/>
    <w:rsid w:val="47D45AB7"/>
    <w:rsid w:val="47D834A0"/>
    <w:rsid w:val="47F6B4CB"/>
    <w:rsid w:val="47F8AD28"/>
    <w:rsid w:val="480502AE"/>
    <w:rsid w:val="4814471C"/>
    <w:rsid w:val="482A985F"/>
    <w:rsid w:val="483C1FB8"/>
    <w:rsid w:val="484451D0"/>
    <w:rsid w:val="48611242"/>
    <w:rsid w:val="48653FAD"/>
    <w:rsid w:val="486CB34C"/>
    <w:rsid w:val="4871652E"/>
    <w:rsid w:val="48BB53A7"/>
    <w:rsid w:val="48C6F27C"/>
    <w:rsid w:val="48EF4390"/>
    <w:rsid w:val="48F37A93"/>
    <w:rsid w:val="4908C4AE"/>
    <w:rsid w:val="491C9B6D"/>
    <w:rsid w:val="49391857"/>
    <w:rsid w:val="4952C238"/>
    <w:rsid w:val="4953E063"/>
    <w:rsid w:val="49744F09"/>
    <w:rsid w:val="497F0378"/>
    <w:rsid w:val="49923522"/>
    <w:rsid w:val="49D2061E"/>
    <w:rsid w:val="49EBAB4B"/>
    <w:rsid w:val="49FF2579"/>
    <w:rsid w:val="4A03520C"/>
    <w:rsid w:val="4A2DD6A7"/>
    <w:rsid w:val="4A313D45"/>
    <w:rsid w:val="4A4528A9"/>
    <w:rsid w:val="4A4D0CF0"/>
    <w:rsid w:val="4A51C8C1"/>
    <w:rsid w:val="4A5F197F"/>
    <w:rsid w:val="4A66648F"/>
    <w:rsid w:val="4A74068F"/>
    <w:rsid w:val="4AB6D481"/>
    <w:rsid w:val="4AF174A2"/>
    <w:rsid w:val="4B00A123"/>
    <w:rsid w:val="4B43AB35"/>
    <w:rsid w:val="4B4DEAC9"/>
    <w:rsid w:val="4B51A22B"/>
    <w:rsid w:val="4B57119E"/>
    <w:rsid w:val="4B689D51"/>
    <w:rsid w:val="4B6D099F"/>
    <w:rsid w:val="4B82870D"/>
    <w:rsid w:val="4B99C097"/>
    <w:rsid w:val="4B9DDA47"/>
    <w:rsid w:val="4BB4DDE0"/>
    <w:rsid w:val="4BE6095E"/>
    <w:rsid w:val="4BE8E17D"/>
    <w:rsid w:val="4C0F14DB"/>
    <w:rsid w:val="4C109C60"/>
    <w:rsid w:val="4C125BBB"/>
    <w:rsid w:val="4C2391FA"/>
    <w:rsid w:val="4C3DC80F"/>
    <w:rsid w:val="4C574AA0"/>
    <w:rsid w:val="4C5E516E"/>
    <w:rsid w:val="4C91BE1B"/>
    <w:rsid w:val="4D2734B7"/>
    <w:rsid w:val="4D29A5F9"/>
    <w:rsid w:val="4D2CCF3F"/>
    <w:rsid w:val="4D453F8B"/>
    <w:rsid w:val="4D4B2A87"/>
    <w:rsid w:val="4D626946"/>
    <w:rsid w:val="4D7A96F9"/>
    <w:rsid w:val="4D7CFD12"/>
    <w:rsid w:val="4D88EFED"/>
    <w:rsid w:val="4D95F402"/>
    <w:rsid w:val="4DA0EAE1"/>
    <w:rsid w:val="4DC0AF8A"/>
    <w:rsid w:val="4DEA3671"/>
    <w:rsid w:val="4E1EF736"/>
    <w:rsid w:val="4E336108"/>
    <w:rsid w:val="4E7A26F3"/>
    <w:rsid w:val="4E800218"/>
    <w:rsid w:val="4E81983C"/>
    <w:rsid w:val="4E81A2DA"/>
    <w:rsid w:val="4EB9A78E"/>
    <w:rsid w:val="4EB9F37B"/>
    <w:rsid w:val="4ED95669"/>
    <w:rsid w:val="4EE7EAFD"/>
    <w:rsid w:val="4EF36240"/>
    <w:rsid w:val="4EFB4188"/>
    <w:rsid w:val="4F0568AB"/>
    <w:rsid w:val="4F29C74D"/>
    <w:rsid w:val="4F4124DB"/>
    <w:rsid w:val="4F59B01C"/>
    <w:rsid w:val="4F617AAD"/>
    <w:rsid w:val="4F63EB12"/>
    <w:rsid w:val="4F78AEDD"/>
    <w:rsid w:val="4F8589EA"/>
    <w:rsid w:val="4FA2021F"/>
    <w:rsid w:val="4FA9B07A"/>
    <w:rsid w:val="4FC7EBCC"/>
    <w:rsid w:val="50496425"/>
    <w:rsid w:val="509EE393"/>
    <w:rsid w:val="50A35B55"/>
    <w:rsid w:val="50A63BC8"/>
    <w:rsid w:val="50C63CC9"/>
    <w:rsid w:val="50CB7A24"/>
    <w:rsid w:val="50E2E4F7"/>
    <w:rsid w:val="50FFECF2"/>
    <w:rsid w:val="5184A15C"/>
    <w:rsid w:val="51A47F0C"/>
    <w:rsid w:val="51B7B8EA"/>
    <w:rsid w:val="51D6679B"/>
    <w:rsid w:val="51E29E58"/>
    <w:rsid w:val="51EDCEC5"/>
    <w:rsid w:val="5228F6C1"/>
    <w:rsid w:val="524436E5"/>
    <w:rsid w:val="5258FD70"/>
    <w:rsid w:val="525DED26"/>
    <w:rsid w:val="5283A0B6"/>
    <w:rsid w:val="52A410B0"/>
    <w:rsid w:val="52B3B5C4"/>
    <w:rsid w:val="52CDB020"/>
    <w:rsid w:val="52EE2A62"/>
    <w:rsid w:val="52FAB8B3"/>
    <w:rsid w:val="532FFE86"/>
    <w:rsid w:val="5338EC51"/>
    <w:rsid w:val="533D70D3"/>
    <w:rsid w:val="53733270"/>
    <w:rsid w:val="5376F792"/>
    <w:rsid w:val="538956BF"/>
    <w:rsid w:val="53898A42"/>
    <w:rsid w:val="539878D7"/>
    <w:rsid w:val="539CC2B3"/>
    <w:rsid w:val="539CD369"/>
    <w:rsid w:val="53A3F1C6"/>
    <w:rsid w:val="53A8AEC6"/>
    <w:rsid w:val="53D774E0"/>
    <w:rsid w:val="53F76419"/>
    <w:rsid w:val="53FB86EB"/>
    <w:rsid w:val="5438C30F"/>
    <w:rsid w:val="54457620"/>
    <w:rsid w:val="545108D5"/>
    <w:rsid w:val="545220B1"/>
    <w:rsid w:val="54596742"/>
    <w:rsid w:val="5471CA97"/>
    <w:rsid w:val="54BEA3D0"/>
    <w:rsid w:val="54CFD3D6"/>
    <w:rsid w:val="54E2E5EE"/>
    <w:rsid w:val="54FA26B5"/>
    <w:rsid w:val="54FFCA66"/>
    <w:rsid w:val="552B5446"/>
    <w:rsid w:val="5596F9D5"/>
    <w:rsid w:val="559AB33F"/>
    <w:rsid w:val="559E52C9"/>
    <w:rsid w:val="5604987B"/>
    <w:rsid w:val="56145A36"/>
    <w:rsid w:val="561925CC"/>
    <w:rsid w:val="566A4C14"/>
    <w:rsid w:val="569110BA"/>
    <w:rsid w:val="56A205F8"/>
    <w:rsid w:val="56A8CED9"/>
    <w:rsid w:val="56C2A379"/>
    <w:rsid w:val="56CA5E6C"/>
    <w:rsid w:val="56F9BC38"/>
    <w:rsid w:val="570903CA"/>
    <w:rsid w:val="572A0322"/>
    <w:rsid w:val="5747D111"/>
    <w:rsid w:val="578D3B03"/>
    <w:rsid w:val="57B9012A"/>
    <w:rsid w:val="57B9260A"/>
    <w:rsid w:val="57DDD2AB"/>
    <w:rsid w:val="57FAD195"/>
    <w:rsid w:val="581D13C1"/>
    <w:rsid w:val="58376CB0"/>
    <w:rsid w:val="5841D53B"/>
    <w:rsid w:val="584F8B48"/>
    <w:rsid w:val="585C44BF"/>
    <w:rsid w:val="5886CC1F"/>
    <w:rsid w:val="58C6F42D"/>
    <w:rsid w:val="58CAA957"/>
    <w:rsid w:val="58D9BEE0"/>
    <w:rsid w:val="58F05C76"/>
    <w:rsid w:val="58FD6FD1"/>
    <w:rsid w:val="590CE8D2"/>
    <w:rsid w:val="590D2969"/>
    <w:rsid w:val="59688ADF"/>
    <w:rsid w:val="598525BA"/>
    <w:rsid w:val="5988EFC2"/>
    <w:rsid w:val="5A050112"/>
    <w:rsid w:val="5A0C8F2A"/>
    <w:rsid w:val="5A0D8180"/>
    <w:rsid w:val="5A18E6F5"/>
    <w:rsid w:val="5A3725FC"/>
    <w:rsid w:val="5A37D782"/>
    <w:rsid w:val="5A57088D"/>
    <w:rsid w:val="5A5B8748"/>
    <w:rsid w:val="5A60FF85"/>
    <w:rsid w:val="5AAEB1AA"/>
    <w:rsid w:val="5ADDEA72"/>
    <w:rsid w:val="5B1D540A"/>
    <w:rsid w:val="5B1E9A71"/>
    <w:rsid w:val="5B370621"/>
    <w:rsid w:val="5B89373B"/>
    <w:rsid w:val="5BB3D98B"/>
    <w:rsid w:val="5BBC35C9"/>
    <w:rsid w:val="5BC2585B"/>
    <w:rsid w:val="5BD11587"/>
    <w:rsid w:val="5BD11AC5"/>
    <w:rsid w:val="5C008ACE"/>
    <w:rsid w:val="5C0AF987"/>
    <w:rsid w:val="5C1929C4"/>
    <w:rsid w:val="5C451756"/>
    <w:rsid w:val="5C959307"/>
    <w:rsid w:val="5C9D665D"/>
    <w:rsid w:val="5C9DD10F"/>
    <w:rsid w:val="5CA81587"/>
    <w:rsid w:val="5CBD30F8"/>
    <w:rsid w:val="5D008DB7"/>
    <w:rsid w:val="5D02C81B"/>
    <w:rsid w:val="5D107076"/>
    <w:rsid w:val="5D1FC514"/>
    <w:rsid w:val="5D3EF4CC"/>
    <w:rsid w:val="5D48FA27"/>
    <w:rsid w:val="5D5AF950"/>
    <w:rsid w:val="5D681789"/>
    <w:rsid w:val="5D9720D1"/>
    <w:rsid w:val="5DAF6FCB"/>
    <w:rsid w:val="5DB09CBE"/>
    <w:rsid w:val="5DB827B3"/>
    <w:rsid w:val="5DBE68C8"/>
    <w:rsid w:val="5DD2B160"/>
    <w:rsid w:val="5DED957C"/>
    <w:rsid w:val="5DFE0202"/>
    <w:rsid w:val="5DFEF7EE"/>
    <w:rsid w:val="5E29C0F6"/>
    <w:rsid w:val="5E300BFF"/>
    <w:rsid w:val="5E43961D"/>
    <w:rsid w:val="5EC969A3"/>
    <w:rsid w:val="5ED1D469"/>
    <w:rsid w:val="5F1D570F"/>
    <w:rsid w:val="5F5D3F38"/>
    <w:rsid w:val="5F6C3A3C"/>
    <w:rsid w:val="5F860D2B"/>
    <w:rsid w:val="5F86A946"/>
    <w:rsid w:val="5F9A6E30"/>
    <w:rsid w:val="5FB4EA37"/>
    <w:rsid w:val="5FE2C7C5"/>
    <w:rsid w:val="5FF330D1"/>
    <w:rsid w:val="6006CBC4"/>
    <w:rsid w:val="602491F5"/>
    <w:rsid w:val="602A4525"/>
    <w:rsid w:val="607233B7"/>
    <w:rsid w:val="6073BE79"/>
    <w:rsid w:val="6088540B"/>
    <w:rsid w:val="60D0AEA3"/>
    <w:rsid w:val="60DA916D"/>
    <w:rsid w:val="6126BD5A"/>
    <w:rsid w:val="6133CB37"/>
    <w:rsid w:val="613F29B4"/>
    <w:rsid w:val="613F6BB8"/>
    <w:rsid w:val="6153B3DD"/>
    <w:rsid w:val="6169C542"/>
    <w:rsid w:val="617C7459"/>
    <w:rsid w:val="61879FDE"/>
    <w:rsid w:val="6196E386"/>
    <w:rsid w:val="61A01DE8"/>
    <w:rsid w:val="61C8EFDF"/>
    <w:rsid w:val="61D80EC0"/>
    <w:rsid w:val="61DCC6E4"/>
    <w:rsid w:val="61FA198A"/>
    <w:rsid w:val="623A307D"/>
    <w:rsid w:val="6287188F"/>
    <w:rsid w:val="628CAA8F"/>
    <w:rsid w:val="628EAD30"/>
    <w:rsid w:val="629CE1DD"/>
    <w:rsid w:val="62A2FC88"/>
    <w:rsid w:val="62C1564B"/>
    <w:rsid w:val="62CEFC48"/>
    <w:rsid w:val="62D4346F"/>
    <w:rsid w:val="6316B012"/>
    <w:rsid w:val="631C5246"/>
    <w:rsid w:val="6322834F"/>
    <w:rsid w:val="635824DA"/>
    <w:rsid w:val="6369DC34"/>
    <w:rsid w:val="6397804B"/>
    <w:rsid w:val="63CA87AB"/>
    <w:rsid w:val="640B011C"/>
    <w:rsid w:val="640F852B"/>
    <w:rsid w:val="641C1F2F"/>
    <w:rsid w:val="645BAF1C"/>
    <w:rsid w:val="64DA15CC"/>
    <w:rsid w:val="64EF9C68"/>
    <w:rsid w:val="6513F225"/>
    <w:rsid w:val="6527933A"/>
    <w:rsid w:val="65395AD1"/>
    <w:rsid w:val="653B62A8"/>
    <w:rsid w:val="656FCF49"/>
    <w:rsid w:val="657975B5"/>
    <w:rsid w:val="659A0BA5"/>
    <w:rsid w:val="65B1B10B"/>
    <w:rsid w:val="65B59A6C"/>
    <w:rsid w:val="65C50709"/>
    <w:rsid w:val="65C9EA7E"/>
    <w:rsid w:val="65D0BCC8"/>
    <w:rsid w:val="65E98B37"/>
    <w:rsid w:val="65FC9185"/>
    <w:rsid w:val="660AFBBB"/>
    <w:rsid w:val="660DDE64"/>
    <w:rsid w:val="6615A65B"/>
    <w:rsid w:val="6649963A"/>
    <w:rsid w:val="66594895"/>
    <w:rsid w:val="6679F71F"/>
    <w:rsid w:val="66977039"/>
    <w:rsid w:val="66AF2B6B"/>
    <w:rsid w:val="66C1D2E9"/>
    <w:rsid w:val="66D04046"/>
    <w:rsid w:val="66D1CF43"/>
    <w:rsid w:val="66D6CC7B"/>
    <w:rsid w:val="66D7DE3D"/>
    <w:rsid w:val="67065433"/>
    <w:rsid w:val="6734375B"/>
    <w:rsid w:val="67744396"/>
    <w:rsid w:val="6791E6ED"/>
    <w:rsid w:val="6799623D"/>
    <w:rsid w:val="67A18F80"/>
    <w:rsid w:val="67A2B1B0"/>
    <w:rsid w:val="67BB199A"/>
    <w:rsid w:val="67BBC572"/>
    <w:rsid w:val="67BE0810"/>
    <w:rsid w:val="67CFE995"/>
    <w:rsid w:val="67D97FED"/>
    <w:rsid w:val="68000777"/>
    <w:rsid w:val="682E9A40"/>
    <w:rsid w:val="685D081C"/>
    <w:rsid w:val="688253E3"/>
    <w:rsid w:val="68851405"/>
    <w:rsid w:val="688DBBC9"/>
    <w:rsid w:val="688FD43A"/>
    <w:rsid w:val="68945989"/>
    <w:rsid w:val="689D688C"/>
    <w:rsid w:val="68A9EE89"/>
    <w:rsid w:val="68AC8A5C"/>
    <w:rsid w:val="68C384A5"/>
    <w:rsid w:val="68C8D900"/>
    <w:rsid w:val="68D12868"/>
    <w:rsid w:val="68E95E58"/>
    <w:rsid w:val="68EB43C5"/>
    <w:rsid w:val="68EC9CF7"/>
    <w:rsid w:val="68FEA1EE"/>
    <w:rsid w:val="695DC4BD"/>
    <w:rsid w:val="695EE9EF"/>
    <w:rsid w:val="696A671F"/>
    <w:rsid w:val="69765AEE"/>
    <w:rsid w:val="69C72FD4"/>
    <w:rsid w:val="69F90749"/>
    <w:rsid w:val="6A0E1261"/>
    <w:rsid w:val="6A2651D5"/>
    <w:rsid w:val="6A26B0E1"/>
    <w:rsid w:val="6A4F5CD6"/>
    <w:rsid w:val="6A6005B4"/>
    <w:rsid w:val="6A727E89"/>
    <w:rsid w:val="6AB70E83"/>
    <w:rsid w:val="6ADD51A5"/>
    <w:rsid w:val="6B04C29A"/>
    <w:rsid w:val="6B149DB1"/>
    <w:rsid w:val="6B170F5B"/>
    <w:rsid w:val="6B2358ED"/>
    <w:rsid w:val="6B32EA71"/>
    <w:rsid w:val="6B5C4E68"/>
    <w:rsid w:val="6BC6D28A"/>
    <w:rsid w:val="6BD342A2"/>
    <w:rsid w:val="6BED06E3"/>
    <w:rsid w:val="6C0C0016"/>
    <w:rsid w:val="6C182140"/>
    <w:rsid w:val="6C249877"/>
    <w:rsid w:val="6C40AD0E"/>
    <w:rsid w:val="6C644152"/>
    <w:rsid w:val="6C6EEE04"/>
    <w:rsid w:val="6C6FC6B5"/>
    <w:rsid w:val="6C78A64A"/>
    <w:rsid w:val="6C8DF0AE"/>
    <w:rsid w:val="6CDFF442"/>
    <w:rsid w:val="6CEA4B64"/>
    <w:rsid w:val="6CF44B36"/>
    <w:rsid w:val="6D19E25C"/>
    <w:rsid w:val="6D245EBC"/>
    <w:rsid w:val="6D3B19E2"/>
    <w:rsid w:val="6D4BBC59"/>
    <w:rsid w:val="6D6F3D26"/>
    <w:rsid w:val="6D86CB0B"/>
    <w:rsid w:val="6DA780A1"/>
    <w:rsid w:val="6DAC0E39"/>
    <w:rsid w:val="6DD9C4B0"/>
    <w:rsid w:val="6DF1994B"/>
    <w:rsid w:val="6DFF0577"/>
    <w:rsid w:val="6E073E72"/>
    <w:rsid w:val="6E5A9D0B"/>
    <w:rsid w:val="6E5BD50D"/>
    <w:rsid w:val="6E63DD8F"/>
    <w:rsid w:val="6E7BA5FB"/>
    <w:rsid w:val="6EAD6F49"/>
    <w:rsid w:val="6ECFFAF0"/>
    <w:rsid w:val="6ED31D56"/>
    <w:rsid w:val="6ED969FA"/>
    <w:rsid w:val="6EDB92B0"/>
    <w:rsid w:val="6EE341CD"/>
    <w:rsid w:val="6EE7AFA1"/>
    <w:rsid w:val="6EEA49E8"/>
    <w:rsid w:val="6F09B47F"/>
    <w:rsid w:val="6F4320ED"/>
    <w:rsid w:val="6FBADA50"/>
    <w:rsid w:val="6FD97004"/>
    <w:rsid w:val="6FDB957A"/>
    <w:rsid w:val="6FFAC72D"/>
    <w:rsid w:val="70145B06"/>
    <w:rsid w:val="702D95B2"/>
    <w:rsid w:val="703B422D"/>
    <w:rsid w:val="7048FB69"/>
    <w:rsid w:val="706A911A"/>
    <w:rsid w:val="7087B645"/>
    <w:rsid w:val="70885852"/>
    <w:rsid w:val="70A41F95"/>
    <w:rsid w:val="70A5462C"/>
    <w:rsid w:val="70DE5B90"/>
    <w:rsid w:val="70E183DD"/>
    <w:rsid w:val="710327B4"/>
    <w:rsid w:val="7134546C"/>
    <w:rsid w:val="713A4325"/>
    <w:rsid w:val="71406451"/>
    <w:rsid w:val="714CF27C"/>
    <w:rsid w:val="715B38AE"/>
    <w:rsid w:val="716292F6"/>
    <w:rsid w:val="716463A7"/>
    <w:rsid w:val="7169A53E"/>
    <w:rsid w:val="7181839C"/>
    <w:rsid w:val="7194BFCA"/>
    <w:rsid w:val="71EEB336"/>
    <w:rsid w:val="71FB2FEB"/>
    <w:rsid w:val="72211511"/>
    <w:rsid w:val="723C28F2"/>
    <w:rsid w:val="723CCFC4"/>
    <w:rsid w:val="72404BCA"/>
    <w:rsid w:val="724AC929"/>
    <w:rsid w:val="728A13DF"/>
    <w:rsid w:val="72A44D30"/>
    <w:rsid w:val="72A454B6"/>
    <w:rsid w:val="72A60907"/>
    <w:rsid w:val="72D10A51"/>
    <w:rsid w:val="72FDF9D7"/>
    <w:rsid w:val="73247B9F"/>
    <w:rsid w:val="735DCC96"/>
    <w:rsid w:val="7368EC91"/>
    <w:rsid w:val="736D79A2"/>
    <w:rsid w:val="73912F88"/>
    <w:rsid w:val="7395A46D"/>
    <w:rsid w:val="73AEACB7"/>
    <w:rsid w:val="73E3F12C"/>
    <w:rsid w:val="73E8A5B7"/>
    <w:rsid w:val="741B5539"/>
    <w:rsid w:val="742BE6E9"/>
    <w:rsid w:val="74337834"/>
    <w:rsid w:val="74532DD6"/>
    <w:rsid w:val="74568732"/>
    <w:rsid w:val="74B44DB0"/>
    <w:rsid w:val="750BCFCE"/>
    <w:rsid w:val="75255AD8"/>
    <w:rsid w:val="752BA1FA"/>
    <w:rsid w:val="7544C584"/>
    <w:rsid w:val="756290C7"/>
    <w:rsid w:val="758D37F1"/>
    <w:rsid w:val="759CE00E"/>
    <w:rsid w:val="75E023E6"/>
    <w:rsid w:val="75F08FF4"/>
    <w:rsid w:val="75F6F662"/>
    <w:rsid w:val="760289E8"/>
    <w:rsid w:val="764994C7"/>
    <w:rsid w:val="768189D9"/>
    <w:rsid w:val="76865BC2"/>
    <w:rsid w:val="768F6A15"/>
    <w:rsid w:val="76AA7D28"/>
    <w:rsid w:val="76C86D0F"/>
    <w:rsid w:val="76D46213"/>
    <w:rsid w:val="76DAA233"/>
    <w:rsid w:val="76EE1F21"/>
    <w:rsid w:val="7706B9D5"/>
    <w:rsid w:val="7706C28E"/>
    <w:rsid w:val="772FC27F"/>
    <w:rsid w:val="7779FDC5"/>
    <w:rsid w:val="778DA139"/>
    <w:rsid w:val="77A666AC"/>
    <w:rsid w:val="77AEDC9B"/>
    <w:rsid w:val="77CE40C7"/>
    <w:rsid w:val="77E31890"/>
    <w:rsid w:val="77F963E9"/>
    <w:rsid w:val="7803835E"/>
    <w:rsid w:val="782F1DE3"/>
    <w:rsid w:val="78429E9B"/>
    <w:rsid w:val="78649B83"/>
    <w:rsid w:val="78B433A9"/>
    <w:rsid w:val="78D1154C"/>
    <w:rsid w:val="78FCEE50"/>
    <w:rsid w:val="78FE67E3"/>
    <w:rsid w:val="793FD5C1"/>
    <w:rsid w:val="7954A932"/>
    <w:rsid w:val="796E1AD6"/>
    <w:rsid w:val="797765C4"/>
    <w:rsid w:val="79DE45AC"/>
    <w:rsid w:val="79EAD210"/>
    <w:rsid w:val="79EDD6C6"/>
    <w:rsid w:val="7A049589"/>
    <w:rsid w:val="7A095690"/>
    <w:rsid w:val="7A146A98"/>
    <w:rsid w:val="7A155859"/>
    <w:rsid w:val="7A2438F3"/>
    <w:rsid w:val="7A463C98"/>
    <w:rsid w:val="7A603B68"/>
    <w:rsid w:val="7A86DAEF"/>
    <w:rsid w:val="7AB1FD47"/>
    <w:rsid w:val="7AD2CE0F"/>
    <w:rsid w:val="7AF23391"/>
    <w:rsid w:val="7AF3E572"/>
    <w:rsid w:val="7B05BDFC"/>
    <w:rsid w:val="7B0EC45B"/>
    <w:rsid w:val="7B145E42"/>
    <w:rsid w:val="7B1DAD4F"/>
    <w:rsid w:val="7B2BB6A2"/>
    <w:rsid w:val="7B4C2698"/>
    <w:rsid w:val="7B73A990"/>
    <w:rsid w:val="7B879258"/>
    <w:rsid w:val="7BC4C547"/>
    <w:rsid w:val="7BDE6E45"/>
    <w:rsid w:val="7BE3064F"/>
    <w:rsid w:val="7BED5022"/>
    <w:rsid w:val="7BF41395"/>
    <w:rsid w:val="7C0EA387"/>
    <w:rsid w:val="7C14D116"/>
    <w:rsid w:val="7C153BBB"/>
    <w:rsid w:val="7C291F0E"/>
    <w:rsid w:val="7C371AA0"/>
    <w:rsid w:val="7C3971E0"/>
    <w:rsid w:val="7C5E096E"/>
    <w:rsid w:val="7C746468"/>
    <w:rsid w:val="7C803F9D"/>
    <w:rsid w:val="7C851C6C"/>
    <w:rsid w:val="7CA22392"/>
    <w:rsid w:val="7CB9A0D1"/>
    <w:rsid w:val="7CC949DD"/>
    <w:rsid w:val="7CD18BE4"/>
    <w:rsid w:val="7CDD538B"/>
    <w:rsid w:val="7CECFB40"/>
    <w:rsid w:val="7D077237"/>
    <w:rsid w:val="7D2313C2"/>
    <w:rsid w:val="7D43EEDF"/>
    <w:rsid w:val="7D4AE650"/>
    <w:rsid w:val="7D50BA47"/>
    <w:rsid w:val="7D5853DF"/>
    <w:rsid w:val="7D73DE22"/>
    <w:rsid w:val="7D90A93C"/>
    <w:rsid w:val="7DAEB25A"/>
    <w:rsid w:val="7DB5654F"/>
    <w:rsid w:val="7DC3B8DA"/>
    <w:rsid w:val="7DC41D27"/>
    <w:rsid w:val="7DD5D8D7"/>
    <w:rsid w:val="7E1CE7BB"/>
    <w:rsid w:val="7E2123EC"/>
    <w:rsid w:val="7E275558"/>
    <w:rsid w:val="7E3E64FB"/>
    <w:rsid w:val="7E46E3D7"/>
    <w:rsid w:val="7E757D83"/>
    <w:rsid w:val="7EADDD01"/>
    <w:rsid w:val="7F1428E8"/>
    <w:rsid w:val="7F16656C"/>
    <w:rsid w:val="7F57E72B"/>
    <w:rsid w:val="7F5E97B5"/>
    <w:rsid w:val="7F81DC4F"/>
    <w:rsid w:val="7F9DDBAE"/>
    <w:rsid w:val="7FABE724"/>
    <w:rsid w:val="7FB07A5B"/>
    <w:rsid w:val="7FEFB7EB"/>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DC832D99-1037-4E52-AF2C-01B4CDA1B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9CC"/>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paragraph" w:styleId="Ttulo4">
    <w:name w:val="heading 4"/>
    <w:basedOn w:val="Normal"/>
    <w:next w:val="Normal"/>
    <w:link w:val="Ttulo4Car"/>
    <w:uiPriority w:val="9"/>
    <w:semiHidden/>
    <w:unhideWhenUsed/>
    <w:qFormat/>
    <w:rsid w:val="000F04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 w:type="paragraph" w:styleId="Textonotapie">
    <w:name w:val="footnote text"/>
    <w:basedOn w:val="Normal"/>
    <w:link w:val="TextonotapieCar"/>
    <w:uiPriority w:val="99"/>
    <w:semiHidden/>
    <w:unhideWhenUsed/>
    <w:rsid w:val="00261B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61B5C"/>
    <w:rPr>
      <w:sz w:val="20"/>
      <w:szCs w:val="20"/>
    </w:rPr>
  </w:style>
  <w:style w:type="character" w:styleId="Refdenotaalpie">
    <w:name w:val="footnote reference"/>
    <w:basedOn w:val="Fuentedeprrafopredeter"/>
    <w:uiPriority w:val="99"/>
    <w:semiHidden/>
    <w:unhideWhenUsed/>
    <w:rsid w:val="00261B5C"/>
    <w:rPr>
      <w:vertAlign w:val="superscript"/>
    </w:rPr>
  </w:style>
  <w:style w:type="character" w:customStyle="1" w:styleId="Ttulo4Car">
    <w:name w:val="Título 4 Car"/>
    <w:basedOn w:val="Fuentedeprrafopredeter"/>
    <w:link w:val="Ttulo4"/>
    <w:uiPriority w:val="9"/>
    <w:semiHidden/>
    <w:rsid w:val="000F04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688">
      <w:bodyDiv w:val="1"/>
      <w:marLeft w:val="0"/>
      <w:marRight w:val="0"/>
      <w:marTop w:val="0"/>
      <w:marBottom w:val="0"/>
      <w:divBdr>
        <w:top w:val="none" w:sz="0" w:space="0" w:color="auto"/>
        <w:left w:val="none" w:sz="0" w:space="0" w:color="auto"/>
        <w:bottom w:val="none" w:sz="0" w:space="0" w:color="auto"/>
        <w:right w:val="none" w:sz="0" w:space="0" w:color="auto"/>
      </w:divBdr>
    </w:div>
    <w:div w:id="35399929">
      <w:bodyDiv w:val="1"/>
      <w:marLeft w:val="0"/>
      <w:marRight w:val="0"/>
      <w:marTop w:val="0"/>
      <w:marBottom w:val="0"/>
      <w:divBdr>
        <w:top w:val="none" w:sz="0" w:space="0" w:color="auto"/>
        <w:left w:val="none" w:sz="0" w:space="0" w:color="auto"/>
        <w:bottom w:val="none" w:sz="0" w:space="0" w:color="auto"/>
        <w:right w:val="none" w:sz="0" w:space="0" w:color="auto"/>
      </w:divBdr>
    </w:div>
    <w:div w:id="57477380">
      <w:bodyDiv w:val="1"/>
      <w:marLeft w:val="0"/>
      <w:marRight w:val="0"/>
      <w:marTop w:val="0"/>
      <w:marBottom w:val="0"/>
      <w:divBdr>
        <w:top w:val="none" w:sz="0" w:space="0" w:color="auto"/>
        <w:left w:val="none" w:sz="0" w:space="0" w:color="auto"/>
        <w:bottom w:val="none" w:sz="0" w:space="0" w:color="auto"/>
        <w:right w:val="none" w:sz="0" w:space="0" w:color="auto"/>
      </w:divBdr>
    </w:div>
    <w:div w:id="78452646">
      <w:bodyDiv w:val="1"/>
      <w:marLeft w:val="0"/>
      <w:marRight w:val="0"/>
      <w:marTop w:val="0"/>
      <w:marBottom w:val="0"/>
      <w:divBdr>
        <w:top w:val="none" w:sz="0" w:space="0" w:color="auto"/>
        <w:left w:val="none" w:sz="0" w:space="0" w:color="auto"/>
        <w:bottom w:val="none" w:sz="0" w:space="0" w:color="auto"/>
        <w:right w:val="none" w:sz="0" w:space="0" w:color="auto"/>
      </w:divBdr>
    </w:div>
    <w:div w:id="99306156">
      <w:bodyDiv w:val="1"/>
      <w:marLeft w:val="0"/>
      <w:marRight w:val="0"/>
      <w:marTop w:val="0"/>
      <w:marBottom w:val="0"/>
      <w:divBdr>
        <w:top w:val="none" w:sz="0" w:space="0" w:color="auto"/>
        <w:left w:val="none" w:sz="0" w:space="0" w:color="auto"/>
        <w:bottom w:val="none" w:sz="0" w:space="0" w:color="auto"/>
        <w:right w:val="none" w:sz="0" w:space="0" w:color="auto"/>
      </w:divBdr>
    </w:div>
    <w:div w:id="235671501">
      <w:bodyDiv w:val="1"/>
      <w:marLeft w:val="0"/>
      <w:marRight w:val="0"/>
      <w:marTop w:val="0"/>
      <w:marBottom w:val="0"/>
      <w:divBdr>
        <w:top w:val="none" w:sz="0" w:space="0" w:color="auto"/>
        <w:left w:val="none" w:sz="0" w:space="0" w:color="auto"/>
        <w:bottom w:val="none" w:sz="0" w:space="0" w:color="auto"/>
        <w:right w:val="none" w:sz="0" w:space="0" w:color="auto"/>
      </w:divBdr>
    </w:div>
    <w:div w:id="264575530">
      <w:bodyDiv w:val="1"/>
      <w:marLeft w:val="0"/>
      <w:marRight w:val="0"/>
      <w:marTop w:val="0"/>
      <w:marBottom w:val="0"/>
      <w:divBdr>
        <w:top w:val="none" w:sz="0" w:space="0" w:color="auto"/>
        <w:left w:val="none" w:sz="0" w:space="0" w:color="auto"/>
        <w:bottom w:val="none" w:sz="0" w:space="0" w:color="auto"/>
        <w:right w:val="none" w:sz="0" w:space="0" w:color="auto"/>
      </w:divBdr>
    </w:div>
    <w:div w:id="272633839">
      <w:bodyDiv w:val="1"/>
      <w:marLeft w:val="0"/>
      <w:marRight w:val="0"/>
      <w:marTop w:val="0"/>
      <w:marBottom w:val="0"/>
      <w:divBdr>
        <w:top w:val="none" w:sz="0" w:space="0" w:color="auto"/>
        <w:left w:val="none" w:sz="0" w:space="0" w:color="auto"/>
        <w:bottom w:val="none" w:sz="0" w:space="0" w:color="auto"/>
        <w:right w:val="none" w:sz="0" w:space="0" w:color="auto"/>
      </w:divBdr>
      <w:divsChild>
        <w:div w:id="318580158">
          <w:marLeft w:val="-720"/>
          <w:marRight w:val="0"/>
          <w:marTop w:val="0"/>
          <w:marBottom w:val="0"/>
          <w:divBdr>
            <w:top w:val="none" w:sz="0" w:space="0" w:color="auto"/>
            <w:left w:val="none" w:sz="0" w:space="0" w:color="auto"/>
            <w:bottom w:val="none" w:sz="0" w:space="0" w:color="auto"/>
            <w:right w:val="none" w:sz="0" w:space="0" w:color="auto"/>
          </w:divBdr>
        </w:div>
      </w:divsChild>
    </w:div>
    <w:div w:id="309679031">
      <w:bodyDiv w:val="1"/>
      <w:marLeft w:val="0"/>
      <w:marRight w:val="0"/>
      <w:marTop w:val="0"/>
      <w:marBottom w:val="0"/>
      <w:divBdr>
        <w:top w:val="none" w:sz="0" w:space="0" w:color="auto"/>
        <w:left w:val="none" w:sz="0" w:space="0" w:color="auto"/>
        <w:bottom w:val="none" w:sz="0" w:space="0" w:color="auto"/>
        <w:right w:val="none" w:sz="0" w:space="0" w:color="auto"/>
      </w:divBdr>
    </w:div>
    <w:div w:id="329452470">
      <w:bodyDiv w:val="1"/>
      <w:marLeft w:val="0"/>
      <w:marRight w:val="0"/>
      <w:marTop w:val="0"/>
      <w:marBottom w:val="0"/>
      <w:divBdr>
        <w:top w:val="none" w:sz="0" w:space="0" w:color="auto"/>
        <w:left w:val="none" w:sz="0" w:space="0" w:color="auto"/>
        <w:bottom w:val="none" w:sz="0" w:space="0" w:color="auto"/>
        <w:right w:val="none" w:sz="0" w:space="0" w:color="auto"/>
      </w:divBdr>
    </w:div>
    <w:div w:id="329795418">
      <w:bodyDiv w:val="1"/>
      <w:marLeft w:val="0"/>
      <w:marRight w:val="0"/>
      <w:marTop w:val="0"/>
      <w:marBottom w:val="0"/>
      <w:divBdr>
        <w:top w:val="none" w:sz="0" w:space="0" w:color="auto"/>
        <w:left w:val="none" w:sz="0" w:space="0" w:color="auto"/>
        <w:bottom w:val="none" w:sz="0" w:space="0" w:color="auto"/>
        <w:right w:val="none" w:sz="0" w:space="0" w:color="auto"/>
      </w:divBdr>
    </w:div>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366375119">
      <w:bodyDiv w:val="1"/>
      <w:marLeft w:val="0"/>
      <w:marRight w:val="0"/>
      <w:marTop w:val="0"/>
      <w:marBottom w:val="0"/>
      <w:divBdr>
        <w:top w:val="none" w:sz="0" w:space="0" w:color="auto"/>
        <w:left w:val="none" w:sz="0" w:space="0" w:color="auto"/>
        <w:bottom w:val="none" w:sz="0" w:space="0" w:color="auto"/>
        <w:right w:val="none" w:sz="0" w:space="0" w:color="auto"/>
      </w:divBdr>
    </w:div>
    <w:div w:id="383413057">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15444194">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475681697">
      <w:bodyDiv w:val="1"/>
      <w:marLeft w:val="0"/>
      <w:marRight w:val="0"/>
      <w:marTop w:val="0"/>
      <w:marBottom w:val="0"/>
      <w:divBdr>
        <w:top w:val="none" w:sz="0" w:space="0" w:color="auto"/>
        <w:left w:val="none" w:sz="0" w:space="0" w:color="auto"/>
        <w:bottom w:val="none" w:sz="0" w:space="0" w:color="auto"/>
        <w:right w:val="none" w:sz="0" w:space="0" w:color="auto"/>
      </w:divBdr>
      <w:divsChild>
        <w:div w:id="1221475196">
          <w:marLeft w:val="-720"/>
          <w:marRight w:val="0"/>
          <w:marTop w:val="0"/>
          <w:marBottom w:val="0"/>
          <w:divBdr>
            <w:top w:val="none" w:sz="0" w:space="0" w:color="auto"/>
            <w:left w:val="none" w:sz="0" w:space="0" w:color="auto"/>
            <w:bottom w:val="none" w:sz="0" w:space="0" w:color="auto"/>
            <w:right w:val="none" w:sz="0" w:space="0" w:color="auto"/>
          </w:divBdr>
        </w:div>
      </w:divsChild>
    </w:div>
    <w:div w:id="520321424">
      <w:bodyDiv w:val="1"/>
      <w:marLeft w:val="0"/>
      <w:marRight w:val="0"/>
      <w:marTop w:val="0"/>
      <w:marBottom w:val="0"/>
      <w:divBdr>
        <w:top w:val="none" w:sz="0" w:space="0" w:color="auto"/>
        <w:left w:val="none" w:sz="0" w:space="0" w:color="auto"/>
        <w:bottom w:val="none" w:sz="0" w:space="0" w:color="auto"/>
        <w:right w:val="none" w:sz="0" w:space="0" w:color="auto"/>
      </w:divBdr>
    </w:div>
    <w:div w:id="523206300">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564336573">
      <w:bodyDiv w:val="1"/>
      <w:marLeft w:val="0"/>
      <w:marRight w:val="0"/>
      <w:marTop w:val="0"/>
      <w:marBottom w:val="0"/>
      <w:divBdr>
        <w:top w:val="none" w:sz="0" w:space="0" w:color="auto"/>
        <w:left w:val="none" w:sz="0" w:space="0" w:color="auto"/>
        <w:bottom w:val="none" w:sz="0" w:space="0" w:color="auto"/>
        <w:right w:val="none" w:sz="0" w:space="0" w:color="auto"/>
      </w:divBdr>
    </w:div>
    <w:div w:id="601455089">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659844129">
      <w:bodyDiv w:val="1"/>
      <w:marLeft w:val="0"/>
      <w:marRight w:val="0"/>
      <w:marTop w:val="0"/>
      <w:marBottom w:val="0"/>
      <w:divBdr>
        <w:top w:val="none" w:sz="0" w:space="0" w:color="auto"/>
        <w:left w:val="none" w:sz="0" w:space="0" w:color="auto"/>
        <w:bottom w:val="none" w:sz="0" w:space="0" w:color="auto"/>
        <w:right w:val="none" w:sz="0" w:space="0" w:color="auto"/>
      </w:divBdr>
    </w:div>
    <w:div w:id="689531160">
      <w:bodyDiv w:val="1"/>
      <w:marLeft w:val="0"/>
      <w:marRight w:val="0"/>
      <w:marTop w:val="0"/>
      <w:marBottom w:val="0"/>
      <w:divBdr>
        <w:top w:val="none" w:sz="0" w:space="0" w:color="auto"/>
        <w:left w:val="none" w:sz="0" w:space="0" w:color="auto"/>
        <w:bottom w:val="none" w:sz="0" w:space="0" w:color="auto"/>
        <w:right w:val="none" w:sz="0" w:space="0" w:color="auto"/>
      </w:divBdr>
    </w:div>
    <w:div w:id="68957472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752429811">
      <w:bodyDiv w:val="1"/>
      <w:marLeft w:val="0"/>
      <w:marRight w:val="0"/>
      <w:marTop w:val="0"/>
      <w:marBottom w:val="0"/>
      <w:divBdr>
        <w:top w:val="none" w:sz="0" w:space="0" w:color="auto"/>
        <w:left w:val="none" w:sz="0" w:space="0" w:color="auto"/>
        <w:bottom w:val="none" w:sz="0" w:space="0" w:color="auto"/>
        <w:right w:val="none" w:sz="0" w:space="0" w:color="auto"/>
      </w:divBdr>
    </w:div>
    <w:div w:id="808353758">
      <w:bodyDiv w:val="1"/>
      <w:marLeft w:val="0"/>
      <w:marRight w:val="0"/>
      <w:marTop w:val="0"/>
      <w:marBottom w:val="0"/>
      <w:divBdr>
        <w:top w:val="none" w:sz="0" w:space="0" w:color="auto"/>
        <w:left w:val="none" w:sz="0" w:space="0" w:color="auto"/>
        <w:bottom w:val="none" w:sz="0" w:space="0" w:color="auto"/>
        <w:right w:val="none" w:sz="0" w:space="0" w:color="auto"/>
      </w:divBdr>
    </w:div>
    <w:div w:id="817502153">
      <w:bodyDiv w:val="1"/>
      <w:marLeft w:val="0"/>
      <w:marRight w:val="0"/>
      <w:marTop w:val="0"/>
      <w:marBottom w:val="0"/>
      <w:divBdr>
        <w:top w:val="none" w:sz="0" w:space="0" w:color="auto"/>
        <w:left w:val="none" w:sz="0" w:space="0" w:color="auto"/>
        <w:bottom w:val="none" w:sz="0" w:space="0" w:color="auto"/>
        <w:right w:val="none" w:sz="0" w:space="0" w:color="auto"/>
      </w:divBdr>
      <w:divsChild>
        <w:div w:id="1750693163">
          <w:marLeft w:val="-720"/>
          <w:marRight w:val="0"/>
          <w:marTop w:val="0"/>
          <w:marBottom w:val="0"/>
          <w:divBdr>
            <w:top w:val="none" w:sz="0" w:space="0" w:color="auto"/>
            <w:left w:val="none" w:sz="0" w:space="0" w:color="auto"/>
            <w:bottom w:val="none" w:sz="0" w:space="0" w:color="auto"/>
            <w:right w:val="none" w:sz="0" w:space="0" w:color="auto"/>
          </w:divBdr>
        </w:div>
      </w:divsChild>
    </w:div>
    <w:div w:id="830369345">
      <w:bodyDiv w:val="1"/>
      <w:marLeft w:val="0"/>
      <w:marRight w:val="0"/>
      <w:marTop w:val="0"/>
      <w:marBottom w:val="0"/>
      <w:divBdr>
        <w:top w:val="none" w:sz="0" w:space="0" w:color="auto"/>
        <w:left w:val="none" w:sz="0" w:space="0" w:color="auto"/>
        <w:bottom w:val="none" w:sz="0" w:space="0" w:color="auto"/>
        <w:right w:val="none" w:sz="0" w:space="0" w:color="auto"/>
      </w:divBdr>
    </w:div>
    <w:div w:id="844243106">
      <w:bodyDiv w:val="1"/>
      <w:marLeft w:val="0"/>
      <w:marRight w:val="0"/>
      <w:marTop w:val="0"/>
      <w:marBottom w:val="0"/>
      <w:divBdr>
        <w:top w:val="none" w:sz="0" w:space="0" w:color="auto"/>
        <w:left w:val="none" w:sz="0" w:space="0" w:color="auto"/>
        <w:bottom w:val="none" w:sz="0" w:space="0" w:color="auto"/>
        <w:right w:val="none" w:sz="0" w:space="0" w:color="auto"/>
      </w:divBdr>
    </w:div>
    <w:div w:id="883829026">
      <w:bodyDiv w:val="1"/>
      <w:marLeft w:val="0"/>
      <w:marRight w:val="0"/>
      <w:marTop w:val="0"/>
      <w:marBottom w:val="0"/>
      <w:divBdr>
        <w:top w:val="none" w:sz="0" w:space="0" w:color="auto"/>
        <w:left w:val="none" w:sz="0" w:space="0" w:color="auto"/>
        <w:bottom w:val="none" w:sz="0" w:space="0" w:color="auto"/>
        <w:right w:val="none" w:sz="0" w:space="0" w:color="auto"/>
      </w:divBdr>
    </w:div>
    <w:div w:id="884759979">
      <w:bodyDiv w:val="1"/>
      <w:marLeft w:val="0"/>
      <w:marRight w:val="0"/>
      <w:marTop w:val="0"/>
      <w:marBottom w:val="0"/>
      <w:divBdr>
        <w:top w:val="none" w:sz="0" w:space="0" w:color="auto"/>
        <w:left w:val="none" w:sz="0" w:space="0" w:color="auto"/>
        <w:bottom w:val="none" w:sz="0" w:space="0" w:color="auto"/>
        <w:right w:val="none" w:sz="0" w:space="0" w:color="auto"/>
      </w:divBdr>
    </w:div>
    <w:div w:id="912161156">
      <w:bodyDiv w:val="1"/>
      <w:marLeft w:val="0"/>
      <w:marRight w:val="0"/>
      <w:marTop w:val="0"/>
      <w:marBottom w:val="0"/>
      <w:divBdr>
        <w:top w:val="none" w:sz="0" w:space="0" w:color="auto"/>
        <w:left w:val="none" w:sz="0" w:space="0" w:color="auto"/>
        <w:bottom w:val="none" w:sz="0" w:space="0" w:color="auto"/>
        <w:right w:val="none" w:sz="0" w:space="0" w:color="auto"/>
      </w:divBdr>
    </w:div>
    <w:div w:id="955405768">
      <w:bodyDiv w:val="1"/>
      <w:marLeft w:val="0"/>
      <w:marRight w:val="0"/>
      <w:marTop w:val="0"/>
      <w:marBottom w:val="0"/>
      <w:divBdr>
        <w:top w:val="none" w:sz="0" w:space="0" w:color="auto"/>
        <w:left w:val="none" w:sz="0" w:space="0" w:color="auto"/>
        <w:bottom w:val="none" w:sz="0" w:space="0" w:color="auto"/>
        <w:right w:val="none" w:sz="0" w:space="0" w:color="auto"/>
      </w:divBdr>
    </w:div>
    <w:div w:id="966742370">
      <w:bodyDiv w:val="1"/>
      <w:marLeft w:val="0"/>
      <w:marRight w:val="0"/>
      <w:marTop w:val="0"/>
      <w:marBottom w:val="0"/>
      <w:divBdr>
        <w:top w:val="none" w:sz="0" w:space="0" w:color="auto"/>
        <w:left w:val="none" w:sz="0" w:space="0" w:color="auto"/>
        <w:bottom w:val="none" w:sz="0" w:space="0" w:color="auto"/>
        <w:right w:val="none" w:sz="0" w:space="0" w:color="auto"/>
      </w:divBdr>
    </w:div>
    <w:div w:id="973565773">
      <w:bodyDiv w:val="1"/>
      <w:marLeft w:val="0"/>
      <w:marRight w:val="0"/>
      <w:marTop w:val="0"/>
      <w:marBottom w:val="0"/>
      <w:divBdr>
        <w:top w:val="none" w:sz="0" w:space="0" w:color="auto"/>
        <w:left w:val="none" w:sz="0" w:space="0" w:color="auto"/>
        <w:bottom w:val="none" w:sz="0" w:space="0" w:color="auto"/>
        <w:right w:val="none" w:sz="0" w:space="0" w:color="auto"/>
      </w:divBdr>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975573429">
      <w:bodyDiv w:val="1"/>
      <w:marLeft w:val="0"/>
      <w:marRight w:val="0"/>
      <w:marTop w:val="0"/>
      <w:marBottom w:val="0"/>
      <w:divBdr>
        <w:top w:val="none" w:sz="0" w:space="0" w:color="auto"/>
        <w:left w:val="none" w:sz="0" w:space="0" w:color="auto"/>
        <w:bottom w:val="none" w:sz="0" w:space="0" w:color="auto"/>
        <w:right w:val="none" w:sz="0" w:space="0" w:color="auto"/>
      </w:divBdr>
    </w:div>
    <w:div w:id="983117163">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047488942">
      <w:bodyDiv w:val="1"/>
      <w:marLeft w:val="0"/>
      <w:marRight w:val="0"/>
      <w:marTop w:val="0"/>
      <w:marBottom w:val="0"/>
      <w:divBdr>
        <w:top w:val="none" w:sz="0" w:space="0" w:color="auto"/>
        <w:left w:val="none" w:sz="0" w:space="0" w:color="auto"/>
        <w:bottom w:val="none" w:sz="0" w:space="0" w:color="auto"/>
        <w:right w:val="none" w:sz="0" w:space="0" w:color="auto"/>
      </w:divBdr>
    </w:div>
    <w:div w:id="1101147396">
      <w:bodyDiv w:val="1"/>
      <w:marLeft w:val="0"/>
      <w:marRight w:val="0"/>
      <w:marTop w:val="0"/>
      <w:marBottom w:val="0"/>
      <w:divBdr>
        <w:top w:val="none" w:sz="0" w:space="0" w:color="auto"/>
        <w:left w:val="none" w:sz="0" w:space="0" w:color="auto"/>
        <w:bottom w:val="none" w:sz="0" w:space="0" w:color="auto"/>
        <w:right w:val="none" w:sz="0" w:space="0" w:color="auto"/>
      </w:divBdr>
    </w:div>
    <w:div w:id="1142384346">
      <w:bodyDiv w:val="1"/>
      <w:marLeft w:val="0"/>
      <w:marRight w:val="0"/>
      <w:marTop w:val="0"/>
      <w:marBottom w:val="0"/>
      <w:divBdr>
        <w:top w:val="none" w:sz="0" w:space="0" w:color="auto"/>
        <w:left w:val="none" w:sz="0" w:space="0" w:color="auto"/>
        <w:bottom w:val="none" w:sz="0" w:space="0" w:color="auto"/>
        <w:right w:val="none" w:sz="0" w:space="0" w:color="auto"/>
      </w:divBdr>
    </w:div>
    <w:div w:id="1178235556">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12645332">
      <w:bodyDiv w:val="1"/>
      <w:marLeft w:val="0"/>
      <w:marRight w:val="0"/>
      <w:marTop w:val="0"/>
      <w:marBottom w:val="0"/>
      <w:divBdr>
        <w:top w:val="none" w:sz="0" w:space="0" w:color="auto"/>
        <w:left w:val="none" w:sz="0" w:space="0" w:color="auto"/>
        <w:bottom w:val="none" w:sz="0" w:space="0" w:color="auto"/>
        <w:right w:val="none" w:sz="0" w:space="0" w:color="auto"/>
      </w:divBdr>
    </w:div>
    <w:div w:id="1223255305">
      <w:bodyDiv w:val="1"/>
      <w:marLeft w:val="0"/>
      <w:marRight w:val="0"/>
      <w:marTop w:val="0"/>
      <w:marBottom w:val="0"/>
      <w:divBdr>
        <w:top w:val="none" w:sz="0" w:space="0" w:color="auto"/>
        <w:left w:val="none" w:sz="0" w:space="0" w:color="auto"/>
        <w:bottom w:val="none" w:sz="0" w:space="0" w:color="auto"/>
        <w:right w:val="none" w:sz="0" w:space="0" w:color="auto"/>
      </w:divBdr>
      <w:divsChild>
        <w:div w:id="1039355998">
          <w:marLeft w:val="-720"/>
          <w:marRight w:val="0"/>
          <w:marTop w:val="0"/>
          <w:marBottom w:val="0"/>
          <w:divBdr>
            <w:top w:val="none" w:sz="0" w:space="0" w:color="auto"/>
            <w:left w:val="none" w:sz="0" w:space="0" w:color="auto"/>
            <w:bottom w:val="none" w:sz="0" w:space="0" w:color="auto"/>
            <w:right w:val="none" w:sz="0" w:space="0" w:color="auto"/>
          </w:divBdr>
        </w:div>
      </w:divsChild>
    </w:div>
    <w:div w:id="1268275131">
      <w:bodyDiv w:val="1"/>
      <w:marLeft w:val="0"/>
      <w:marRight w:val="0"/>
      <w:marTop w:val="0"/>
      <w:marBottom w:val="0"/>
      <w:divBdr>
        <w:top w:val="none" w:sz="0" w:space="0" w:color="auto"/>
        <w:left w:val="none" w:sz="0" w:space="0" w:color="auto"/>
        <w:bottom w:val="none" w:sz="0" w:space="0" w:color="auto"/>
        <w:right w:val="none" w:sz="0" w:space="0" w:color="auto"/>
      </w:divBdr>
    </w:div>
    <w:div w:id="1274945098">
      <w:bodyDiv w:val="1"/>
      <w:marLeft w:val="0"/>
      <w:marRight w:val="0"/>
      <w:marTop w:val="0"/>
      <w:marBottom w:val="0"/>
      <w:divBdr>
        <w:top w:val="none" w:sz="0" w:space="0" w:color="auto"/>
        <w:left w:val="none" w:sz="0" w:space="0" w:color="auto"/>
        <w:bottom w:val="none" w:sz="0" w:space="0" w:color="auto"/>
        <w:right w:val="none" w:sz="0" w:space="0" w:color="auto"/>
      </w:divBdr>
    </w:div>
    <w:div w:id="1290018314">
      <w:bodyDiv w:val="1"/>
      <w:marLeft w:val="0"/>
      <w:marRight w:val="0"/>
      <w:marTop w:val="0"/>
      <w:marBottom w:val="0"/>
      <w:divBdr>
        <w:top w:val="none" w:sz="0" w:space="0" w:color="auto"/>
        <w:left w:val="none" w:sz="0" w:space="0" w:color="auto"/>
        <w:bottom w:val="none" w:sz="0" w:space="0" w:color="auto"/>
        <w:right w:val="none" w:sz="0" w:space="0" w:color="auto"/>
      </w:divBdr>
    </w:div>
    <w:div w:id="1297417874">
      <w:bodyDiv w:val="1"/>
      <w:marLeft w:val="0"/>
      <w:marRight w:val="0"/>
      <w:marTop w:val="0"/>
      <w:marBottom w:val="0"/>
      <w:divBdr>
        <w:top w:val="none" w:sz="0" w:space="0" w:color="auto"/>
        <w:left w:val="none" w:sz="0" w:space="0" w:color="auto"/>
        <w:bottom w:val="none" w:sz="0" w:space="0" w:color="auto"/>
        <w:right w:val="none" w:sz="0" w:space="0" w:color="auto"/>
      </w:divBdr>
    </w:div>
    <w:div w:id="1337806270">
      <w:bodyDiv w:val="1"/>
      <w:marLeft w:val="0"/>
      <w:marRight w:val="0"/>
      <w:marTop w:val="0"/>
      <w:marBottom w:val="0"/>
      <w:divBdr>
        <w:top w:val="none" w:sz="0" w:space="0" w:color="auto"/>
        <w:left w:val="none" w:sz="0" w:space="0" w:color="auto"/>
        <w:bottom w:val="none" w:sz="0" w:space="0" w:color="auto"/>
        <w:right w:val="none" w:sz="0" w:space="0" w:color="auto"/>
      </w:divBdr>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434321387">
      <w:bodyDiv w:val="1"/>
      <w:marLeft w:val="0"/>
      <w:marRight w:val="0"/>
      <w:marTop w:val="0"/>
      <w:marBottom w:val="0"/>
      <w:divBdr>
        <w:top w:val="none" w:sz="0" w:space="0" w:color="auto"/>
        <w:left w:val="none" w:sz="0" w:space="0" w:color="auto"/>
        <w:bottom w:val="none" w:sz="0" w:space="0" w:color="auto"/>
        <w:right w:val="none" w:sz="0" w:space="0" w:color="auto"/>
      </w:divBdr>
    </w:div>
    <w:div w:id="1454790091">
      <w:bodyDiv w:val="1"/>
      <w:marLeft w:val="0"/>
      <w:marRight w:val="0"/>
      <w:marTop w:val="0"/>
      <w:marBottom w:val="0"/>
      <w:divBdr>
        <w:top w:val="none" w:sz="0" w:space="0" w:color="auto"/>
        <w:left w:val="none" w:sz="0" w:space="0" w:color="auto"/>
        <w:bottom w:val="none" w:sz="0" w:space="0" w:color="auto"/>
        <w:right w:val="none" w:sz="0" w:space="0" w:color="auto"/>
      </w:divBdr>
    </w:div>
    <w:div w:id="1486821689">
      <w:bodyDiv w:val="1"/>
      <w:marLeft w:val="0"/>
      <w:marRight w:val="0"/>
      <w:marTop w:val="0"/>
      <w:marBottom w:val="0"/>
      <w:divBdr>
        <w:top w:val="none" w:sz="0" w:space="0" w:color="auto"/>
        <w:left w:val="none" w:sz="0" w:space="0" w:color="auto"/>
        <w:bottom w:val="none" w:sz="0" w:space="0" w:color="auto"/>
        <w:right w:val="none" w:sz="0" w:space="0" w:color="auto"/>
      </w:divBdr>
    </w:div>
    <w:div w:id="1569268355">
      <w:bodyDiv w:val="1"/>
      <w:marLeft w:val="0"/>
      <w:marRight w:val="0"/>
      <w:marTop w:val="0"/>
      <w:marBottom w:val="0"/>
      <w:divBdr>
        <w:top w:val="none" w:sz="0" w:space="0" w:color="auto"/>
        <w:left w:val="none" w:sz="0" w:space="0" w:color="auto"/>
        <w:bottom w:val="none" w:sz="0" w:space="0" w:color="auto"/>
        <w:right w:val="none" w:sz="0" w:space="0" w:color="auto"/>
      </w:divBdr>
    </w:div>
    <w:div w:id="1585795392">
      <w:bodyDiv w:val="1"/>
      <w:marLeft w:val="0"/>
      <w:marRight w:val="0"/>
      <w:marTop w:val="0"/>
      <w:marBottom w:val="0"/>
      <w:divBdr>
        <w:top w:val="none" w:sz="0" w:space="0" w:color="auto"/>
        <w:left w:val="none" w:sz="0" w:space="0" w:color="auto"/>
        <w:bottom w:val="none" w:sz="0" w:space="0" w:color="auto"/>
        <w:right w:val="none" w:sz="0" w:space="0" w:color="auto"/>
      </w:divBdr>
    </w:div>
    <w:div w:id="1638026950">
      <w:bodyDiv w:val="1"/>
      <w:marLeft w:val="0"/>
      <w:marRight w:val="0"/>
      <w:marTop w:val="0"/>
      <w:marBottom w:val="0"/>
      <w:divBdr>
        <w:top w:val="none" w:sz="0" w:space="0" w:color="auto"/>
        <w:left w:val="none" w:sz="0" w:space="0" w:color="auto"/>
        <w:bottom w:val="none" w:sz="0" w:space="0" w:color="auto"/>
        <w:right w:val="none" w:sz="0" w:space="0" w:color="auto"/>
      </w:divBdr>
    </w:div>
    <w:div w:id="1702317348">
      <w:bodyDiv w:val="1"/>
      <w:marLeft w:val="0"/>
      <w:marRight w:val="0"/>
      <w:marTop w:val="0"/>
      <w:marBottom w:val="0"/>
      <w:divBdr>
        <w:top w:val="none" w:sz="0" w:space="0" w:color="auto"/>
        <w:left w:val="none" w:sz="0" w:space="0" w:color="auto"/>
        <w:bottom w:val="none" w:sz="0" w:space="0" w:color="auto"/>
        <w:right w:val="none" w:sz="0" w:space="0" w:color="auto"/>
      </w:divBdr>
    </w:div>
    <w:div w:id="1710494138">
      <w:bodyDiv w:val="1"/>
      <w:marLeft w:val="0"/>
      <w:marRight w:val="0"/>
      <w:marTop w:val="0"/>
      <w:marBottom w:val="0"/>
      <w:divBdr>
        <w:top w:val="none" w:sz="0" w:space="0" w:color="auto"/>
        <w:left w:val="none" w:sz="0" w:space="0" w:color="auto"/>
        <w:bottom w:val="none" w:sz="0" w:space="0" w:color="auto"/>
        <w:right w:val="none" w:sz="0" w:space="0" w:color="auto"/>
      </w:divBdr>
    </w:div>
    <w:div w:id="1732576559">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804107004">
      <w:bodyDiv w:val="1"/>
      <w:marLeft w:val="0"/>
      <w:marRight w:val="0"/>
      <w:marTop w:val="0"/>
      <w:marBottom w:val="0"/>
      <w:divBdr>
        <w:top w:val="none" w:sz="0" w:space="0" w:color="auto"/>
        <w:left w:val="none" w:sz="0" w:space="0" w:color="auto"/>
        <w:bottom w:val="none" w:sz="0" w:space="0" w:color="auto"/>
        <w:right w:val="none" w:sz="0" w:space="0" w:color="auto"/>
      </w:divBdr>
    </w:div>
    <w:div w:id="1828476079">
      <w:bodyDiv w:val="1"/>
      <w:marLeft w:val="0"/>
      <w:marRight w:val="0"/>
      <w:marTop w:val="0"/>
      <w:marBottom w:val="0"/>
      <w:divBdr>
        <w:top w:val="none" w:sz="0" w:space="0" w:color="auto"/>
        <w:left w:val="none" w:sz="0" w:space="0" w:color="auto"/>
        <w:bottom w:val="none" w:sz="0" w:space="0" w:color="auto"/>
        <w:right w:val="none" w:sz="0" w:space="0" w:color="auto"/>
      </w:divBdr>
    </w:div>
    <w:div w:id="1837770641">
      <w:bodyDiv w:val="1"/>
      <w:marLeft w:val="0"/>
      <w:marRight w:val="0"/>
      <w:marTop w:val="0"/>
      <w:marBottom w:val="0"/>
      <w:divBdr>
        <w:top w:val="none" w:sz="0" w:space="0" w:color="auto"/>
        <w:left w:val="none" w:sz="0" w:space="0" w:color="auto"/>
        <w:bottom w:val="none" w:sz="0" w:space="0" w:color="auto"/>
        <w:right w:val="none" w:sz="0" w:space="0" w:color="auto"/>
      </w:divBdr>
    </w:div>
    <w:div w:id="1845507834">
      <w:bodyDiv w:val="1"/>
      <w:marLeft w:val="0"/>
      <w:marRight w:val="0"/>
      <w:marTop w:val="0"/>
      <w:marBottom w:val="0"/>
      <w:divBdr>
        <w:top w:val="none" w:sz="0" w:space="0" w:color="auto"/>
        <w:left w:val="none" w:sz="0" w:space="0" w:color="auto"/>
        <w:bottom w:val="none" w:sz="0" w:space="0" w:color="auto"/>
        <w:right w:val="none" w:sz="0" w:space="0" w:color="auto"/>
      </w:divBdr>
    </w:div>
    <w:div w:id="1847162593">
      <w:bodyDiv w:val="1"/>
      <w:marLeft w:val="0"/>
      <w:marRight w:val="0"/>
      <w:marTop w:val="0"/>
      <w:marBottom w:val="0"/>
      <w:divBdr>
        <w:top w:val="none" w:sz="0" w:space="0" w:color="auto"/>
        <w:left w:val="none" w:sz="0" w:space="0" w:color="auto"/>
        <w:bottom w:val="none" w:sz="0" w:space="0" w:color="auto"/>
        <w:right w:val="none" w:sz="0" w:space="0" w:color="auto"/>
      </w:divBdr>
    </w:div>
    <w:div w:id="1853371105">
      <w:bodyDiv w:val="1"/>
      <w:marLeft w:val="0"/>
      <w:marRight w:val="0"/>
      <w:marTop w:val="0"/>
      <w:marBottom w:val="0"/>
      <w:divBdr>
        <w:top w:val="none" w:sz="0" w:space="0" w:color="auto"/>
        <w:left w:val="none" w:sz="0" w:space="0" w:color="auto"/>
        <w:bottom w:val="none" w:sz="0" w:space="0" w:color="auto"/>
        <w:right w:val="none" w:sz="0" w:space="0" w:color="auto"/>
      </w:divBdr>
    </w:div>
    <w:div w:id="1897810463">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20406072">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3926366">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16346313">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 w:id="2108691443">
      <w:bodyDiv w:val="1"/>
      <w:marLeft w:val="0"/>
      <w:marRight w:val="0"/>
      <w:marTop w:val="0"/>
      <w:marBottom w:val="0"/>
      <w:divBdr>
        <w:top w:val="none" w:sz="0" w:space="0" w:color="auto"/>
        <w:left w:val="none" w:sz="0" w:space="0" w:color="auto"/>
        <w:bottom w:val="none" w:sz="0" w:space="0" w:color="auto"/>
        <w:right w:val="none" w:sz="0" w:space="0" w:color="auto"/>
      </w:divBdr>
    </w:div>
    <w:div w:id="212673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cra.gob.ar/Institucional/Carta_Organica.asp" TargetMode="External"/><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ischool.syracuse.edu/what-is-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11066</Words>
  <Characters>60866</Characters>
  <Application>Microsoft Office Word</Application>
  <DocSecurity>0</DocSecurity>
  <Lines>507</Lines>
  <Paragraphs>143</Paragraphs>
  <ScaleCrop>false</ScaleCrop>
  <Company/>
  <LinksUpToDate>false</LinksUpToDate>
  <CharactersWithSpaces>71789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Juan Manuel Filipuzzi</cp:lastModifiedBy>
  <cp:revision>2370</cp:revision>
  <cp:lastPrinted>2025-05-29T12:14:00Z</cp:lastPrinted>
  <dcterms:created xsi:type="dcterms:W3CDTF">2025-05-15T08:41:00Z</dcterms:created>
  <dcterms:modified xsi:type="dcterms:W3CDTF">2025-08-11T13:43:00Z</dcterms:modified>
</cp:coreProperties>
</file>