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1A99" w:rsidRDefault="00911A99">
      <w:pPr>
        <w:spacing w:after="1000"/>
      </w:pPr>
    </w:p>
    <w:p w:rsidR="00911A99" w:rsidRDefault="00A27744">
      <w:pPr>
        <w:spacing w:after="120"/>
        <w:jc w:val="center"/>
      </w:pPr>
      <w:r>
        <w:rPr>
          <w:b/>
          <w:bCs/>
          <w:color w:val="0F2D4F"/>
          <w:sz w:val="56"/>
          <w:szCs w:val="56"/>
        </w:rPr>
        <w:t>PATCH MANAGEMENT</w:t>
      </w:r>
    </w:p>
    <w:p w:rsidR="00911A99" w:rsidRDefault="00A27744">
      <w:pPr>
        <w:spacing w:after="80"/>
        <w:jc w:val="center"/>
      </w:pPr>
      <w:r>
        <w:rPr>
          <w:b/>
          <w:bCs/>
          <w:color w:val="0F2D4F"/>
          <w:sz w:val="56"/>
          <w:szCs w:val="56"/>
        </w:rPr>
        <w:t>IN CYBERSECURITY</w:t>
      </w:r>
    </w:p>
    <w:p w:rsidR="00911A99" w:rsidRDefault="00A27744">
      <w:pPr>
        <w:spacing w:before="60" w:after="80"/>
        <w:jc w:val="center"/>
      </w:pPr>
      <w:r>
        <w:rPr>
          <w:i/>
          <w:iCs/>
          <w:color w:val="0D7377"/>
          <w:sz w:val="26"/>
          <w:szCs w:val="26"/>
        </w:rPr>
        <w:t>Significance, Strategy, and Best Practice</w:t>
      </w:r>
    </w:p>
    <w:p w:rsidR="00911A99" w:rsidRDefault="00911A99">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A99">
        <w:tblPrEx>
          <w:tblCellMar>
            <w:top w:w="0" w:type="dxa"/>
            <w:bottom w:w="0" w:type="dxa"/>
          </w:tblCellMar>
        </w:tblPrEx>
        <w:tc>
          <w:tcPr>
            <w:tcW w:w="9360" w:type="dxa"/>
            <w:shd w:val="clear" w:color="auto" w:fill="0D7377"/>
            <w:tcMar>
              <w:top w:w="8" w:type="dxa"/>
              <w:left w:w="0" w:type="dxa"/>
              <w:bottom w:w="8" w:type="dxa"/>
              <w:right w:w="0" w:type="dxa"/>
            </w:tcMar>
          </w:tcPr>
          <w:p w:rsidR="00911A99" w:rsidRDefault="00911A99"/>
        </w:tc>
      </w:tr>
    </w:tbl>
    <w:p w:rsidR="00911A99" w:rsidRDefault="00911A99">
      <w:pPr>
        <w:spacing w:after="300"/>
      </w:pPr>
    </w:p>
    <w:p w:rsidR="00911A99" w:rsidRDefault="00A27744">
      <w:bookmarkStart w:id="0" w:name="_GoBack"/>
      <w:bookmarkEnd w:id="0"/>
      <w:r>
        <w:br w:type="page"/>
      </w:r>
    </w:p>
    <w:p w:rsidR="00911A99" w:rsidRDefault="00A27744">
      <w:pPr>
        <w:spacing w:after="240"/>
      </w:pPr>
      <w:r>
        <w:rPr>
          <w:b/>
          <w:bCs/>
          <w:color w:val="0F2D4F"/>
          <w:sz w:val="32"/>
          <w:szCs w:val="32"/>
        </w:rPr>
        <w:lastRenderedPageBreak/>
        <w:t>Table of Contents</w:t>
      </w:r>
    </w:p>
    <w:sdt>
      <w:sdtPr>
        <w:alias w:val="Table of Contents"/>
        <w:id w:val="1089277686"/>
      </w:sdtPr>
      <w:sdtEndPr/>
      <w:sdtContent>
        <w:p w:rsidR="00C70A89" w:rsidRDefault="00A27744">
          <w:pPr>
            <w:pStyle w:val="TOC1"/>
            <w:tabs>
              <w:tab w:val="right" w:leader="dot" w:pos="9350"/>
            </w:tabs>
            <w:rPr>
              <w:noProof/>
            </w:rPr>
          </w:pPr>
          <w:r>
            <w:fldChar w:fldCharType="begin"/>
          </w:r>
          <w:r>
            <w:instrText>TOC \h \o "1-3"</w:instrText>
          </w:r>
          <w:r>
            <w:fldChar w:fldCharType="separate"/>
          </w:r>
          <w:hyperlink w:anchor="_Toc221832406" w:history="1">
            <w:r w:rsidR="00C70A89" w:rsidRPr="001F396E">
              <w:rPr>
                <w:rStyle w:val="Hyperlink"/>
                <w:noProof/>
              </w:rPr>
              <w:t>1. Executive Summary</w:t>
            </w:r>
            <w:r w:rsidR="00C70A89">
              <w:rPr>
                <w:noProof/>
              </w:rPr>
              <w:tab/>
            </w:r>
            <w:r w:rsidR="00C70A89">
              <w:rPr>
                <w:noProof/>
              </w:rPr>
              <w:fldChar w:fldCharType="begin"/>
            </w:r>
            <w:r w:rsidR="00C70A89">
              <w:rPr>
                <w:noProof/>
              </w:rPr>
              <w:instrText xml:space="preserve"> PAGEREF _Toc221832406 \h </w:instrText>
            </w:r>
            <w:r w:rsidR="00C70A89">
              <w:rPr>
                <w:noProof/>
              </w:rPr>
            </w:r>
            <w:r w:rsidR="00C70A89">
              <w:rPr>
                <w:noProof/>
              </w:rPr>
              <w:fldChar w:fldCharType="separate"/>
            </w:r>
            <w:r w:rsidR="00C70A89">
              <w:rPr>
                <w:noProof/>
              </w:rPr>
              <w:t>4</w:t>
            </w:r>
            <w:r w:rsidR="00C70A89">
              <w:rPr>
                <w:noProof/>
              </w:rPr>
              <w:fldChar w:fldCharType="end"/>
            </w:r>
          </w:hyperlink>
        </w:p>
        <w:p w:rsidR="00C70A89" w:rsidRDefault="00C70A89">
          <w:pPr>
            <w:pStyle w:val="TOC1"/>
            <w:tabs>
              <w:tab w:val="right" w:leader="dot" w:pos="9350"/>
            </w:tabs>
            <w:rPr>
              <w:noProof/>
            </w:rPr>
          </w:pPr>
          <w:hyperlink w:anchor="_Toc221832407" w:history="1">
            <w:r w:rsidRPr="001F396E">
              <w:rPr>
                <w:rStyle w:val="Hyperlink"/>
                <w:noProof/>
              </w:rPr>
              <w:t>2. What Is Patch Management?</w:t>
            </w:r>
            <w:r>
              <w:rPr>
                <w:noProof/>
              </w:rPr>
              <w:tab/>
            </w:r>
            <w:r>
              <w:rPr>
                <w:noProof/>
              </w:rPr>
              <w:fldChar w:fldCharType="begin"/>
            </w:r>
            <w:r>
              <w:rPr>
                <w:noProof/>
              </w:rPr>
              <w:instrText xml:space="preserve"> PAGEREF _Toc221832407 \h </w:instrText>
            </w:r>
            <w:r>
              <w:rPr>
                <w:noProof/>
              </w:rPr>
            </w:r>
            <w:r>
              <w:rPr>
                <w:noProof/>
              </w:rPr>
              <w:fldChar w:fldCharType="separate"/>
            </w:r>
            <w:r>
              <w:rPr>
                <w:noProof/>
              </w:rPr>
              <w:t>4</w:t>
            </w:r>
            <w:r>
              <w:rPr>
                <w:noProof/>
              </w:rPr>
              <w:fldChar w:fldCharType="end"/>
            </w:r>
          </w:hyperlink>
        </w:p>
        <w:p w:rsidR="00C70A89" w:rsidRDefault="00C70A89">
          <w:pPr>
            <w:pStyle w:val="TOC2"/>
            <w:tabs>
              <w:tab w:val="right" w:leader="dot" w:pos="9350"/>
            </w:tabs>
            <w:rPr>
              <w:noProof/>
            </w:rPr>
          </w:pPr>
          <w:hyperlink w:anchor="_Toc221832408" w:history="1">
            <w:r w:rsidRPr="001F396E">
              <w:rPr>
                <w:rStyle w:val="Hyperlink"/>
                <w:noProof/>
              </w:rPr>
              <w:t>2.1 Definition and Scope</w:t>
            </w:r>
            <w:r>
              <w:rPr>
                <w:noProof/>
              </w:rPr>
              <w:tab/>
            </w:r>
            <w:r>
              <w:rPr>
                <w:noProof/>
              </w:rPr>
              <w:fldChar w:fldCharType="begin"/>
            </w:r>
            <w:r>
              <w:rPr>
                <w:noProof/>
              </w:rPr>
              <w:instrText xml:space="preserve"> PAGEREF _Toc221832408 \h </w:instrText>
            </w:r>
            <w:r>
              <w:rPr>
                <w:noProof/>
              </w:rPr>
            </w:r>
            <w:r>
              <w:rPr>
                <w:noProof/>
              </w:rPr>
              <w:fldChar w:fldCharType="separate"/>
            </w:r>
            <w:r>
              <w:rPr>
                <w:noProof/>
              </w:rPr>
              <w:t>4</w:t>
            </w:r>
            <w:r>
              <w:rPr>
                <w:noProof/>
              </w:rPr>
              <w:fldChar w:fldCharType="end"/>
            </w:r>
          </w:hyperlink>
        </w:p>
        <w:p w:rsidR="00C70A89" w:rsidRDefault="00C70A89">
          <w:pPr>
            <w:pStyle w:val="TOC2"/>
            <w:tabs>
              <w:tab w:val="right" w:leader="dot" w:pos="9350"/>
            </w:tabs>
            <w:rPr>
              <w:noProof/>
            </w:rPr>
          </w:pPr>
          <w:hyperlink w:anchor="_Toc221832409" w:history="1">
            <w:r w:rsidRPr="001F396E">
              <w:rPr>
                <w:rStyle w:val="Hyperlink"/>
                <w:noProof/>
              </w:rPr>
              <w:t>2.2 The Vulnerability Lifecycle and the Patch Window</w:t>
            </w:r>
            <w:r>
              <w:rPr>
                <w:noProof/>
              </w:rPr>
              <w:tab/>
            </w:r>
            <w:r>
              <w:rPr>
                <w:noProof/>
              </w:rPr>
              <w:fldChar w:fldCharType="begin"/>
            </w:r>
            <w:r>
              <w:rPr>
                <w:noProof/>
              </w:rPr>
              <w:instrText xml:space="preserve"> PAGEREF _Toc221832409 \h </w:instrText>
            </w:r>
            <w:r>
              <w:rPr>
                <w:noProof/>
              </w:rPr>
            </w:r>
            <w:r>
              <w:rPr>
                <w:noProof/>
              </w:rPr>
              <w:fldChar w:fldCharType="separate"/>
            </w:r>
            <w:r>
              <w:rPr>
                <w:noProof/>
              </w:rPr>
              <w:t>5</w:t>
            </w:r>
            <w:r>
              <w:rPr>
                <w:noProof/>
              </w:rPr>
              <w:fldChar w:fldCharType="end"/>
            </w:r>
          </w:hyperlink>
        </w:p>
        <w:p w:rsidR="00C70A89" w:rsidRDefault="00C70A89">
          <w:pPr>
            <w:pStyle w:val="TOC1"/>
            <w:tabs>
              <w:tab w:val="right" w:leader="dot" w:pos="9350"/>
            </w:tabs>
            <w:rPr>
              <w:noProof/>
            </w:rPr>
          </w:pPr>
          <w:hyperlink w:anchor="_Toc221832410" w:history="1">
            <w:r w:rsidRPr="001F396E">
              <w:rPr>
                <w:rStyle w:val="Hyperlink"/>
                <w:noProof/>
              </w:rPr>
              <w:t>3. Why Patch Management Is Critical to Cybersecurity</w:t>
            </w:r>
            <w:r>
              <w:rPr>
                <w:noProof/>
              </w:rPr>
              <w:tab/>
            </w:r>
            <w:r>
              <w:rPr>
                <w:noProof/>
              </w:rPr>
              <w:fldChar w:fldCharType="begin"/>
            </w:r>
            <w:r>
              <w:rPr>
                <w:noProof/>
              </w:rPr>
              <w:instrText xml:space="preserve"> PAGEREF _Toc221832410 \h </w:instrText>
            </w:r>
            <w:r>
              <w:rPr>
                <w:noProof/>
              </w:rPr>
            </w:r>
            <w:r>
              <w:rPr>
                <w:noProof/>
              </w:rPr>
              <w:fldChar w:fldCharType="separate"/>
            </w:r>
            <w:r>
              <w:rPr>
                <w:noProof/>
              </w:rPr>
              <w:t>6</w:t>
            </w:r>
            <w:r>
              <w:rPr>
                <w:noProof/>
              </w:rPr>
              <w:fldChar w:fldCharType="end"/>
            </w:r>
          </w:hyperlink>
        </w:p>
        <w:p w:rsidR="00C70A89" w:rsidRDefault="00C70A89">
          <w:pPr>
            <w:pStyle w:val="TOC2"/>
            <w:tabs>
              <w:tab w:val="right" w:leader="dot" w:pos="9350"/>
            </w:tabs>
            <w:rPr>
              <w:noProof/>
            </w:rPr>
          </w:pPr>
          <w:hyperlink w:anchor="_Toc221832411" w:history="1">
            <w:r w:rsidRPr="001F396E">
              <w:rPr>
                <w:rStyle w:val="Hyperlink"/>
                <w:noProof/>
              </w:rPr>
              <w:t>3.1 Reducing Attack Surface</w:t>
            </w:r>
            <w:r>
              <w:rPr>
                <w:noProof/>
              </w:rPr>
              <w:tab/>
            </w:r>
            <w:r>
              <w:rPr>
                <w:noProof/>
              </w:rPr>
              <w:fldChar w:fldCharType="begin"/>
            </w:r>
            <w:r>
              <w:rPr>
                <w:noProof/>
              </w:rPr>
              <w:instrText xml:space="preserve"> PAGEREF _Toc221832411 \h </w:instrText>
            </w:r>
            <w:r>
              <w:rPr>
                <w:noProof/>
              </w:rPr>
            </w:r>
            <w:r>
              <w:rPr>
                <w:noProof/>
              </w:rPr>
              <w:fldChar w:fldCharType="separate"/>
            </w:r>
            <w:r>
              <w:rPr>
                <w:noProof/>
              </w:rPr>
              <w:t>6</w:t>
            </w:r>
            <w:r>
              <w:rPr>
                <w:noProof/>
              </w:rPr>
              <w:fldChar w:fldCharType="end"/>
            </w:r>
          </w:hyperlink>
        </w:p>
        <w:p w:rsidR="00C70A89" w:rsidRDefault="00C70A89">
          <w:pPr>
            <w:pStyle w:val="TOC2"/>
            <w:tabs>
              <w:tab w:val="right" w:leader="dot" w:pos="9350"/>
            </w:tabs>
            <w:rPr>
              <w:noProof/>
            </w:rPr>
          </w:pPr>
          <w:hyperlink w:anchor="_Toc221832412" w:history="1">
            <w:r w:rsidRPr="001F396E">
              <w:rPr>
                <w:rStyle w:val="Hyperlink"/>
                <w:noProof/>
              </w:rPr>
              <w:t>3.2 Preventing Ransomware and Widespread Malware</w:t>
            </w:r>
            <w:r>
              <w:rPr>
                <w:noProof/>
              </w:rPr>
              <w:tab/>
            </w:r>
            <w:r>
              <w:rPr>
                <w:noProof/>
              </w:rPr>
              <w:fldChar w:fldCharType="begin"/>
            </w:r>
            <w:r>
              <w:rPr>
                <w:noProof/>
              </w:rPr>
              <w:instrText xml:space="preserve"> PAGEREF _Toc221832412 \h </w:instrText>
            </w:r>
            <w:r>
              <w:rPr>
                <w:noProof/>
              </w:rPr>
            </w:r>
            <w:r>
              <w:rPr>
                <w:noProof/>
              </w:rPr>
              <w:fldChar w:fldCharType="separate"/>
            </w:r>
            <w:r>
              <w:rPr>
                <w:noProof/>
              </w:rPr>
              <w:t>6</w:t>
            </w:r>
            <w:r>
              <w:rPr>
                <w:noProof/>
              </w:rPr>
              <w:fldChar w:fldCharType="end"/>
            </w:r>
          </w:hyperlink>
        </w:p>
        <w:p w:rsidR="00C70A89" w:rsidRDefault="00C70A89">
          <w:pPr>
            <w:pStyle w:val="TOC2"/>
            <w:tabs>
              <w:tab w:val="right" w:leader="dot" w:pos="9350"/>
            </w:tabs>
            <w:rPr>
              <w:noProof/>
            </w:rPr>
          </w:pPr>
          <w:hyperlink w:anchor="_Toc221832413" w:history="1">
            <w:r w:rsidRPr="001F396E">
              <w:rPr>
                <w:rStyle w:val="Hyperlink"/>
                <w:noProof/>
              </w:rPr>
              <w:t>3.3 Protecting Sensitive Data and Privacy</w:t>
            </w:r>
            <w:r>
              <w:rPr>
                <w:noProof/>
              </w:rPr>
              <w:tab/>
            </w:r>
            <w:r>
              <w:rPr>
                <w:noProof/>
              </w:rPr>
              <w:fldChar w:fldCharType="begin"/>
            </w:r>
            <w:r>
              <w:rPr>
                <w:noProof/>
              </w:rPr>
              <w:instrText xml:space="preserve"> PAGEREF _Toc221832413 \h </w:instrText>
            </w:r>
            <w:r>
              <w:rPr>
                <w:noProof/>
              </w:rPr>
            </w:r>
            <w:r>
              <w:rPr>
                <w:noProof/>
              </w:rPr>
              <w:fldChar w:fldCharType="separate"/>
            </w:r>
            <w:r>
              <w:rPr>
                <w:noProof/>
              </w:rPr>
              <w:t>6</w:t>
            </w:r>
            <w:r>
              <w:rPr>
                <w:noProof/>
              </w:rPr>
              <w:fldChar w:fldCharType="end"/>
            </w:r>
          </w:hyperlink>
        </w:p>
        <w:p w:rsidR="00C70A89" w:rsidRDefault="00C70A89">
          <w:pPr>
            <w:pStyle w:val="TOC2"/>
            <w:tabs>
              <w:tab w:val="right" w:leader="dot" w:pos="9350"/>
            </w:tabs>
            <w:rPr>
              <w:noProof/>
            </w:rPr>
          </w:pPr>
          <w:hyperlink w:anchor="_Toc221832414" w:history="1">
            <w:r w:rsidRPr="001F396E">
              <w:rPr>
                <w:rStyle w:val="Hyperlink"/>
                <w:noProof/>
              </w:rPr>
              <w:t>3.4 Maintaining System Stability and Performance</w:t>
            </w:r>
            <w:r>
              <w:rPr>
                <w:noProof/>
              </w:rPr>
              <w:tab/>
            </w:r>
            <w:r>
              <w:rPr>
                <w:noProof/>
              </w:rPr>
              <w:fldChar w:fldCharType="begin"/>
            </w:r>
            <w:r>
              <w:rPr>
                <w:noProof/>
              </w:rPr>
              <w:instrText xml:space="preserve"> PAGEREF _Toc221832414 \h </w:instrText>
            </w:r>
            <w:r>
              <w:rPr>
                <w:noProof/>
              </w:rPr>
            </w:r>
            <w:r>
              <w:rPr>
                <w:noProof/>
              </w:rPr>
              <w:fldChar w:fldCharType="separate"/>
            </w:r>
            <w:r>
              <w:rPr>
                <w:noProof/>
              </w:rPr>
              <w:t>7</w:t>
            </w:r>
            <w:r>
              <w:rPr>
                <w:noProof/>
              </w:rPr>
              <w:fldChar w:fldCharType="end"/>
            </w:r>
          </w:hyperlink>
        </w:p>
        <w:p w:rsidR="00C70A89" w:rsidRDefault="00C70A89">
          <w:pPr>
            <w:pStyle w:val="TOC2"/>
            <w:tabs>
              <w:tab w:val="right" w:leader="dot" w:pos="9350"/>
            </w:tabs>
            <w:rPr>
              <w:noProof/>
            </w:rPr>
          </w:pPr>
          <w:hyperlink w:anchor="_Toc221832415" w:history="1">
            <w:r w:rsidRPr="001F396E">
              <w:rPr>
                <w:rStyle w:val="Hyperlink"/>
                <w:noProof/>
              </w:rPr>
              <w:t>3.5 Regulatory and Legal Compliance</w:t>
            </w:r>
            <w:r>
              <w:rPr>
                <w:noProof/>
              </w:rPr>
              <w:tab/>
            </w:r>
            <w:r>
              <w:rPr>
                <w:noProof/>
              </w:rPr>
              <w:fldChar w:fldCharType="begin"/>
            </w:r>
            <w:r>
              <w:rPr>
                <w:noProof/>
              </w:rPr>
              <w:instrText xml:space="preserve"> PAGEREF _Toc221832415 \h </w:instrText>
            </w:r>
            <w:r>
              <w:rPr>
                <w:noProof/>
              </w:rPr>
            </w:r>
            <w:r>
              <w:rPr>
                <w:noProof/>
              </w:rPr>
              <w:fldChar w:fldCharType="separate"/>
            </w:r>
            <w:r>
              <w:rPr>
                <w:noProof/>
              </w:rPr>
              <w:t>7</w:t>
            </w:r>
            <w:r>
              <w:rPr>
                <w:noProof/>
              </w:rPr>
              <w:fldChar w:fldCharType="end"/>
            </w:r>
          </w:hyperlink>
        </w:p>
        <w:p w:rsidR="00C70A89" w:rsidRDefault="00C70A89">
          <w:pPr>
            <w:pStyle w:val="TOC1"/>
            <w:tabs>
              <w:tab w:val="right" w:leader="dot" w:pos="9350"/>
            </w:tabs>
            <w:rPr>
              <w:noProof/>
            </w:rPr>
          </w:pPr>
          <w:hyperlink w:anchor="_Toc221832416" w:history="1">
            <w:r w:rsidRPr="001F396E">
              <w:rPr>
                <w:rStyle w:val="Hyperlink"/>
                <w:noProof/>
              </w:rPr>
              <w:t>4. The Patch Management Lifecycle</w:t>
            </w:r>
            <w:r>
              <w:rPr>
                <w:noProof/>
              </w:rPr>
              <w:tab/>
            </w:r>
            <w:r>
              <w:rPr>
                <w:noProof/>
              </w:rPr>
              <w:fldChar w:fldCharType="begin"/>
            </w:r>
            <w:r>
              <w:rPr>
                <w:noProof/>
              </w:rPr>
              <w:instrText xml:space="preserve"> PAGEREF _Toc221832416 \h </w:instrText>
            </w:r>
            <w:r>
              <w:rPr>
                <w:noProof/>
              </w:rPr>
            </w:r>
            <w:r>
              <w:rPr>
                <w:noProof/>
              </w:rPr>
              <w:fldChar w:fldCharType="separate"/>
            </w:r>
            <w:r>
              <w:rPr>
                <w:noProof/>
              </w:rPr>
              <w:t>8</w:t>
            </w:r>
            <w:r>
              <w:rPr>
                <w:noProof/>
              </w:rPr>
              <w:fldChar w:fldCharType="end"/>
            </w:r>
          </w:hyperlink>
        </w:p>
        <w:p w:rsidR="00C70A89" w:rsidRDefault="00C70A89">
          <w:pPr>
            <w:pStyle w:val="TOC2"/>
            <w:tabs>
              <w:tab w:val="right" w:leader="dot" w:pos="9350"/>
            </w:tabs>
            <w:rPr>
              <w:noProof/>
            </w:rPr>
          </w:pPr>
          <w:hyperlink w:anchor="_Toc221832417" w:history="1">
            <w:r w:rsidRPr="001F396E">
              <w:rPr>
                <w:rStyle w:val="Hyperlink"/>
                <w:noProof/>
              </w:rPr>
              <w:t>4.1 Asset Discovery and Inventory</w:t>
            </w:r>
            <w:r>
              <w:rPr>
                <w:noProof/>
              </w:rPr>
              <w:tab/>
            </w:r>
            <w:r>
              <w:rPr>
                <w:noProof/>
              </w:rPr>
              <w:fldChar w:fldCharType="begin"/>
            </w:r>
            <w:r>
              <w:rPr>
                <w:noProof/>
              </w:rPr>
              <w:instrText xml:space="preserve"> PAGEREF _Toc221832417 \h </w:instrText>
            </w:r>
            <w:r>
              <w:rPr>
                <w:noProof/>
              </w:rPr>
            </w:r>
            <w:r>
              <w:rPr>
                <w:noProof/>
              </w:rPr>
              <w:fldChar w:fldCharType="separate"/>
            </w:r>
            <w:r>
              <w:rPr>
                <w:noProof/>
              </w:rPr>
              <w:t>8</w:t>
            </w:r>
            <w:r>
              <w:rPr>
                <w:noProof/>
              </w:rPr>
              <w:fldChar w:fldCharType="end"/>
            </w:r>
          </w:hyperlink>
        </w:p>
        <w:p w:rsidR="00C70A89" w:rsidRDefault="00C70A89">
          <w:pPr>
            <w:pStyle w:val="TOC2"/>
            <w:tabs>
              <w:tab w:val="right" w:leader="dot" w:pos="9350"/>
            </w:tabs>
            <w:rPr>
              <w:noProof/>
            </w:rPr>
          </w:pPr>
          <w:hyperlink w:anchor="_Toc221832418" w:history="1">
            <w:r w:rsidRPr="001F396E">
              <w:rPr>
                <w:rStyle w:val="Hyperlink"/>
                <w:noProof/>
              </w:rPr>
              <w:t>4.2 Vulnerability Assessment and Prioritisation</w:t>
            </w:r>
            <w:r>
              <w:rPr>
                <w:noProof/>
              </w:rPr>
              <w:tab/>
            </w:r>
            <w:r>
              <w:rPr>
                <w:noProof/>
              </w:rPr>
              <w:fldChar w:fldCharType="begin"/>
            </w:r>
            <w:r>
              <w:rPr>
                <w:noProof/>
              </w:rPr>
              <w:instrText xml:space="preserve"> PAGEREF _Toc221832418 \h </w:instrText>
            </w:r>
            <w:r>
              <w:rPr>
                <w:noProof/>
              </w:rPr>
            </w:r>
            <w:r>
              <w:rPr>
                <w:noProof/>
              </w:rPr>
              <w:fldChar w:fldCharType="separate"/>
            </w:r>
            <w:r>
              <w:rPr>
                <w:noProof/>
              </w:rPr>
              <w:t>9</w:t>
            </w:r>
            <w:r>
              <w:rPr>
                <w:noProof/>
              </w:rPr>
              <w:fldChar w:fldCharType="end"/>
            </w:r>
          </w:hyperlink>
        </w:p>
        <w:p w:rsidR="00C70A89" w:rsidRDefault="00C70A89">
          <w:pPr>
            <w:pStyle w:val="TOC2"/>
            <w:tabs>
              <w:tab w:val="right" w:leader="dot" w:pos="9350"/>
            </w:tabs>
            <w:rPr>
              <w:noProof/>
            </w:rPr>
          </w:pPr>
          <w:hyperlink w:anchor="_Toc221832419" w:history="1">
            <w:r w:rsidRPr="001F396E">
              <w:rPr>
                <w:rStyle w:val="Hyperlink"/>
                <w:noProof/>
              </w:rPr>
              <w:t>4.3 Testing and Validation</w:t>
            </w:r>
            <w:r>
              <w:rPr>
                <w:noProof/>
              </w:rPr>
              <w:tab/>
            </w:r>
            <w:r>
              <w:rPr>
                <w:noProof/>
              </w:rPr>
              <w:fldChar w:fldCharType="begin"/>
            </w:r>
            <w:r>
              <w:rPr>
                <w:noProof/>
              </w:rPr>
              <w:instrText xml:space="preserve"> PAGEREF _Toc221832419 \h </w:instrText>
            </w:r>
            <w:r>
              <w:rPr>
                <w:noProof/>
              </w:rPr>
            </w:r>
            <w:r>
              <w:rPr>
                <w:noProof/>
              </w:rPr>
              <w:fldChar w:fldCharType="separate"/>
            </w:r>
            <w:r>
              <w:rPr>
                <w:noProof/>
              </w:rPr>
              <w:t>9</w:t>
            </w:r>
            <w:r>
              <w:rPr>
                <w:noProof/>
              </w:rPr>
              <w:fldChar w:fldCharType="end"/>
            </w:r>
          </w:hyperlink>
        </w:p>
        <w:p w:rsidR="00C70A89" w:rsidRDefault="00C70A89">
          <w:pPr>
            <w:pStyle w:val="TOC2"/>
            <w:tabs>
              <w:tab w:val="right" w:leader="dot" w:pos="9350"/>
            </w:tabs>
            <w:rPr>
              <w:noProof/>
            </w:rPr>
          </w:pPr>
          <w:hyperlink w:anchor="_Toc221832420" w:history="1">
            <w:r w:rsidRPr="001F396E">
              <w:rPr>
                <w:rStyle w:val="Hyperlink"/>
                <w:noProof/>
              </w:rPr>
              <w:t>4.4 Deployment and Verification</w:t>
            </w:r>
            <w:r>
              <w:rPr>
                <w:noProof/>
              </w:rPr>
              <w:tab/>
            </w:r>
            <w:r>
              <w:rPr>
                <w:noProof/>
              </w:rPr>
              <w:fldChar w:fldCharType="begin"/>
            </w:r>
            <w:r>
              <w:rPr>
                <w:noProof/>
              </w:rPr>
              <w:instrText xml:space="preserve"> PAGEREF _Toc221832420 \h </w:instrText>
            </w:r>
            <w:r>
              <w:rPr>
                <w:noProof/>
              </w:rPr>
            </w:r>
            <w:r>
              <w:rPr>
                <w:noProof/>
              </w:rPr>
              <w:fldChar w:fldCharType="separate"/>
            </w:r>
            <w:r>
              <w:rPr>
                <w:noProof/>
              </w:rPr>
              <w:t>10</w:t>
            </w:r>
            <w:r>
              <w:rPr>
                <w:noProof/>
              </w:rPr>
              <w:fldChar w:fldCharType="end"/>
            </w:r>
          </w:hyperlink>
        </w:p>
        <w:p w:rsidR="00C70A89" w:rsidRDefault="00C70A89">
          <w:pPr>
            <w:pStyle w:val="TOC1"/>
            <w:tabs>
              <w:tab w:val="right" w:leader="dot" w:pos="9350"/>
            </w:tabs>
            <w:rPr>
              <w:noProof/>
            </w:rPr>
          </w:pPr>
          <w:hyperlink w:anchor="_Toc221832421" w:history="1">
            <w:r w:rsidRPr="001F396E">
              <w:rPr>
                <w:rStyle w:val="Hyperlink"/>
                <w:noProof/>
              </w:rPr>
              <w:t>5. Case Studies: The Cost of Patching Failures</w:t>
            </w:r>
            <w:r>
              <w:rPr>
                <w:noProof/>
              </w:rPr>
              <w:tab/>
            </w:r>
            <w:r>
              <w:rPr>
                <w:noProof/>
              </w:rPr>
              <w:fldChar w:fldCharType="begin"/>
            </w:r>
            <w:r>
              <w:rPr>
                <w:noProof/>
              </w:rPr>
              <w:instrText xml:space="preserve"> PAGEREF _Toc221832421 \h </w:instrText>
            </w:r>
            <w:r>
              <w:rPr>
                <w:noProof/>
              </w:rPr>
            </w:r>
            <w:r>
              <w:rPr>
                <w:noProof/>
              </w:rPr>
              <w:fldChar w:fldCharType="separate"/>
            </w:r>
            <w:r>
              <w:rPr>
                <w:noProof/>
              </w:rPr>
              <w:t>11</w:t>
            </w:r>
            <w:r>
              <w:rPr>
                <w:noProof/>
              </w:rPr>
              <w:fldChar w:fldCharType="end"/>
            </w:r>
          </w:hyperlink>
        </w:p>
        <w:p w:rsidR="00C70A89" w:rsidRDefault="00C70A89">
          <w:pPr>
            <w:pStyle w:val="TOC2"/>
            <w:tabs>
              <w:tab w:val="right" w:leader="dot" w:pos="9350"/>
            </w:tabs>
            <w:rPr>
              <w:noProof/>
            </w:rPr>
          </w:pPr>
          <w:hyperlink w:anchor="_Toc221832422" w:history="1">
            <w:r w:rsidRPr="001F396E">
              <w:rPr>
                <w:rStyle w:val="Hyperlink"/>
                <w:noProof/>
              </w:rPr>
              <w:t>5.1 WannaCry: A Preventable Global Crisis</w:t>
            </w:r>
            <w:r>
              <w:rPr>
                <w:noProof/>
              </w:rPr>
              <w:tab/>
            </w:r>
            <w:r>
              <w:rPr>
                <w:noProof/>
              </w:rPr>
              <w:fldChar w:fldCharType="begin"/>
            </w:r>
            <w:r>
              <w:rPr>
                <w:noProof/>
              </w:rPr>
              <w:instrText xml:space="preserve"> PAGEREF _Toc221832422 \h </w:instrText>
            </w:r>
            <w:r>
              <w:rPr>
                <w:noProof/>
              </w:rPr>
            </w:r>
            <w:r>
              <w:rPr>
                <w:noProof/>
              </w:rPr>
              <w:fldChar w:fldCharType="separate"/>
            </w:r>
            <w:r>
              <w:rPr>
                <w:noProof/>
              </w:rPr>
              <w:t>11</w:t>
            </w:r>
            <w:r>
              <w:rPr>
                <w:noProof/>
              </w:rPr>
              <w:fldChar w:fldCharType="end"/>
            </w:r>
          </w:hyperlink>
        </w:p>
        <w:p w:rsidR="00C70A89" w:rsidRDefault="00C70A89">
          <w:pPr>
            <w:pStyle w:val="TOC2"/>
            <w:tabs>
              <w:tab w:val="right" w:leader="dot" w:pos="9350"/>
            </w:tabs>
            <w:rPr>
              <w:noProof/>
            </w:rPr>
          </w:pPr>
          <w:hyperlink w:anchor="_Toc221832423" w:history="1">
            <w:r w:rsidRPr="001F396E">
              <w:rPr>
                <w:rStyle w:val="Hyperlink"/>
                <w:noProof/>
              </w:rPr>
              <w:t>5.2 Equifax: When Data Becomes the Target</w:t>
            </w:r>
            <w:r>
              <w:rPr>
                <w:noProof/>
              </w:rPr>
              <w:tab/>
            </w:r>
            <w:r>
              <w:rPr>
                <w:noProof/>
              </w:rPr>
              <w:fldChar w:fldCharType="begin"/>
            </w:r>
            <w:r>
              <w:rPr>
                <w:noProof/>
              </w:rPr>
              <w:instrText xml:space="preserve"> PAGEREF _Toc221832423 \h </w:instrText>
            </w:r>
            <w:r>
              <w:rPr>
                <w:noProof/>
              </w:rPr>
            </w:r>
            <w:r>
              <w:rPr>
                <w:noProof/>
              </w:rPr>
              <w:fldChar w:fldCharType="separate"/>
            </w:r>
            <w:r>
              <w:rPr>
                <w:noProof/>
              </w:rPr>
              <w:t>12</w:t>
            </w:r>
            <w:r>
              <w:rPr>
                <w:noProof/>
              </w:rPr>
              <w:fldChar w:fldCharType="end"/>
            </w:r>
          </w:hyperlink>
        </w:p>
        <w:p w:rsidR="00C70A89" w:rsidRDefault="00C70A89">
          <w:pPr>
            <w:pStyle w:val="TOC2"/>
            <w:tabs>
              <w:tab w:val="right" w:leader="dot" w:pos="9350"/>
            </w:tabs>
            <w:rPr>
              <w:noProof/>
            </w:rPr>
          </w:pPr>
          <w:hyperlink w:anchor="_Toc221832424" w:history="1">
            <w:r w:rsidRPr="001F396E">
              <w:rPr>
                <w:rStyle w:val="Hyperlink"/>
                <w:noProof/>
              </w:rPr>
              <w:t>5.3 Log4Shell: The Hidden Dependency Problem</w:t>
            </w:r>
            <w:r>
              <w:rPr>
                <w:noProof/>
              </w:rPr>
              <w:tab/>
            </w:r>
            <w:r>
              <w:rPr>
                <w:noProof/>
              </w:rPr>
              <w:fldChar w:fldCharType="begin"/>
            </w:r>
            <w:r>
              <w:rPr>
                <w:noProof/>
              </w:rPr>
              <w:instrText xml:space="preserve"> PAGEREF _Toc221832424 \h </w:instrText>
            </w:r>
            <w:r>
              <w:rPr>
                <w:noProof/>
              </w:rPr>
            </w:r>
            <w:r>
              <w:rPr>
                <w:noProof/>
              </w:rPr>
              <w:fldChar w:fldCharType="separate"/>
            </w:r>
            <w:r>
              <w:rPr>
                <w:noProof/>
              </w:rPr>
              <w:t>12</w:t>
            </w:r>
            <w:r>
              <w:rPr>
                <w:noProof/>
              </w:rPr>
              <w:fldChar w:fldCharType="end"/>
            </w:r>
          </w:hyperlink>
        </w:p>
        <w:p w:rsidR="00C70A89" w:rsidRDefault="00C70A89">
          <w:pPr>
            <w:pStyle w:val="TOC1"/>
            <w:tabs>
              <w:tab w:val="right" w:leader="dot" w:pos="9350"/>
            </w:tabs>
            <w:rPr>
              <w:noProof/>
            </w:rPr>
          </w:pPr>
          <w:hyperlink w:anchor="_Toc221832425" w:history="1">
            <w:r w:rsidRPr="001F396E">
              <w:rPr>
                <w:rStyle w:val="Hyperlink"/>
                <w:noProof/>
              </w:rPr>
              <w:t>6. Challenges in Patch Management</w:t>
            </w:r>
            <w:r>
              <w:rPr>
                <w:noProof/>
              </w:rPr>
              <w:tab/>
            </w:r>
            <w:r>
              <w:rPr>
                <w:noProof/>
              </w:rPr>
              <w:fldChar w:fldCharType="begin"/>
            </w:r>
            <w:r>
              <w:rPr>
                <w:noProof/>
              </w:rPr>
              <w:instrText xml:space="preserve"> PAGEREF _Toc221832425 \h </w:instrText>
            </w:r>
            <w:r>
              <w:rPr>
                <w:noProof/>
              </w:rPr>
            </w:r>
            <w:r>
              <w:rPr>
                <w:noProof/>
              </w:rPr>
              <w:fldChar w:fldCharType="separate"/>
            </w:r>
            <w:r>
              <w:rPr>
                <w:noProof/>
              </w:rPr>
              <w:t>14</w:t>
            </w:r>
            <w:r>
              <w:rPr>
                <w:noProof/>
              </w:rPr>
              <w:fldChar w:fldCharType="end"/>
            </w:r>
          </w:hyperlink>
        </w:p>
        <w:p w:rsidR="00C70A89" w:rsidRDefault="00C70A89">
          <w:pPr>
            <w:pStyle w:val="TOC2"/>
            <w:tabs>
              <w:tab w:val="right" w:leader="dot" w:pos="9350"/>
            </w:tabs>
            <w:rPr>
              <w:noProof/>
            </w:rPr>
          </w:pPr>
          <w:hyperlink w:anchor="_Toc221832426" w:history="1">
            <w:r w:rsidRPr="001F396E">
              <w:rPr>
                <w:rStyle w:val="Hyperlink"/>
                <w:noProof/>
              </w:rPr>
              <w:t>6.1 Scale and Complexity</w:t>
            </w:r>
            <w:r>
              <w:rPr>
                <w:noProof/>
              </w:rPr>
              <w:tab/>
            </w:r>
            <w:r>
              <w:rPr>
                <w:noProof/>
              </w:rPr>
              <w:fldChar w:fldCharType="begin"/>
            </w:r>
            <w:r>
              <w:rPr>
                <w:noProof/>
              </w:rPr>
              <w:instrText xml:space="preserve"> PAGEREF _Toc221832426 \h </w:instrText>
            </w:r>
            <w:r>
              <w:rPr>
                <w:noProof/>
              </w:rPr>
            </w:r>
            <w:r>
              <w:rPr>
                <w:noProof/>
              </w:rPr>
              <w:fldChar w:fldCharType="separate"/>
            </w:r>
            <w:r>
              <w:rPr>
                <w:noProof/>
              </w:rPr>
              <w:t>14</w:t>
            </w:r>
            <w:r>
              <w:rPr>
                <w:noProof/>
              </w:rPr>
              <w:fldChar w:fldCharType="end"/>
            </w:r>
          </w:hyperlink>
        </w:p>
        <w:p w:rsidR="00C70A89" w:rsidRDefault="00C70A89">
          <w:pPr>
            <w:pStyle w:val="TOC2"/>
            <w:tabs>
              <w:tab w:val="right" w:leader="dot" w:pos="9350"/>
            </w:tabs>
            <w:rPr>
              <w:noProof/>
            </w:rPr>
          </w:pPr>
          <w:hyperlink w:anchor="_Toc221832427" w:history="1">
            <w:r w:rsidRPr="001F396E">
              <w:rPr>
                <w:rStyle w:val="Hyperlink"/>
                <w:noProof/>
              </w:rPr>
              <w:t>6.2 Operational and Availability Constraints</w:t>
            </w:r>
            <w:r>
              <w:rPr>
                <w:noProof/>
              </w:rPr>
              <w:tab/>
            </w:r>
            <w:r>
              <w:rPr>
                <w:noProof/>
              </w:rPr>
              <w:fldChar w:fldCharType="begin"/>
            </w:r>
            <w:r>
              <w:rPr>
                <w:noProof/>
              </w:rPr>
              <w:instrText xml:space="preserve"> PAGEREF _Toc221832427 \h </w:instrText>
            </w:r>
            <w:r>
              <w:rPr>
                <w:noProof/>
              </w:rPr>
            </w:r>
            <w:r>
              <w:rPr>
                <w:noProof/>
              </w:rPr>
              <w:fldChar w:fldCharType="separate"/>
            </w:r>
            <w:r>
              <w:rPr>
                <w:noProof/>
              </w:rPr>
              <w:t>14</w:t>
            </w:r>
            <w:r>
              <w:rPr>
                <w:noProof/>
              </w:rPr>
              <w:fldChar w:fldCharType="end"/>
            </w:r>
          </w:hyperlink>
        </w:p>
        <w:p w:rsidR="00C70A89" w:rsidRDefault="00C70A89">
          <w:pPr>
            <w:pStyle w:val="TOC2"/>
            <w:tabs>
              <w:tab w:val="right" w:leader="dot" w:pos="9350"/>
            </w:tabs>
            <w:rPr>
              <w:noProof/>
            </w:rPr>
          </w:pPr>
          <w:hyperlink w:anchor="_Toc221832428" w:history="1">
            <w:r w:rsidRPr="001F396E">
              <w:rPr>
                <w:rStyle w:val="Hyperlink"/>
                <w:noProof/>
              </w:rPr>
              <w:t>6.3 Patch Reliability Concerns</w:t>
            </w:r>
            <w:r>
              <w:rPr>
                <w:noProof/>
              </w:rPr>
              <w:tab/>
            </w:r>
            <w:r>
              <w:rPr>
                <w:noProof/>
              </w:rPr>
              <w:fldChar w:fldCharType="begin"/>
            </w:r>
            <w:r>
              <w:rPr>
                <w:noProof/>
              </w:rPr>
              <w:instrText xml:space="preserve"> PAGEREF _Toc221832428 \h </w:instrText>
            </w:r>
            <w:r>
              <w:rPr>
                <w:noProof/>
              </w:rPr>
            </w:r>
            <w:r>
              <w:rPr>
                <w:noProof/>
              </w:rPr>
              <w:fldChar w:fldCharType="separate"/>
            </w:r>
            <w:r>
              <w:rPr>
                <w:noProof/>
              </w:rPr>
              <w:t>14</w:t>
            </w:r>
            <w:r>
              <w:rPr>
                <w:noProof/>
              </w:rPr>
              <w:fldChar w:fldCharType="end"/>
            </w:r>
          </w:hyperlink>
        </w:p>
        <w:p w:rsidR="00C70A89" w:rsidRDefault="00C70A89">
          <w:pPr>
            <w:pStyle w:val="TOC2"/>
            <w:tabs>
              <w:tab w:val="right" w:leader="dot" w:pos="9350"/>
            </w:tabs>
            <w:rPr>
              <w:noProof/>
            </w:rPr>
          </w:pPr>
          <w:hyperlink w:anchor="_Toc221832429" w:history="1">
            <w:r w:rsidRPr="001F396E">
              <w:rPr>
                <w:rStyle w:val="Hyperlink"/>
                <w:noProof/>
              </w:rPr>
              <w:t>6.4 Decentralised Ownership and Accountability</w:t>
            </w:r>
            <w:r>
              <w:rPr>
                <w:noProof/>
              </w:rPr>
              <w:tab/>
            </w:r>
            <w:r>
              <w:rPr>
                <w:noProof/>
              </w:rPr>
              <w:fldChar w:fldCharType="begin"/>
            </w:r>
            <w:r>
              <w:rPr>
                <w:noProof/>
              </w:rPr>
              <w:instrText xml:space="preserve"> PAGEREF _Toc221832429 \h </w:instrText>
            </w:r>
            <w:r>
              <w:rPr>
                <w:noProof/>
              </w:rPr>
            </w:r>
            <w:r>
              <w:rPr>
                <w:noProof/>
              </w:rPr>
              <w:fldChar w:fldCharType="separate"/>
            </w:r>
            <w:r>
              <w:rPr>
                <w:noProof/>
              </w:rPr>
              <w:t>15</w:t>
            </w:r>
            <w:r>
              <w:rPr>
                <w:noProof/>
              </w:rPr>
              <w:fldChar w:fldCharType="end"/>
            </w:r>
          </w:hyperlink>
        </w:p>
        <w:p w:rsidR="00C70A89" w:rsidRDefault="00C70A89">
          <w:pPr>
            <w:pStyle w:val="TOC2"/>
            <w:tabs>
              <w:tab w:val="right" w:leader="dot" w:pos="9350"/>
            </w:tabs>
            <w:rPr>
              <w:noProof/>
            </w:rPr>
          </w:pPr>
          <w:hyperlink w:anchor="_Toc221832430" w:history="1">
            <w:r w:rsidRPr="001F396E">
              <w:rPr>
                <w:rStyle w:val="Hyperlink"/>
                <w:noProof/>
              </w:rPr>
              <w:t>6.5 The Third-Party and Supply Chain Dimension</w:t>
            </w:r>
            <w:r>
              <w:rPr>
                <w:noProof/>
              </w:rPr>
              <w:tab/>
            </w:r>
            <w:r>
              <w:rPr>
                <w:noProof/>
              </w:rPr>
              <w:fldChar w:fldCharType="begin"/>
            </w:r>
            <w:r>
              <w:rPr>
                <w:noProof/>
              </w:rPr>
              <w:instrText xml:space="preserve"> PAGEREF _Toc221832430 \h </w:instrText>
            </w:r>
            <w:r>
              <w:rPr>
                <w:noProof/>
              </w:rPr>
            </w:r>
            <w:r>
              <w:rPr>
                <w:noProof/>
              </w:rPr>
              <w:fldChar w:fldCharType="separate"/>
            </w:r>
            <w:r>
              <w:rPr>
                <w:noProof/>
              </w:rPr>
              <w:t>15</w:t>
            </w:r>
            <w:r>
              <w:rPr>
                <w:noProof/>
              </w:rPr>
              <w:fldChar w:fldCharType="end"/>
            </w:r>
          </w:hyperlink>
        </w:p>
        <w:p w:rsidR="00C70A89" w:rsidRDefault="00C70A89">
          <w:pPr>
            <w:pStyle w:val="TOC1"/>
            <w:tabs>
              <w:tab w:val="right" w:leader="dot" w:pos="9350"/>
            </w:tabs>
            <w:rPr>
              <w:noProof/>
            </w:rPr>
          </w:pPr>
          <w:hyperlink w:anchor="_Toc221832431" w:history="1">
            <w:r w:rsidRPr="001F396E">
              <w:rPr>
                <w:rStyle w:val="Hyperlink"/>
                <w:noProof/>
              </w:rPr>
              <w:t>7. Best Practices and Frameworks</w:t>
            </w:r>
            <w:r>
              <w:rPr>
                <w:noProof/>
              </w:rPr>
              <w:tab/>
            </w:r>
            <w:r>
              <w:rPr>
                <w:noProof/>
              </w:rPr>
              <w:fldChar w:fldCharType="begin"/>
            </w:r>
            <w:r>
              <w:rPr>
                <w:noProof/>
              </w:rPr>
              <w:instrText xml:space="preserve"> PAGEREF _Toc221832431 \h </w:instrText>
            </w:r>
            <w:r>
              <w:rPr>
                <w:noProof/>
              </w:rPr>
            </w:r>
            <w:r>
              <w:rPr>
                <w:noProof/>
              </w:rPr>
              <w:fldChar w:fldCharType="separate"/>
            </w:r>
            <w:r>
              <w:rPr>
                <w:noProof/>
              </w:rPr>
              <w:t>16</w:t>
            </w:r>
            <w:r>
              <w:rPr>
                <w:noProof/>
              </w:rPr>
              <w:fldChar w:fldCharType="end"/>
            </w:r>
          </w:hyperlink>
        </w:p>
        <w:p w:rsidR="00C70A89" w:rsidRDefault="00C70A89">
          <w:pPr>
            <w:pStyle w:val="TOC2"/>
            <w:tabs>
              <w:tab w:val="right" w:leader="dot" w:pos="9350"/>
            </w:tabs>
            <w:rPr>
              <w:noProof/>
            </w:rPr>
          </w:pPr>
          <w:hyperlink w:anchor="_Toc221832432" w:history="1">
            <w:r w:rsidRPr="001F396E">
              <w:rPr>
                <w:rStyle w:val="Hyperlink"/>
                <w:noProof/>
              </w:rPr>
              <w:t>7.1 Risk-Based Prioritisation</w:t>
            </w:r>
            <w:r>
              <w:rPr>
                <w:noProof/>
              </w:rPr>
              <w:tab/>
            </w:r>
            <w:r>
              <w:rPr>
                <w:noProof/>
              </w:rPr>
              <w:fldChar w:fldCharType="begin"/>
            </w:r>
            <w:r>
              <w:rPr>
                <w:noProof/>
              </w:rPr>
              <w:instrText xml:space="preserve"> PAGEREF _Toc221832432 \h </w:instrText>
            </w:r>
            <w:r>
              <w:rPr>
                <w:noProof/>
              </w:rPr>
            </w:r>
            <w:r>
              <w:rPr>
                <w:noProof/>
              </w:rPr>
              <w:fldChar w:fldCharType="separate"/>
            </w:r>
            <w:r>
              <w:rPr>
                <w:noProof/>
              </w:rPr>
              <w:t>16</w:t>
            </w:r>
            <w:r>
              <w:rPr>
                <w:noProof/>
              </w:rPr>
              <w:fldChar w:fldCharType="end"/>
            </w:r>
          </w:hyperlink>
        </w:p>
        <w:p w:rsidR="00C70A89" w:rsidRDefault="00C70A89">
          <w:pPr>
            <w:pStyle w:val="TOC2"/>
            <w:tabs>
              <w:tab w:val="right" w:leader="dot" w:pos="9350"/>
            </w:tabs>
            <w:rPr>
              <w:noProof/>
            </w:rPr>
          </w:pPr>
          <w:hyperlink w:anchor="_Toc221832433" w:history="1">
            <w:r w:rsidRPr="001F396E">
              <w:rPr>
                <w:rStyle w:val="Hyperlink"/>
                <w:noProof/>
              </w:rPr>
              <w:t>7.2 Automation and Tooling</w:t>
            </w:r>
            <w:r>
              <w:rPr>
                <w:noProof/>
              </w:rPr>
              <w:tab/>
            </w:r>
            <w:r>
              <w:rPr>
                <w:noProof/>
              </w:rPr>
              <w:fldChar w:fldCharType="begin"/>
            </w:r>
            <w:r>
              <w:rPr>
                <w:noProof/>
              </w:rPr>
              <w:instrText xml:space="preserve"> PAGEREF _Toc221832433 \h </w:instrText>
            </w:r>
            <w:r>
              <w:rPr>
                <w:noProof/>
              </w:rPr>
            </w:r>
            <w:r>
              <w:rPr>
                <w:noProof/>
              </w:rPr>
              <w:fldChar w:fldCharType="separate"/>
            </w:r>
            <w:r>
              <w:rPr>
                <w:noProof/>
              </w:rPr>
              <w:t>16</w:t>
            </w:r>
            <w:r>
              <w:rPr>
                <w:noProof/>
              </w:rPr>
              <w:fldChar w:fldCharType="end"/>
            </w:r>
          </w:hyperlink>
        </w:p>
        <w:p w:rsidR="00C70A89" w:rsidRDefault="00C70A89">
          <w:pPr>
            <w:pStyle w:val="TOC2"/>
            <w:tabs>
              <w:tab w:val="right" w:leader="dot" w:pos="9350"/>
            </w:tabs>
            <w:rPr>
              <w:noProof/>
            </w:rPr>
          </w:pPr>
          <w:hyperlink w:anchor="_Toc221832434" w:history="1">
            <w:r w:rsidRPr="001F396E">
              <w:rPr>
                <w:rStyle w:val="Hyperlink"/>
                <w:noProof/>
              </w:rPr>
              <w:t>7.3 Immutable Infrastructure and Patch-by-Rebuild</w:t>
            </w:r>
            <w:r>
              <w:rPr>
                <w:noProof/>
              </w:rPr>
              <w:tab/>
            </w:r>
            <w:r>
              <w:rPr>
                <w:noProof/>
              </w:rPr>
              <w:fldChar w:fldCharType="begin"/>
            </w:r>
            <w:r>
              <w:rPr>
                <w:noProof/>
              </w:rPr>
              <w:instrText xml:space="preserve"> PAGEREF _Toc221832434 \h </w:instrText>
            </w:r>
            <w:r>
              <w:rPr>
                <w:noProof/>
              </w:rPr>
            </w:r>
            <w:r>
              <w:rPr>
                <w:noProof/>
              </w:rPr>
              <w:fldChar w:fldCharType="separate"/>
            </w:r>
            <w:r>
              <w:rPr>
                <w:noProof/>
              </w:rPr>
              <w:t>16</w:t>
            </w:r>
            <w:r>
              <w:rPr>
                <w:noProof/>
              </w:rPr>
              <w:fldChar w:fldCharType="end"/>
            </w:r>
          </w:hyperlink>
        </w:p>
        <w:p w:rsidR="00C70A89" w:rsidRDefault="00C70A89">
          <w:pPr>
            <w:pStyle w:val="TOC2"/>
            <w:tabs>
              <w:tab w:val="right" w:leader="dot" w:pos="9350"/>
            </w:tabs>
            <w:rPr>
              <w:noProof/>
            </w:rPr>
          </w:pPr>
          <w:hyperlink w:anchor="_Toc221832435" w:history="1">
            <w:r w:rsidRPr="001F396E">
              <w:rPr>
                <w:rStyle w:val="Hyperlink"/>
                <w:noProof/>
              </w:rPr>
              <w:t>7.4 Software Composition Analysis and SBOM</w:t>
            </w:r>
            <w:r>
              <w:rPr>
                <w:noProof/>
              </w:rPr>
              <w:tab/>
            </w:r>
            <w:r>
              <w:rPr>
                <w:noProof/>
              </w:rPr>
              <w:fldChar w:fldCharType="begin"/>
            </w:r>
            <w:r>
              <w:rPr>
                <w:noProof/>
              </w:rPr>
              <w:instrText xml:space="preserve"> PAGEREF _Toc221832435 \h </w:instrText>
            </w:r>
            <w:r>
              <w:rPr>
                <w:noProof/>
              </w:rPr>
            </w:r>
            <w:r>
              <w:rPr>
                <w:noProof/>
              </w:rPr>
              <w:fldChar w:fldCharType="separate"/>
            </w:r>
            <w:r>
              <w:rPr>
                <w:noProof/>
              </w:rPr>
              <w:t>17</w:t>
            </w:r>
            <w:r>
              <w:rPr>
                <w:noProof/>
              </w:rPr>
              <w:fldChar w:fldCharType="end"/>
            </w:r>
          </w:hyperlink>
        </w:p>
        <w:p w:rsidR="00C70A89" w:rsidRDefault="00C70A89">
          <w:pPr>
            <w:pStyle w:val="TOC2"/>
            <w:tabs>
              <w:tab w:val="right" w:leader="dot" w:pos="9350"/>
            </w:tabs>
            <w:rPr>
              <w:noProof/>
            </w:rPr>
          </w:pPr>
          <w:hyperlink w:anchor="_Toc221832436" w:history="1">
            <w:r w:rsidRPr="001F396E">
              <w:rPr>
                <w:rStyle w:val="Hyperlink"/>
                <w:noProof/>
              </w:rPr>
              <w:t>7.5 Compensating Controls for Unpatchable Systems</w:t>
            </w:r>
            <w:r>
              <w:rPr>
                <w:noProof/>
              </w:rPr>
              <w:tab/>
            </w:r>
            <w:r>
              <w:rPr>
                <w:noProof/>
              </w:rPr>
              <w:fldChar w:fldCharType="begin"/>
            </w:r>
            <w:r>
              <w:rPr>
                <w:noProof/>
              </w:rPr>
              <w:instrText xml:space="preserve"> PAGEREF _Toc221832436 \h </w:instrText>
            </w:r>
            <w:r>
              <w:rPr>
                <w:noProof/>
              </w:rPr>
            </w:r>
            <w:r>
              <w:rPr>
                <w:noProof/>
              </w:rPr>
              <w:fldChar w:fldCharType="separate"/>
            </w:r>
            <w:r>
              <w:rPr>
                <w:noProof/>
              </w:rPr>
              <w:t>17</w:t>
            </w:r>
            <w:r>
              <w:rPr>
                <w:noProof/>
              </w:rPr>
              <w:fldChar w:fldCharType="end"/>
            </w:r>
          </w:hyperlink>
        </w:p>
        <w:p w:rsidR="00C70A89" w:rsidRDefault="00C70A89">
          <w:pPr>
            <w:pStyle w:val="TOC2"/>
            <w:tabs>
              <w:tab w:val="right" w:leader="dot" w:pos="9350"/>
            </w:tabs>
            <w:rPr>
              <w:noProof/>
            </w:rPr>
          </w:pPr>
          <w:hyperlink w:anchor="_Toc221832437" w:history="1">
            <w:r w:rsidRPr="001F396E">
              <w:rPr>
                <w:rStyle w:val="Hyperlink"/>
                <w:noProof/>
              </w:rPr>
              <w:t>7.6 Regulatory and Framework Alignment</w:t>
            </w:r>
            <w:r>
              <w:rPr>
                <w:noProof/>
              </w:rPr>
              <w:tab/>
            </w:r>
            <w:r>
              <w:rPr>
                <w:noProof/>
              </w:rPr>
              <w:fldChar w:fldCharType="begin"/>
            </w:r>
            <w:r>
              <w:rPr>
                <w:noProof/>
              </w:rPr>
              <w:instrText xml:space="preserve"> PAGEREF _Toc221832437 \h </w:instrText>
            </w:r>
            <w:r>
              <w:rPr>
                <w:noProof/>
              </w:rPr>
            </w:r>
            <w:r>
              <w:rPr>
                <w:noProof/>
              </w:rPr>
              <w:fldChar w:fldCharType="separate"/>
            </w:r>
            <w:r>
              <w:rPr>
                <w:noProof/>
              </w:rPr>
              <w:t>17</w:t>
            </w:r>
            <w:r>
              <w:rPr>
                <w:noProof/>
              </w:rPr>
              <w:fldChar w:fldCharType="end"/>
            </w:r>
          </w:hyperlink>
        </w:p>
        <w:p w:rsidR="00C70A89" w:rsidRDefault="00C70A89">
          <w:pPr>
            <w:pStyle w:val="TOC1"/>
            <w:tabs>
              <w:tab w:val="right" w:leader="dot" w:pos="9350"/>
            </w:tabs>
            <w:rPr>
              <w:noProof/>
            </w:rPr>
          </w:pPr>
          <w:hyperlink w:anchor="_Toc221832438" w:history="1">
            <w:r w:rsidRPr="001F396E">
              <w:rPr>
                <w:rStyle w:val="Hyperlink"/>
                <w:noProof/>
              </w:rPr>
              <w:t>8. Measuring Patch Management Effectiveness</w:t>
            </w:r>
            <w:r>
              <w:rPr>
                <w:noProof/>
              </w:rPr>
              <w:tab/>
            </w:r>
            <w:r>
              <w:rPr>
                <w:noProof/>
              </w:rPr>
              <w:fldChar w:fldCharType="begin"/>
            </w:r>
            <w:r>
              <w:rPr>
                <w:noProof/>
              </w:rPr>
              <w:instrText xml:space="preserve"> PAGEREF _Toc221832438 \h </w:instrText>
            </w:r>
            <w:r>
              <w:rPr>
                <w:noProof/>
              </w:rPr>
            </w:r>
            <w:r>
              <w:rPr>
                <w:noProof/>
              </w:rPr>
              <w:fldChar w:fldCharType="separate"/>
            </w:r>
            <w:r>
              <w:rPr>
                <w:noProof/>
              </w:rPr>
              <w:t>18</w:t>
            </w:r>
            <w:r>
              <w:rPr>
                <w:noProof/>
              </w:rPr>
              <w:fldChar w:fldCharType="end"/>
            </w:r>
          </w:hyperlink>
        </w:p>
        <w:p w:rsidR="00C70A89" w:rsidRDefault="00C70A89">
          <w:pPr>
            <w:pStyle w:val="TOC2"/>
            <w:tabs>
              <w:tab w:val="right" w:leader="dot" w:pos="9350"/>
            </w:tabs>
            <w:rPr>
              <w:noProof/>
            </w:rPr>
          </w:pPr>
          <w:hyperlink w:anchor="_Toc221832439" w:history="1">
            <w:r w:rsidRPr="001F396E">
              <w:rPr>
                <w:rStyle w:val="Hyperlink"/>
                <w:noProof/>
              </w:rPr>
              <w:t>8.1 Patch Management Maturity Levels</w:t>
            </w:r>
            <w:r>
              <w:rPr>
                <w:noProof/>
              </w:rPr>
              <w:tab/>
            </w:r>
            <w:r>
              <w:rPr>
                <w:noProof/>
              </w:rPr>
              <w:fldChar w:fldCharType="begin"/>
            </w:r>
            <w:r>
              <w:rPr>
                <w:noProof/>
              </w:rPr>
              <w:instrText xml:space="preserve"> PAGEREF _Toc221832439 \h </w:instrText>
            </w:r>
            <w:r>
              <w:rPr>
                <w:noProof/>
              </w:rPr>
            </w:r>
            <w:r>
              <w:rPr>
                <w:noProof/>
              </w:rPr>
              <w:fldChar w:fldCharType="separate"/>
            </w:r>
            <w:r>
              <w:rPr>
                <w:noProof/>
              </w:rPr>
              <w:t>18</w:t>
            </w:r>
            <w:r>
              <w:rPr>
                <w:noProof/>
              </w:rPr>
              <w:fldChar w:fldCharType="end"/>
            </w:r>
          </w:hyperlink>
        </w:p>
        <w:p w:rsidR="00C70A89" w:rsidRDefault="00C70A89">
          <w:pPr>
            <w:pStyle w:val="TOC3"/>
            <w:tabs>
              <w:tab w:val="right" w:leader="dot" w:pos="9350"/>
            </w:tabs>
            <w:rPr>
              <w:noProof/>
            </w:rPr>
          </w:pPr>
          <w:hyperlink w:anchor="_Toc221832440" w:history="1">
            <w:r w:rsidRPr="001F396E">
              <w:rPr>
                <w:rStyle w:val="Hyperlink"/>
                <w:noProof/>
              </w:rPr>
              <w:t>Level 1: Initial (Ad Hoc)</w:t>
            </w:r>
            <w:r>
              <w:rPr>
                <w:noProof/>
              </w:rPr>
              <w:tab/>
            </w:r>
            <w:r>
              <w:rPr>
                <w:noProof/>
              </w:rPr>
              <w:fldChar w:fldCharType="begin"/>
            </w:r>
            <w:r>
              <w:rPr>
                <w:noProof/>
              </w:rPr>
              <w:instrText xml:space="preserve"> PAGEREF _Toc221832440 \h </w:instrText>
            </w:r>
            <w:r>
              <w:rPr>
                <w:noProof/>
              </w:rPr>
            </w:r>
            <w:r>
              <w:rPr>
                <w:noProof/>
              </w:rPr>
              <w:fldChar w:fldCharType="separate"/>
            </w:r>
            <w:r>
              <w:rPr>
                <w:noProof/>
              </w:rPr>
              <w:t>18</w:t>
            </w:r>
            <w:r>
              <w:rPr>
                <w:noProof/>
              </w:rPr>
              <w:fldChar w:fldCharType="end"/>
            </w:r>
          </w:hyperlink>
        </w:p>
        <w:p w:rsidR="00C70A89" w:rsidRDefault="00C70A89">
          <w:pPr>
            <w:pStyle w:val="TOC3"/>
            <w:tabs>
              <w:tab w:val="right" w:leader="dot" w:pos="9350"/>
            </w:tabs>
            <w:rPr>
              <w:noProof/>
            </w:rPr>
          </w:pPr>
          <w:hyperlink w:anchor="_Toc221832441" w:history="1">
            <w:r w:rsidRPr="001F396E">
              <w:rPr>
                <w:rStyle w:val="Hyperlink"/>
                <w:noProof/>
              </w:rPr>
              <w:t>Level 2: Managed</w:t>
            </w:r>
            <w:r>
              <w:rPr>
                <w:noProof/>
              </w:rPr>
              <w:tab/>
            </w:r>
            <w:r>
              <w:rPr>
                <w:noProof/>
              </w:rPr>
              <w:fldChar w:fldCharType="begin"/>
            </w:r>
            <w:r>
              <w:rPr>
                <w:noProof/>
              </w:rPr>
              <w:instrText xml:space="preserve"> PAGEREF _Toc221832441 \h </w:instrText>
            </w:r>
            <w:r>
              <w:rPr>
                <w:noProof/>
              </w:rPr>
            </w:r>
            <w:r>
              <w:rPr>
                <w:noProof/>
              </w:rPr>
              <w:fldChar w:fldCharType="separate"/>
            </w:r>
            <w:r>
              <w:rPr>
                <w:noProof/>
              </w:rPr>
              <w:t>18</w:t>
            </w:r>
            <w:r>
              <w:rPr>
                <w:noProof/>
              </w:rPr>
              <w:fldChar w:fldCharType="end"/>
            </w:r>
          </w:hyperlink>
        </w:p>
        <w:p w:rsidR="00C70A89" w:rsidRDefault="00C70A89">
          <w:pPr>
            <w:pStyle w:val="TOC3"/>
            <w:tabs>
              <w:tab w:val="right" w:leader="dot" w:pos="9350"/>
            </w:tabs>
            <w:rPr>
              <w:noProof/>
            </w:rPr>
          </w:pPr>
          <w:hyperlink w:anchor="_Toc221832442" w:history="1">
            <w:r w:rsidRPr="001F396E">
              <w:rPr>
                <w:rStyle w:val="Hyperlink"/>
                <w:noProof/>
              </w:rPr>
              <w:t>Level 3: Defined</w:t>
            </w:r>
            <w:r>
              <w:rPr>
                <w:noProof/>
              </w:rPr>
              <w:tab/>
            </w:r>
            <w:r>
              <w:rPr>
                <w:noProof/>
              </w:rPr>
              <w:fldChar w:fldCharType="begin"/>
            </w:r>
            <w:r>
              <w:rPr>
                <w:noProof/>
              </w:rPr>
              <w:instrText xml:space="preserve"> PAGEREF _Toc221832442 \h </w:instrText>
            </w:r>
            <w:r>
              <w:rPr>
                <w:noProof/>
              </w:rPr>
            </w:r>
            <w:r>
              <w:rPr>
                <w:noProof/>
              </w:rPr>
              <w:fldChar w:fldCharType="separate"/>
            </w:r>
            <w:r>
              <w:rPr>
                <w:noProof/>
              </w:rPr>
              <w:t>18</w:t>
            </w:r>
            <w:r>
              <w:rPr>
                <w:noProof/>
              </w:rPr>
              <w:fldChar w:fldCharType="end"/>
            </w:r>
          </w:hyperlink>
        </w:p>
        <w:p w:rsidR="00C70A89" w:rsidRDefault="00C70A89">
          <w:pPr>
            <w:pStyle w:val="TOC3"/>
            <w:tabs>
              <w:tab w:val="right" w:leader="dot" w:pos="9350"/>
            </w:tabs>
            <w:rPr>
              <w:noProof/>
            </w:rPr>
          </w:pPr>
          <w:hyperlink w:anchor="_Toc221832443" w:history="1">
            <w:r w:rsidRPr="001F396E">
              <w:rPr>
                <w:rStyle w:val="Hyperlink"/>
                <w:noProof/>
              </w:rPr>
              <w:t>Level 4: Quantitatively Managed</w:t>
            </w:r>
            <w:r>
              <w:rPr>
                <w:noProof/>
              </w:rPr>
              <w:tab/>
            </w:r>
            <w:r>
              <w:rPr>
                <w:noProof/>
              </w:rPr>
              <w:fldChar w:fldCharType="begin"/>
            </w:r>
            <w:r>
              <w:rPr>
                <w:noProof/>
              </w:rPr>
              <w:instrText xml:space="preserve"> PAGEREF _Toc221832443 \h </w:instrText>
            </w:r>
            <w:r>
              <w:rPr>
                <w:noProof/>
              </w:rPr>
            </w:r>
            <w:r>
              <w:rPr>
                <w:noProof/>
              </w:rPr>
              <w:fldChar w:fldCharType="separate"/>
            </w:r>
            <w:r>
              <w:rPr>
                <w:noProof/>
              </w:rPr>
              <w:t>19</w:t>
            </w:r>
            <w:r>
              <w:rPr>
                <w:noProof/>
              </w:rPr>
              <w:fldChar w:fldCharType="end"/>
            </w:r>
          </w:hyperlink>
        </w:p>
        <w:p w:rsidR="00C70A89" w:rsidRDefault="00C70A89">
          <w:pPr>
            <w:pStyle w:val="TOC3"/>
            <w:tabs>
              <w:tab w:val="right" w:leader="dot" w:pos="9350"/>
            </w:tabs>
            <w:rPr>
              <w:noProof/>
            </w:rPr>
          </w:pPr>
          <w:hyperlink w:anchor="_Toc221832444" w:history="1">
            <w:r w:rsidRPr="001F396E">
              <w:rPr>
                <w:rStyle w:val="Hyperlink"/>
                <w:noProof/>
              </w:rPr>
              <w:t>Level 5: Optimising</w:t>
            </w:r>
            <w:r>
              <w:rPr>
                <w:noProof/>
              </w:rPr>
              <w:tab/>
            </w:r>
            <w:r>
              <w:rPr>
                <w:noProof/>
              </w:rPr>
              <w:fldChar w:fldCharType="begin"/>
            </w:r>
            <w:r>
              <w:rPr>
                <w:noProof/>
              </w:rPr>
              <w:instrText xml:space="preserve"> PAGEREF _Toc221832444 \h </w:instrText>
            </w:r>
            <w:r>
              <w:rPr>
                <w:noProof/>
              </w:rPr>
            </w:r>
            <w:r>
              <w:rPr>
                <w:noProof/>
              </w:rPr>
              <w:fldChar w:fldCharType="separate"/>
            </w:r>
            <w:r>
              <w:rPr>
                <w:noProof/>
              </w:rPr>
              <w:t>19</w:t>
            </w:r>
            <w:r>
              <w:rPr>
                <w:noProof/>
              </w:rPr>
              <w:fldChar w:fldCharType="end"/>
            </w:r>
          </w:hyperlink>
        </w:p>
        <w:p w:rsidR="00C70A89" w:rsidRDefault="00C70A89">
          <w:pPr>
            <w:pStyle w:val="TOC1"/>
            <w:tabs>
              <w:tab w:val="right" w:leader="dot" w:pos="9350"/>
            </w:tabs>
            <w:rPr>
              <w:noProof/>
            </w:rPr>
          </w:pPr>
          <w:hyperlink w:anchor="_Toc221832445" w:history="1">
            <w:r w:rsidRPr="001F396E">
              <w:rPr>
                <w:rStyle w:val="Hyperlink"/>
                <w:noProof/>
              </w:rPr>
              <w:t>9. Emerging Trends in Patch Management</w:t>
            </w:r>
            <w:r>
              <w:rPr>
                <w:noProof/>
              </w:rPr>
              <w:tab/>
            </w:r>
            <w:r>
              <w:rPr>
                <w:noProof/>
              </w:rPr>
              <w:fldChar w:fldCharType="begin"/>
            </w:r>
            <w:r>
              <w:rPr>
                <w:noProof/>
              </w:rPr>
              <w:instrText xml:space="preserve"> PAGEREF _Toc221832445 \h </w:instrText>
            </w:r>
            <w:r>
              <w:rPr>
                <w:noProof/>
              </w:rPr>
            </w:r>
            <w:r>
              <w:rPr>
                <w:noProof/>
              </w:rPr>
              <w:fldChar w:fldCharType="separate"/>
            </w:r>
            <w:r>
              <w:rPr>
                <w:noProof/>
              </w:rPr>
              <w:t>20</w:t>
            </w:r>
            <w:r>
              <w:rPr>
                <w:noProof/>
              </w:rPr>
              <w:fldChar w:fldCharType="end"/>
            </w:r>
          </w:hyperlink>
        </w:p>
        <w:p w:rsidR="00C70A89" w:rsidRDefault="00C70A89">
          <w:pPr>
            <w:pStyle w:val="TOC2"/>
            <w:tabs>
              <w:tab w:val="right" w:leader="dot" w:pos="9350"/>
            </w:tabs>
            <w:rPr>
              <w:noProof/>
            </w:rPr>
          </w:pPr>
          <w:hyperlink w:anchor="_Toc221832446" w:history="1">
            <w:r w:rsidRPr="001F396E">
              <w:rPr>
                <w:rStyle w:val="Hyperlink"/>
                <w:noProof/>
              </w:rPr>
              <w:t>9.1 AI-Assisted Vulnerability Prioritisation</w:t>
            </w:r>
            <w:r>
              <w:rPr>
                <w:noProof/>
              </w:rPr>
              <w:tab/>
            </w:r>
            <w:r>
              <w:rPr>
                <w:noProof/>
              </w:rPr>
              <w:fldChar w:fldCharType="begin"/>
            </w:r>
            <w:r>
              <w:rPr>
                <w:noProof/>
              </w:rPr>
              <w:instrText xml:space="preserve"> PAGEREF _Toc221832446 \h </w:instrText>
            </w:r>
            <w:r>
              <w:rPr>
                <w:noProof/>
              </w:rPr>
            </w:r>
            <w:r>
              <w:rPr>
                <w:noProof/>
              </w:rPr>
              <w:fldChar w:fldCharType="separate"/>
            </w:r>
            <w:r>
              <w:rPr>
                <w:noProof/>
              </w:rPr>
              <w:t>20</w:t>
            </w:r>
            <w:r>
              <w:rPr>
                <w:noProof/>
              </w:rPr>
              <w:fldChar w:fldCharType="end"/>
            </w:r>
          </w:hyperlink>
        </w:p>
        <w:p w:rsidR="00C70A89" w:rsidRDefault="00C70A89">
          <w:pPr>
            <w:pStyle w:val="TOC2"/>
            <w:tabs>
              <w:tab w:val="right" w:leader="dot" w:pos="9350"/>
            </w:tabs>
            <w:rPr>
              <w:noProof/>
            </w:rPr>
          </w:pPr>
          <w:hyperlink w:anchor="_Toc221832447" w:history="1">
            <w:r w:rsidRPr="001F396E">
              <w:rPr>
                <w:rStyle w:val="Hyperlink"/>
                <w:noProof/>
              </w:rPr>
              <w:t>9.2 Continuous Patch Validation</w:t>
            </w:r>
            <w:r>
              <w:rPr>
                <w:noProof/>
              </w:rPr>
              <w:tab/>
            </w:r>
            <w:r>
              <w:rPr>
                <w:noProof/>
              </w:rPr>
              <w:fldChar w:fldCharType="begin"/>
            </w:r>
            <w:r>
              <w:rPr>
                <w:noProof/>
              </w:rPr>
              <w:instrText xml:space="preserve"> PAGEREF _Toc221832447 \h </w:instrText>
            </w:r>
            <w:r>
              <w:rPr>
                <w:noProof/>
              </w:rPr>
            </w:r>
            <w:r>
              <w:rPr>
                <w:noProof/>
              </w:rPr>
              <w:fldChar w:fldCharType="separate"/>
            </w:r>
            <w:r>
              <w:rPr>
                <w:noProof/>
              </w:rPr>
              <w:t>20</w:t>
            </w:r>
            <w:r>
              <w:rPr>
                <w:noProof/>
              </w:rPr>
              <w:fldChar w:fldCharType="end"/>
            </w:r>
          </w:hyperlink>
        </w:p>
        <w:p w:rsidR="00C70A89" w:rsidRDefault="00C70A89">
          <w:pPr>
            <w:pStyle w:val="TOC2"/>
            <w:tabs>
              <w:tab w:val="right" w:leader="dot" w:pos="9350"/>
            </w:tabs>
            <w:rPr>
              <w:noProof/>
            </w:rPr>
          </w:pPr>
          <w:hyperlink w:anchor="_Toc221832448" w:history="1">
            <w:r w:rsidRPr="001F396E">
              <w:rPr>
                <w:rStyle w:val="Hyperlink"/>
                <w:noProof/>
              </w:rPr>
              <w:t>9.3 Operational Technology and IoT Patching</w:t>
            </w:r>
            <w:r>
              <w:rPr>
                <w:noProof/>
              </w:rPr>
              <w:tab/>
            </w:r>
            <w:r>
              <w:rPr>
                <w:noProof/>
              </w:rPr>
              <w:fldChar w:fldCharType="begin"/>
            </w:r>
            <w:r>
              <w:rPr>
                <w:noProof/>
              </w:rPr>
              <w:instrText xml:space="preserve"> PAGEREF _Toc221832448 \h </w:instrText>
            </w:r>
            <w:r>
              <w:rPr>
                <w:noProof/>
              </w:rPr>
            </w:r>
            <w:r>
              <w:rPr>
                <w:noProof/>
              </w:rPr>
              <w:fldChar w:fldCharType="separate"/>
            </w:r>
            <w:r>
              <w:rPr>
                <w:noProof/>
              </w:rPr>
              <w:t>20</w:t>
            </w:r>
            <w:r>
              <w:rPr>
                <w:noProof/>
              </w:rPr>
              <w:fldChar w:fldCharType="end"/>
            </w:r>
          </w:hyperlink>
        </w:p>
        <w:p w:rsidR="00C70A89" w:rsidRDefault="00C70A89">
          <w:pPr>
            <w:pStyle w:val="TOC2"/>
            <w:tabs>
              <w:tab w:val="right" w:leader="dot" w:pos="9350"/>
            </w:tabs>
            <w:rPr>
              <w:noProof/>
            </w:rPr>
          </w:pPr>
          <w:hyperlink w:anchor="_Toc221832449" w:history="1">
            <w:r w:rsidRPr="001F396E">
              <w:rPr>
                <w:rStyle w:val="Hyperlink"/>
                <w:noProof/>
              </w:rPr>
              <w:t>9.4 Vendor Patching Velocity and Coordinated Disclosure</w:t>
            </w:r>
            <w:r>
              <w:rPr>
                <w:noProof/>
              </w:rPr>
              <w:tab/>
            </w:r>
            <w:r>
              <w:rPr>
                <w:noProof/>
              </w:rPr>
              <w:fldChar w:fldCharType="begin"/>
            </w:r>
            <w:r>
              <w:rPr>
                <w:noProof/>
              </w:rPr>
              <w:instrText xml:space="preserve"> PAGEREF _Toc221832449 \h </w:instrText>
            </w:r>
            <w:r>
              <w:rPr>
                <w:noProof/>
              </w:rPr>
            </w:r>
            <w:r>
              <w:rPr>
                <w:noProof/>
              </w:rPr>
              <w:fldChar w:fldCharType="separate"/>
            </w:r>
            <w:r>
              <w:rPr>
                <w:noProof/>
              </w:rPr>
              <w:t>20</w:t>
            </w:r>
            <w:r>
              <w:rPr>
                <w:noProof/>
              </w:rPr>
              <w:fldChar w:fldCharType="end"/>
            </w:r>
          </w:hyperlink>
        </w:p>
        <w:p w:rsidR="00C70A89" w:rsidRDefault="00C70A89">
          <w:pPr>
            <w:pStyle w:val="TOC2"/>
            <w:tabs>
              <w:tab w:val="right" w:leader="dot" w:pos="9350"/>
            </w:tabs>
            <w:rPr>
              <w:noProof/>
            </w:rPr>
          </w:pPr>
          <w:hyperlink w:anchor="_Toc221832450" w:history="1">
            <w:r w:rsidRPr="001F396E">
              <w:rPr>
                <w:rStyle w:val="Hyperlink"/>
                <w:noProof/>
              </w:rPr>
              <w:t>9.5 Patch Management in AI and Machine Learning Systems</w:t>
            </w:r>
            <w:r>
              <w:rPr>
                <w:noProof/>
              </w:rPr>
              <w:tab/>
            </w:r>
            <w:r>
              <w:rPr>
                <w:noProof/>
              </w:rPr>
              <w:fldChar w:fldCharType="begin"/>
            </w:r>
            <w:r>
              <w:rPr>
                <w:noProof/>
              </w:rPr>
              <w:instrText xml:space="preserve"> PAGEREF _Toc221832450 \h </w:instrText>
            </w:r>
            <w:r>
              <w:rPr>
                <w:noProof/>
              </w:rPr>
            </w:r>
            <w:r>
              <w:rPr>
                <w:noProof/>
              </w:rPr>
              <w:fldChar w:fldCharType="separate"/>
            </w:r>
            <w:r>
              <w:rPr>
                <w:noProof/>
              </w:rPr>
              <w:t>20</w:t>
            </w:r>
            <w:r>
              <w:rPr>
                <w:noProof/>
              </w:rPr>
              <w:fldChar w:fldCharType="end"/>
            </w:r>
          </w:hyperlink>
        </w:p>
        <w:p w:rsidR="00C70A89" w:rsidRDefault="00C70A89">
          <w:pPr>
            <w:pStyle w:val="TOC1"/>
            <w:tabs>
              <w:tab w:val="right" w:leader="dot" w:pos="9350"/>
            </w:tabs>
            <w:rPr>
              <w:noProof/>
            </w:rPr>
          </w:pPr>
          <w:hyperlink w:anchor="_Toc221832451" w:history="1">
            <w:r w:rsidRPr="001F396E">
              <w:rPr>
                <w:rStyle w:val="Hyperlink"/>
                <w:noProof/>
              </w:rPr>
              <w:t>10. Conclusion and Recommendations</w:t>
            </w:r>
            <w:r>
              <w:rPr>
                <w:noProof/>
              </w:rPr>
              <w:tab/>
            </w:r>
            <w:r>
              <w:rPr>
                <w:noProof/>
              </w:rPr>
              <w:fldChar w:fldCharType="begin"/>
            </w:r>
            <w:r>
              <w:rPr>
                <w:noProof/>
              </w:rPr>
              <w:instrText xml:space="preserve"> PAGEREF _Toc221832451 \h </w:instrText>
            </w:r>
            <w:r>
              <w:rPr>
                <w:noProof/>
              </w:rPr>
            </w:r>
            <w:r>
              <w:rPr>
                <w:noProof/>
              </w:rPr>
              <w:fldChar w:fldCharType="separate"/>
            </w:r>
            <w:r>
              <w:rPr>
                <w:noProof/>
              </w:rPr>
              <w:t>21</w:t>
            </w:r>
            <w:r>
              <w:rPr>
                <w:noProof/>
              </w:rPr>
              <w:fldChar w:fldCharType="end"/>
            </w:r>
          </w:hyperlink>
        </w:p>
        <w:p w:rsidR="00C70A89" w:rsidRDefault="00C70A89">
          <w:pPr>
            <w:pStyle w:val="TOC2"/>
            <w:tabs>
              <w:tab w:val="right" w:leader="dot" w:pos="9350"/>
            </w:tabs>
            <w:rPr>
              <w:noProof/>
            </w:rPr>
          </w:pPr>
          <w:hyperlink w:anchor="_Toc221832452" w:history="1">
            <w:r w:rsidRPr="001F396E">
              <w:rPr>
                <w:rStyle w:val="Hyperlink"/>
                <w:noProof/>
              </w:rPr>
              <w:t>10.1 Conclusion</w:t>
            </w:r>
            <w:r>
              <w:rPr>
                <w:noProof/>
              </w:rPr>
              <w:tab/>
            </w:r>
            <w:r>
              <w:rPr>
                <w:noProof/>
              </w:rPr>
              <w:fldChar w:fldCharType="begin"/>
            </w:r>
            <w:r>
              <w:rPr>
                <w:noProof/>
              </w:rPr>
              <w:instrText xml:space="preserve"> PAGEREF _Toc221832452 \h </w:instrText>
            </w:r>
            <w:r>
              <w:rPr>
                <w:noProof/>
              </w:rPr>
            </w:r>
            <w:r>
              <w:rPr>
                <w:noProof/>
              </w:rPr>
              <w:fldChar w:fldCharType="separate"/>
            </w:r>
            <w:r>
              <w:rPr>
                <w:noProof/>
              </w:rPr>
              <w:t>21</w:t>
            </w:r>
            <w:r>
              <w:rPr>
                <w:noProof/>
              </w:rPr>
              <w:fldChar w:fldCharType="end"/>
            </w:r>
          </w:hyperlink>
        </w:p>
        <w:p w:rsidR="00C70A89" w:rsidRDefault="00C70A89">
          <w:pPr>
            <w:pStyle w:val="TOC2"/>
            <w:tabs>
              <w:tab w:val="right" w:leader="dot" w:pos="9350"/>
            </w:tabs>
            <w:rPr>
              <w:noProof/>
            </w:rPr>
          </w:pPr>
          <w:hyperlink w:anchor="_Toc221832453" w:history="1">
            <w:r w:rsidRPr="001F396E">
              <w:rPr>
                <w:rStyle w:val="Hyperlink"/>
                <w:noProof/>
              </w:rPr>
              <w:t>10.2 Strategic Recommendations</w:t>
            </w:r>
            <w:r>
              <w:rPr>
                <w:noProof/>
              </w:rPr>
              <w:tab/>
            </w:r>
            <w:r>
              <w:rPr>
                <w:noProof/>
              </w:rPr>
              <w:fldChar w:fldCharType="begin"/>
            </w:r>
            <w:r>
              <w:rPr>
                <w:noProof/>
              </w:rPr>
              <w:instrText xml:space="preserve"> PAGEREF _Toc221832453 \h </w:instrText>
            </w:r>
            <w:r>
              <w:rPr>
                <w:noProof/>
              </w:rPr>
            </w:r>
            <w:r>
              <w:rPr>
                <w:noProof/>
              </w:rPr>
              <w:fldChar w:fldCharType="separate"/>
            </w:r>
            <w:r>
              <w:rPr>
                <w:noProof/>
              </w:rPr>
              <w:t>21</w:t>
            </w:r>
            <w:r>
              <w:rPr>
                <w:noProof/>
              </w:rPr>
              <w:fldChar w:fldCharType="end"/>
            </w:r>
          </w:hyperlink>
        </w:p>
        <w:p w:rsidR="00C70A89" w:rsidRDefault="00C70A89">
          <w:pPr>
            <w:pStyle w:val="TOC1"/>
            <w:tabs>
              <w:tab w:val="right" w:leader="dot" w:pos="9350"/>
            </w:tabs>
            <w:rPr>
              <w:noProof/>
            </w:rPr>
          </w:pPr>
          <w:hyperlink w:anchor="_Toc221832454" w:history="1">
            <w:r w:rsidRPr="001F396E">
              <w:rPr>
                <w:rStyle w:val="Hyperlink"/>
                <w:noProof/>
              </w:rPr>
              <w:t>References and Further Reading</w:t>
            </w:r>
            <w:r>
              <w:rPr>
                <w:noProof/>
              </w:rPr>
              <w:tab/>
            </w:r>
            <w:r>
              <w:rPr>
                <w:noProof/>
              </w:rPr>
              <w:fldChar w:fldCharType="begin"/>
            </w:r>
            <w:r>
              <w:rPr>
                <w:noProof/>
              </w:rPr>
              <w:instrText xml:space="preserve"> PAGEREF _Toc221832454 \h </w:instrText>
            </w:r>
            <w:r>
              <w:rPr>
                <w:noProof/>
              </w:rPr>
            </w:r>
            <w:r>
              <w:rPr>
                <w:noProof/>
              </w:rPr>
              <w:fldChar w:fldCharType="separate"/>
            </w:r>
            <w:r>
              <w:rPr>
                <w:noProof/>
              </w:rPr>
              <w:t>23</w:t>
            </w:r>
            <w:r>
              <w:rPr>
                <w:noProof/>
              </w:rPr>
              <w:fldChar w:fldCharType="end"/>
            </w:r>
          </w:hyperlink>
        </w:p>
        <w:p w:rsidR="00911A99" w:rsidRDefault="00A27744">
          <w:r>
            <w:fldChar w:fldCharType="end"/>
          </w:r>
        </w:p>
      </w:sdtContent>
    </w:sdt>
    <w:p w:rsidR="00911A99" w:rsidRDefault="00A27744">
      <w:r>
        <w:br w:type="page"/>
      </w:r>
    </w:p>
    <w:p w:rsidR="00911A99" w:rsidRDefault="00A27744">
      <w:pPr>
        <w:pStyle w:val="Heading1"/>
      </w:pPr>
      <w:bookmarkStart w:id="1" w:name="_Toc221832406"/>
      <w:r>
        <w:lastRenderedPageBreak/>
        <w:t>1. Executive Summary</w:t>
      </w:r>
      <w:bookmarkEnd w:id="1"/>
    </w:p>
    <w:p w:rsidR="00911A99" w:rsidRDefault="00A27744">
      <w:pPr>
        <w:spacing w:after="160" w:line="290" w:lineRule="auto"/>
        <w:jc w:val="both"/>
      </w:pPr>
      <w:r>
        <w:t>Patch management—the systematic process of acquiring, testing, and deploying software updates to address security vulnerabilities, correct defects, and improve system stability—sits at the heart of every mature cybersecurity programme. Despite its technica</w:t>
      </w:r>
      <w:r>
        <w:t>l simplicity compared with disciplines such as threat hunting or offensive security, patch management is responsible for preventing a greater proportion of successful cyberattacks than almost any other single control. The overwhelming majority of exploited</w:t>
      </w:r>
      <w:r>
        <w:t xml:space="preserve"> vulnerabilities have had patches available, sometimes for months or years, before attackers use them at scale.</w:t>
      </w:r>
    </w:p>
    <w:p w:rsidR="00911A99" w:rsidRDefault="00911A99">
      <w:pPr>
        <w:spacing w:after="60"/>
      </w:pPr>
    </w:p>
    <w:p w:rsidR="00911A99" w:rsidRDefault="00A27744">
      <w:pPr>
        <w:spacing w:after="160" w:line="290" w:lineRule="auto"/>
        <w:jc w:val="both"/>
      </w:pPr>
      <w:r>
        <w:t>This report examines why patch management is so consequential, how organisations should structure their patching processes, what happens when t</w:t>
      </w:r>
      <w:r>
        <w:t>hose processes fail, and what best practices and emerging approaches define the current state of the art. It is intended for information security practitioners, risk officers, IT leadership, and board members who require a thorough grounding in the strateg</w:t>
      </w:r>
      <w:r>
        <w:t>ic and operational dimensions of this foundational cybersecurity discipline.</w:t>
      </w:r>
    </w:p>
    <w:p w:rsidR="00911A99" w:rsidRDefault="00911A99">
      <w:pPr>
        <w:spacing w:after="80"/>
      </w:pPr>
    </w:p>
    <w:p w:rsidR="00911A99" w:rsidRDefault="00A27744">
      <w:pPr>
        <w:pBdr>
          <w:left w:val="thick" w:sz="24" w:space="0" w:color="0D7377"/>
        </w:pBdr>
        <w:spacing w:before="100" w:after="100"/>
        <w:ind w:left="400"/>
      </w:pPr>
      <w:r>
        <w:rPr>
          <w:b/>
          <w:bCs/>
          <w:color w:val="0D7377"/>
        </w:rPr>
        <w:t xml:space="preserve">Core Thesis: </w:t>
      </w:r>
      <w:r>
        <w:rPr>
          <w:i/>
          <w:iCs/>
        </w:rPr>
        <w:t>Patch management is not a routine IT housekeeping task. It is a continuous, risk-driven security function whose effectiveness directly determines an organisation’s r</w:t>
      </w:r>
      <w:r>
        <w:rPr>
          <w:i/>
          <w:iCs/>
        </w:rPr>
        <w:t>esilience against the vast majority of technically exploited vulnerabilities.</w:t>
      </w:r>
    </w:p>
    <w:p w:rsidR="00911A99" w:rsidRDefault="00911A99">
      <w:pPr>
        <w:spacing w:after="80"/>
      </w:pPr>
    </w:p>
    <w:p w:rsidR="00911A99" w:rsidRDefault="00A27744">
      <w:pPr>
        <w:pStyle w:val="Heading1"/>
      </w:pPr>
      <w:bookmarkStart w:id="2" w:name="_Toc221832407"/>
      <w:r>
        <w:t>2. What Is Patch Management?</w:t>
      </w:r>
      <w:bookmarkEnd w:id="2"/>
    </w:p>
    <w:p w:rsidR="00911A99" w:rsidRDefault="00A27744">
      <w:pPr>
        <w:pStyle w:val="Heading2"/>
      </w:pPr>
      <w:bookmarkStart w:id="3" w:name="_Toc221832408"/>
      <w:r>
        <w:t>2.1 Definition and Scope</w:t>
      </w:r>
      <w:bookmarkEnd w:id="3"/>
    </w:p>
    <w:p w:rsidR="00911A99" w:rsidRDefault="00A27744">
      <w:pPr>
        <w:spacing w:after="160" w:line="290" w:lineRule="auto"/>
        <w:jc w:val="both"/>
      </w:pPr>
      <w:r>
        <w:t>A patch is a piece of code distributed by a software vendor to correct a specific flaw or improve specific functionality in an existing software product. Patches may address security vulnerabilities, resolve software bugs, update drivers, modify configurat</w:t>
      </w:r>
      <w:r>
        <w:t>ion defaults, or introduce incremental functional changes. The term encompasses hotfixes (emergency, targeted corrections), security updates, service packs (bundled cumulative updates), and firmware updates for embedded systems and network infrastructure.</w:t>
      </w:r>
    </w:p>
    <w:p w:rsidR="00911A99" w:rsidRDefault="00911A99">
      <w:pPr>
        <w:spacing w:after="60"/>
      </w:pPr>
    </w:p>
    <w:p w:rsidR="00911A99" w:rsidRDefault="00A27744">
      <w:pPr>
        <w:spacing w:after="160" w:line="290" w:lineRule="auto"/>
        <w:jc w:val="both"/>
      </w:pPr>
      <w:r>
        <w:t>Patch management is the end-to-end organisational process governing how patches are identified, evaluated, approved, tested, deployed, and verified across an enterprise’s technology estate. This process spans operating systems, application software, datab</w:t>
      </w:r>
      <w:r>
        <w:t>ases, middleware, network devices, virtualisation platforms, cloud workloads, containers, and increasingly the firmware of physical infrastructure including servers, storage systems, and operational technology (OT) devices.</w:t>
      </w:r>
    </w:p>
    <w:p w:rsidR="00911A99" w:rsidRDefault="00911A99">
      <w:pPr>
        <w:spacing w:after="60"/>
      </w:pPr>
    </w:p>
    <w:p w:rsidR="00911A99" w:rsidRDefault="00A27744">
      <w:pPr>
        <w:spacing w:after="160" w:line="290" w:lineRule="auto"/>
        <w:jc w:val="both"/>
      </w:pPr>
      <w:r>
        <w:lastRenderedPageBreak/>
        <w:t>The scope of modern patch manag</w:t>
      </w:r>
      <w:r>
        <w:t>ement has expanded dramatically with the proliferation of cloud-native architectures, containerised workloads, and IoT devices. Where patch management once meant updating Windows servers and workstations, it now encompasses ephemeral container images, serv</w:t>
      </w:r>
      <w:r>
        <w:t>erless function runtimes, API gateways, edge computing nodes, and the embedded software of industrial control systems—each presenting distinct patching challenges and risk profiles.</w:t>
      </w:r>
    </w:p>
    <w:p w:rsidR="00911A99" w:rsidRDefault="00A27744">
      <w:pPr>
        <w:pStyle w:val="Heading2"/>
      </w:pPr>
      <w:bookmarkStart w:id="4" w:name="_Toc221832409"/>
      <w:r>
        <w:t>2.2 The Vulnerability Lifecycle and the Patch Window</w:t>
      </w:r>
      <w:bookmarkEnd w:id="4"/>
    </w:p>
    <w:p w:rsidR="00911A99" w:rsidRDefault="00A27744">
      <w:pPr>
        <w:spacing w:after="160" w:line="290" w:lineRule="auto"/>
        <w:jc w:val="both"/>
      </w:pPr>
      <w:r>
        <w:t>Understanding patch m</w:t>
      </w:r>
      <w:r>
        <w:t>anagement requires understanding the vulnerability lifecycle. A vulnerability is a weakness in software or hardware that can be exploited by a threat actor to compromise the confidentiality, integrity, or availability of a system. Vulnerabilities have a di</w:t>
      </w:r>
      <w:r>
        <w:t>scoverable lifecycle: they exist in deployed software from the moment of introduction (which may predate public knowledge by years), are eventually discovered by researchers or attackers, disclosed (publicly or via coordinated processes), and remediated th</w:t>
      </w:r>
      <w:r>
        <w:t>rough patches.</w:t>
      </w:r>
    </w:p>
    <w:p w:rsidR="00911A99" w:rsidRDefault="00911A99">
      <w:pPr>
        <w:spacing w:after="60"/>
      </w:pPr>
    </w:p>
    <w:p w:rsidR="00911A99" w:rsidRDefault="00A27744">
      <w:pPr>
        <w:spacing w:after="160" w:line="290" w:lineRule="auto"/>
        <w:jc w:val="both"/>
      </w:pPr>
      <w:r>
        <w:t>The window between public vulnerability disclosure and patch deployment is the period of greatest risk. Exploit code for newly disclosed critical vulnerabilities can appear within hours of public disclosure, and mass exploitation often foll</w:t>
      </w:r>
      <w:r>
        <w:t>ows within days. Organisations that have not deployed available patches before this exploitation wave are exposed to attacks that require minimal attacker sophistication—the vulnerability details and often working exploit code are publicly available, enabl</w:t>
      </w:r>
      <w:r>
        <w:t>ing even relatively unsophisticated actors to compromise unpatched systems.</w:t>
      </w:r>
    </w:p>
    <w:p w:rsidR="00911A99" w:rsidRDefault="00911A99">
      <w:pPr>
        <w:spacing w:after="60"/>
      </w:pPr>
    </w:p>
    <w:p w:rsidR="00911A99" w:rsidRDefault="00A27744">
      <w:pPr>
        <w:spacing w:after="160" w:line="290" w:lineRule="auto"/>
        <w:jc w:val="both"/>
      </w:pPr>
      <w:r>
        <w:t>Zero-day vulnerabilities—those exploited before a patch exists—represent a different and narrower challenge. While zero-days attract significant media attention, the majority of s</w:t>
      </w:r>
      <w:r>
        <w:t>uccessful cyberattacks exploit vulnerabilities for which patches have been available for months or years. Closing this gap through effective patch management eliminates a disproportionate share of exploitable attack surface at relatively low cost.</w:t>
      </w:r>
    </w:p>
    <w:p w:rsidR="00911A99" w:rsidRDefault="00A27744">
      <w:r>
        <w:br w:type="page"/>
      </w:r>
    </w:p>
    <w:p w:rsidR="00911A99" w:rsidRDefault="00A27744">
      <w:pPr>
        <w:pStyle w:val="Heading1"/>
      </w:pPr>
      <w:bookmarkStart w:id="5" w:name="_Toc221832410"/>
      <w:r>
        <w:lastRenderedPageBreak/>
        <w:t>3. Why</w:t>
      </w:r>
      <w:r>
        <w:t xml:space="preserve"> Patch Management Is Critical to Cybersecurity</w:t>
      </w:r>
      <w:bookmarkEnd w:id="5"/>
    </w:p>
    <w:p w:rsidR="00911A99" w:rsidRDefault="00A27744">
      <w:pPr>
        <w:pStyle w:val="Heading2"/>
      </w:pPr>
      <w:bookmarkStart w:id="6" w:name="_Toc221832411"/>
      <w:r>
        <w:t>3.1 Reducing Attack Surface</w:t>
      </w:r>
      <w:bookmarkEnd w:id="6"/>
    </w:p>
    <w:p w:rsidR="00911A99" w:rsidRDefault="00A27744">
      <w:pPr>
        <w:spacing w:after="160" w:line="290" w:lineRule="auto"/>
        <w:jc w:val="both"/>
      </w:pPr>
      <w:r>
        <w:t>Every unpatched vulnerability represents an open door through which attackers may enter. Attack surface—the sum of all points where an adversary can attempt to enter or extract data from an environment—grows with every unresolved vulnerability. Effective p</w:t>
      </w:r>
      <w:r>
        <w:t>atch management systematically closes these openings, reducing the number of viable attack paths available to adversaries.</w:t>
      </w:r>
    </w:p>
    <w:p w:rsidR="00911A99" w:rsidRDefault="00911A99">
      <w:pPr>
        <w:spacing w:after="60"/>
      </w:pPr>
    </w:p>
    <w:p w:rsidR="00911A99" w:rsidRDefault="00A27744">
      <w:pPr>
        <w:spacing w:after="160" w:line="290" w:lineRule="auto"/>
        <w:jc w:val="both"/>
      </w:pPr>
      <w:r>
        <w:t>The relationship between unpatched vulnerabilities and attack success is empirically consistent. The Verizon Data Breach Investigati</w:t>
      </w:r>
      <w:r>
        <w:t>ons Report finds year after year that exploitation of known vulnerabilities accounts for a significant share of all confirmed breaches. CISA’s Known Exploited Vulnerabilities (KEV) catalogue—which lists vulnerabilities confirmed as actively exploited in th</w:t>
      </w:r>
      <w:r>
        <w:t>e wild—serves as a stark illustration: most entries have patches that have been available for substantial periods before organisations apply them.</w:t>
      </w:r>
    </w:p>
    <w:p w:rsidR="00911A99" w:rsidRDefault="00A27744">
      <w:pPr>
        <w:pStyle w:val="Heading2"/>
      </w:pPr>
      <w:bookmarkStart w:id="7" w:name="_Toc221832412"/>
      <w:r>
        <w:t>3.2 Preventing Ransomware and Widespread Malware</w:t>
      </w:r>
      <w:bookmarkEnd w:id="7"/>
    </w:p>
    <w:p w:rsidR="00911A99" w:rsidRDefault="00A27744">
      <w:pPr>
        <w:spacing w:after="160" w:line="290" w:lineRule="auto"/>
        <w:jc w:val="both"/>
      </w:pPr>
      <w:r>
        <w:t xml:space="preserve">Ransomware has become one of the most economically damaging </w:t>
      </w:r>
      <w:r>
        <w:t xml:space="preserve">categories of cyberattack, and unpatched vulnerabilities are among its most common entry points. The WannaCry and NotPetya campaigns of 2017, which together caused an estimated $14 billion or more in global damages, exploited the EternalBlue vulnerability </w:t>
      </w:r>
      <w:r>
        <w:t>in Windows SMBv1. Microsoft had released patch MS17-010 two months before the campaigns began. Organisations that had applied the patch were immune. Those that had not suffered catastrophic consequences including permanent data loss, operational shutdowns,</w:t>
      </w:r>
      <w:r>
        <w:t xml:space="preserve"> and massive recovery costs.</w:t>
      </w:r>
    </w:p>
    <w:p w:rsidR="00911A99" w:rsidRDefault="00911A99">
      <w:pPr>
        <w:spacing w:after="60"/>
      </w:pPr>
    </w:p>
    <w:p w:rsidR="00911A99" w:rsidRDefault="00A27744">
      <w:pPr>
        <w:spacing w:after="160" w:line="290" w:lineRule="auto"/>
        <w:jc w:val="both"/>
      </w:pPr>
      <w:r>
        <w:t xml:space="preserve">This pattern repeats across the ransomware landscape. ProxyLogon and ProxyShell vulnerabilities in Microsoft Exchange enabled widespread ransomware and espionage campaigns; the Log4Shell vulnerability in the ubiquitous Apache </w:t>
      </w:r>
      <w:r>
        <w:t>Log4j library triggered a global emergency patching effort; the MOVEit Transfer zero-day enabled one of the largest data theft campaigns in recent history. In each case, the speed and effectiveness of an organisation’s patching response directly determined</w:t>
      </w:r>
      <w:r>
        <w:t xml:space="preserve"> whether it became a victim.</w:t>
      </w:r>
    </w:p>
    <w:p w:rsidR="00911A99" w:rsidRDefault="00A27744">
      <w:pPr>
        <w:pStyle w:val="Heading2"/>
      </w:pPr>
      <w:bookmarkStart w:id="8" w:name="_Toc221832413"/>
      <w:r>
        <w:t>3.3 Protecting Sensitive Data and Privacy</w:t>
      </w:r>
      <w:bookmarkEnd w:id="8"/>
    </w:p>
    <w:p w:rsidR="00911A99" w:rsidRDefault="00A27744">
      <w:pPr>
        <w:spacing w:after="160" w:line="290" w:lineRule="auto"/>
        <w:jc w:val="both"/>
      </w:pPr>
      <w:r>
        <w:t>The Equifax breach of 2017 remains the canonical example of how patch management failure translates directly into catastrophic data exposure. Attackers exploited a known vulnerability i</w:t>
      </w:r>
      <w:r>
        <w:t>n Apache Struts (CVE-2017-5638) for which a patch had been available for approximately two months before the breach began. The result was the exposure of sensitive personal and financial data belonging to 147 million individuals, an eventual settlement exc</w:t>
      </w:r>
      <w:r>
        <w:t>eeding $700 million, and permanent reputational damage to one of the world’s largest credit bureaus.</w:t>
      </w:r>
    </w:p>
    <w:p w:rsidR="00911A99" w:rsidRDefault="00911A99">
      <w:pPr>
        <w:spacing w:after="60"/>
      </w:pPr>
    </w:p>
    <w:p w:rsidR="00911A99" w:rsidRDefault="00A27744">
      <w:pPr>
        <w:spacing w:after="160" w:line="290" w:lineRule="auto"/>
        <w:jc w:val="both"/>
      </w:pPr>
      <w:r>
        <w:t>Data protection regulations including GDPR, CCPA, HIPAA, and PCI DSS impose specific requirements around maintaining secure systems. Regulatory bodies hav</w:t>
      </w:r>
      <w:r>
        <w:t>e explicitly linked unpatched vulnerabilities to compliance violations and have levied substantial fines where poor patch management contributed to data breaches. Organisations can therefore face both the direct costs of a breach and significant regulatory</w:t>
      </w:r>
      <w:r>
        <w:t xml:space="preserve"> penalties when patching failures enable data exposure.</w:t>
      </w:r>
    </w:p>
    <w:p w:rsidR="00911A99" w:rsidRDefault="00A27744">
      <w:pPr>
        <w:pStyle w:val="Heading2"/>
      </w:pPr>
      <w:bookmarkStart w:id="9" w:name="_Toc221832414"/>
      <w:r>
        <w:t>3.4 Maintaining System Stability and Performance</w:t>
      </w:r>
      <w:bookmarkEnd w:id="9"/>
    </w:p>
    <w:p w:rsidR="00911A99" w:rsidRDefault="00A27744">
      <w:pPr>
        <w:spacing w:after="160" w:line="290" w:lineRule="auto"/>
        <w:jc w:val="both"/>
      </w:pPr>
      <w:r>
        <w:t>While the security rationale for patching dominates discussions, patches also correct software defects that affect reliability, performance, and stabil</w:t>
      </w:r>
      <w:r>
        <w:t xml:space="preserve">ity. Operating system patches address memory management issues, race conditions, and other defects that cause crashes and data corruption. Application patches resolve bugs that affect functionality and user experience. Deferred patching therefore degrades </w:t>
      </w:r>
      <w:r>
        <w:t>not only security but operational reliability—creating a compound risk where systems are simultaneously more vulnerable to attack and more prone to failure.</w:t>
      </w:r>
    </w:p>
    <w:p w:rsidR="00911A99" w:rsidRDefault="00911A99">
      <w:pPr>
        <w:spacing w:after="60"/>
      </w:pPr>
    </w:p>
    <w:p w:rsidR="00911A99" w:rsidRDefault="00A27744">
      <w:pPr>
        <w:spacing w:after="160" w:line="290" w:lineRule="auto"/>
        <w:jc w:val="both"/>
      </w:pPr>
      <w:r>
        <w:t xml:space="preserve">Vendors communicate end-of-life and end-of-support dates for their products, after which security </w:t>
      </w:r>
      <w:r>
        <w:t>patches are no longer issued. Systems running end-of-life software are permanently exposed to all subsequently discovered vulnerabilities with no vendor remediation path. Maintaining patch management discipline requires proactive management of software lif</w:t>
      </w:r>
      <w:r>
        <w:t>ecycle, ensuring migrations from end-of-life platforms occur before support cessation.</w:t>
      </w:r>
    </w:p>
    <w:p w:rsidR="00911A99" w:rsidRDefault="00A27744">
      <w:pPr>
        <w:pStyle w:val="Heading2"/>
      </w:pPr>
      <w:bookmarkStart w:id="10" w:name="_Toc221832415"/>
      <w:r>
        <w:t>3.5 Regulatory and Legal Compliance</w:t>
      </w:r>
      <w:bookmarkEnd w:id="10"/>
    </w:p>
    <w:p w:rsidR="00911A99" w:rsidRDefault="00A27744">
      <w:pPr>
        <w:spacing w:after="160" w:line="290" w:lineRule="auto"/>
        <w:jc w:val="both"/>
      </w:pPr>
      <w:r>
        <w:t>Most major cybersecurity frameworks and regulatory standards include explicit requirements for vulnerability and patch management. Th</w:t>
      </w:r>
      <w:r>
        <w:t>e NIST Cybersecurity Framework identifies patching as a core component of the Protect function. ISO/IEC 27001 requires technical vulnerability management as a control under Annex A. PCI DSS Requirement 6 mandates that organisations develop and maintain sec</w:t>
      </w:r>
      <w:r>
        <w:t>ure systems by protecting them from known vulnerabilities through appropriate security patches. HIPAA’s Security Rule requires implementing security measures to reduce vulnerabilities, which courts and regulators have interpreted to include timely patching</w:t>
      </w:r>
      <w:r>
        <w:t>.</w:t>
      </w:r>
    </w:p>
    <w:p w:rsidR="00911A99" w:rsidRDefault="00911A99">
      <w:pPr>
        <w:spacing w:after="60"/>
      </w:pPr>
    </w:p>
    <w:p w:rsidR="00911A99" w:rsidRDefault="00A27744">
      <w:pPr>
        <w:spacing w:after="160" w:line="290" w:lineRule="auto"/>
        <w:jc w:val="both"/>
      </w:pPr>
      <w:r>
        <w:t>Beyond formal regulatory requirements, increasingly active litigation following data breaches examines patch management practices as evidence of reasonable care. Negligence claims brought against breached organisations routinely focus on whether availab</w:t>
      </w:r>
      <w:r>
        <w:t>le patches were applied within reasonable timeframes. Demonstrating a mature, well-documented patch management programme provides legal defence and can influence both litigation outcomes and regulatory penalty determinations.</w:t>
      </w:r>
    </w:p>
    <w:p w:rsidR="00911A99" w:rsidRDefault="00A27744">
      <w:r>
        <w:br w:type="page"/>
      </w:r>
    </w:p>
    <w:p w:rsidR="00911A99" w:rsidRDefault="00A27744">
      <w:pPr>
        <w:pStyle w:val="Heading1"/>
      </w:pPr>
      <w:bookmarkStart w:id="11" w:name="_Toc221832416"/>
      <w:r>
        <w:lastRenderedPageBreak/>
        <w:t>4. The Patch Management Life</w:t>
      </w:r>
      <w:r>
        <w:t>cycle</w:t>
      </w:r>
      <w:bookmarkEnd w:id="11"/>
    </w:p>
    <w:p w:rsidR="00911A99" w:rsidRDefault="00A27744">
      <w:pPr>
        <w:spacing w:after="160" w:line="290" w:lineRule="auto"/>
        <w:jc w:val="both"/>
      </w:pPr>
      <w:r>
        <w:t>Effective patch management is not a single action but a structured operational cycle that continuously repeats. The following table summarises the principal phases and associated activities.</w:t>
      </w:r>
    </w:p>
    <w:p w:rsidR="00911A99" w:rsidRDefault="00911A99">
      <w:pPr>
        <w:spacing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911A99">
        <w:tblPrEx>
          <w:tblCellMar>
            <w:top w:w="0" w:type="dxa"/>
            <w:bottom w:w="0" w:type="dxa"/>
          </w:tblCellMar>
        </w:tblPrEx>
        <w:trPr>
          <w:tblHeader/>
        </w:trPr>
        <w:tc>
          <w:tcPr>
            <w:tcW w:w="20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Phase</w:t>
            </w:r>
          </w:p>
        </w:tc>
        <w:tc>
          <w:tcPr>
            <w:tcW w:w="25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Key Activities</w:t>
            </w:r>
          </w:p>
        </w:tc>
        <w:tc>
          <w:tcPr>
            <w:tcW w:w="25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Responsible Party</w:t>
            </w:r>
          </w:p>
        </w:tc>
        <w:tc>
          <w:tcPr>
            <w:tcW w:w="236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Typical Duration</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1. Discovery &amp; Inventory</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Asset scanning, OS/software cataloguing, dependency mapping</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IT Operations / Asset Mgmt</w:t>
            </w:r>
          </w:p>
        </w:tc>
        <w:tc>
          <w:tcPr>
            <w:tcW w:w="23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Ongoing / continuous</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 Vulnerability Assessment</w:t>
            </w:r>
          </w:p>
        </w:tc>
        <w:tc>
          <w:tcPr>
            <w:tcW w:w="25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CVE monitoring, CVSS scoring, threat-intel correlation</w:t>
            </w:r>
          </w:p>
        </w:tc>
        <w:tc>
          <w:tcPr>
            <w:tcW w:w="25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Security / SOC Team</w:t>
            </w:r>
          </w:p>
        </w:tc>
        <w:tc>
          <w:tcPr>
            <w:tcW w:w="236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24–48 hrs post-release</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3. Prioritisation</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Risk ranking, business-criticality weighting, patch urgency classification</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CISO / Risk Owner</w:t>
            </w:r>
          </w:p>
        </w:tc>
        <w:tc>
          <w:tcPr>
            <w:tcW w:w="23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1–2 business days</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4. Testing &amp; Validation</w:t>
            </w:r>
          </w:p>
        </w:tc>
        <w:tc>
          <w:tcPr>
            <w:tcW w:w="25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Lab / staging deployment, regression tests, rollback planning</w:t>
            </w:r>
          </w:p>
        </w:tc>
        <w:tc>
          <w:tcPr>
            <w:tcW w:w="25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DevOps / QA Team</w:t>
            </w:r>
          </w:p>
        </w:tc>
        <w:tc>
          <w:tcPr>
            <w:tcW w:w="236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3–7 days (non-critical)</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5. Deployment</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Change-window scheduling, phased rollout, endpoint push</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IT Operations</w:t>
            </w:r>
          </w:p>
        </w:tc>
        <w:tc>
          <w:tcPr>
            <w:tcW w:w="23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Per change-mgmt SLA</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6. Verification</w:t>
            </w:r>
          </w:p>
        </w:tc>
        <w:tc>
          <w:tcPr>
            <w:tcW w:w="25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Compliance scan, patch-status audit, re-test affected systems</w:t>
            </w:r>
          </w:p>
        </w:tc>
        <w:tc>
          <w:tcPr>
            <w:tcW w:w="25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Security / Audit Team</w:t>
            </w:r>
          </w:p>
        </w:tc>
        <w:tc>
          <w:tcPr>
            <w:tcW w:w="236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24–72 hrs post-deploy</w:t>
            </w:r>
          </w:p>
        </w:tc>
      </w:tr>
      <w:tr w:rsidR="00911A99">
        <w:tblPrEx>
          <w:tblCellMar>
            <w:top w:w="0" w:type="dxa"/>
            <w:bottom w:w="0" w:type="dxa"/>
          </w:tblCellMar>
        </w:tblPrEx>
        <w:tc>
          <w:tcPr>
            <w:tcW w:w="20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7. Documentation &amp; Reporting</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Ticket closure, metrics capture, executive reporting, lessons-learned</w:t>
            </w:r>
          </w:p>
        </w:tc>
        <w:tc>
          <w:tcPr>
            <w:tcW w:w="25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IT / Compliance</w:t>
            </w:r>
          </w:p>
        </w:tc>
        <w:tc>
          <w:tcPr>
            <w:tcW w:w="23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Ongoing</w:t>
            </w:r>
          </w:p>
        </w:tc>
      </w:tr>
    </w:tbl>
    <w:p w:rsidR="00911A99" w:rsidRDefault="00911A99">
      <w:pPr>
        <w:spacing w:after="120"/>
      </w:pPr>
    </w:p>
    <w:p w:rsidR="00911A99" w:rsidRDefault="00A27744">
      <w:pPr>
        <w:pStyle w:val="Heading2"/>
      </w:pPr>
      <w:bookmarkStart w:id="12" w:name="_Toc221832417"/>
      <w:r>
        <w:t>4.1 Asset Discovery and Inventory</w:t>
      </w:r>
      <w:bookmarkEnd w:id="12"/>
    </w:p>
    <w:p w:rsidR="00911A99" w:rsidRDefault="00A27744">
      <w:pPr>
        <w:spacing w:after="160" w:line="290" w:lineRule="auto"/>
        <w:jc w:val="both"/>
      </w:pPr>
      <w:r>
        <w:t>No organisation can patch what it does not know it has. Comprehensive, continuously updated asset inventory is the prerequisite for effective patch management. This encompasses hardware assets and the software installed on them, including operating systems</w:t>
      </w:r>
      <w:r>
        <w:t>, applications, libraries, firmware, and cloud workloads. Shadow IT—systems and software deployed outside formal IT processes—represents a persistent challenge, as these assets are frequently absent from inventory and therefore unpatched.</w:t>
      </w:r>
    </w:p>
    <w:p w:rsidR="00911A99" w:rsidRDefault="00911A99">
      <w:pPr>
        <w:spacing w:after="60"/>
      </w:pPr>
    </w:p>
    <w:p w:rsidR="00911A99" w:rsidRDefault="00A27744">
      <w:pPr>
        <w:spacing w:after="160" w:line="290" w:lineRule="auto"/>
        <w:jc w:val="both"/>
      </w:pPr>
      <w:r>
        <w:t>Modern asset dis</w:t>
      </w:r>
      <w:r>
        <w:t xml:space="preserve">covery tools use a combination of network scanning, endpoint agents, cloud API integration, and passive network traffic analysis to build and maintain dynamic inventories. </w:t>
      </w:r>
      <w:r>
        <w:lastRenderedPageBreak/>
        <w:t>Integration with configuration management databases (CMDBs) and cloud infrastructure</w:t>
      </w:r>
      <w:r>
        <w:t>-as-code repositories enables inventory to reflect both on-premises and cloud estates. The discovery phase should identify not just assets but their software versions, configurations, and network exposure, providing the context needed for vulnerability ass</w:t>
      </w:r>
      <w:r>
        <w:t>essment and risk prioritisation.</w:t>
      </w:r>
    </w:p>
    <w:p w:rsidR="00911A99" w:rsidRDefault="00A27744">
      <w:pPr>
        <w:pStyle w:val="Heading2"/>
      </w:pPr>
      <w:bookmarkStart w:id="13" w:name="_Toc221832418"/>
      <w:r>
        <w:t>4.2 Vulnerability Assessment and Prioritisation</w:t>
      </w:r>
      <w:bookmarkEnd w:id="13"/>
    </w:p>
    <w:p w:rsidR="00911A99" w:rsidRDefault="00A27744">
      <w:pPr>
        <w:spacing w:after="160" w:line="290" w:lineRule="auto"/>
        <w:jc w:val="both"/>
      </w:pPr>
      <w:r>
        <w:t>Patch prioritisation is where effective patch management diverges most significantly from naive approaches. Not all vulnerabilities are equal. A critical remote code execution vulnerability in an internet-facing web server demands immediate attention; a lo</w:t>
      </w:r>
      <w:r>
        <w:t>w-severity local privilege escalation affecting an isolated internal system can be safely scheduled for routine patching cycles. The Common Vulnerability Scoring System (CVSS) provides a standardised quantitative measure of vulnerability severity, but CVSS</w:t>
      </w:r>
      <w:r>
        <w:t xml:space="preserve"> scores alone are insufficient for prioritisation.</w:t>
      </w:r>
    </w:p>
    <w:p w:rsidR="00911A99" w:rsidRDefault="00911A99">
      <w:pPr>
        <w:spacing w:after="60"/>
      </w:pPr>
    </w:p>
    <w:p w:rsidR="00911A99" w:rsidRDefault="00A27744">
      <w:pPr>
        <w:spacing w:after="160" w:line="290" w:lineRule="auto"/>
        <w:jc w:val="both"/>
      </w:pPr>
      <w:r>
        <w:t>Modern vulnerability prioritisation incorporates multiple data sources beyond CVSS: exploit availability (whether working exploit code exists in public or private repositories), active exploitation eviden</w:t>
      </w:r>
      <w:r>
        <w:t>ce (whether the vulnerability appears in threat intelligence feeds or CISA’s KEV catalogue), asset criticality (the business importance of affected systems), and exposure (whether affected systems are internet-facing or segmented from sensitive data). Comb</w:t>
      </w:r>
      <w:r>
        <w:t>ining these factors produces risk-adjusted prioritisation that concentrates patching effort where risk reduction is greatest.</w:t>
      </w:r>
    </w:p>
    <w:p w:rsidR="00911A99" w:rsidRDefault="00911A99">
      <w:pPr>
        <w:spacing w:after="80"/>
      </w:pPr>
    </w:p>
    <w:p w:rsidR="00911A99" w:rsidRDefault="00A27744">
      <w:pPr>
        <w:spacing w:after="160" w:line="290" w:lineRule="auto"/>
        <w:jc w:val="both"/>
      </w:pPr>
      <w:r>
        <w:t>The table below provides a recommended priority and SLA framework based on CVSS score ranges, which organisations should adapt to</w:t>
      </w:r>
      <w:r>
        <w:t xml:space="preserve"> their specific risk context.</w:t>
      </w:r>
    </w:p>
    <w:p w:rsidR="00911A99" w:rsidRDefault="00911A99">
      <w:pPr>
        <w:spacing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80"/>
        <w:gridCol w:w="4480"/>
      </w:tblGrid>
      <w:tr w:rsidR="00911A99">
        <w:tblPrEx>
          <w:tblCellMar>
            <w:top w:w="0" w:type="dxa"/>
            <w:bottom w:w="0" w:type="dxa"/>
          </w:tblCellMar>
        </w:tblPrEx>
        <w:trPr>
          <w:tblHeader/>
        </w:trPr>
        <w:tc>
          <w:tcPr>
            <w:tcW w:w="22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Priority Level</w:t>
            </w:r>
          </w:p>
        </w:tc>
        <w:tc>
          <w:tcPr>
            <w:tcW w:w="268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CVSS Score Range</w:t>
            </w:r>
          </w:p>
        </w:tc>
        <w:tc>
          <w:tcPr>
            <w:tcW w:w="448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Expected Remediation Timeframe</w:t>
            </w:r>
          </w:p>
        </w:tc>
      </w:tr>
      <w:tr w:rsidR="00911A99">
        <w:tblPrEx>
          <w:tblCellMar>
            <w:top w:w="0" w:type="dxa"/>
            <w:bottom w:w="0" w:type="dxa"/>
          </w:tblCellMar>
        </w:tblPrEx>
        <w:tc>
          <w:tcPr>
            <w:tcW w:w="2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Critical</w:t>
            </w:r>
          </w:p>
        </w:tc>
        <w:tc>
          <w:tcPr>
            <w:tcW w:w="26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9.0 – 10.0</w:t>
            </w:r>
          </w:p>
        </w:tc>
        <w:tc>
          <w:tcPr>
            <w:tcW w:w="44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Within 24–48 hours; emergency change process invoked</w:t>
            </w:r>
          </w:p>
        </w:tc>
      </w:tr>
      <w:tr w:rsidR="00911A99">
        <w:tblPrEx>
          <w:tblCellMar>
            <w:top w:w="0" w:type="dxa"/>
            <w:bottom w:w="0" w:type="dxa"/>
          </w:tblCellMar>
        </w:tblPrEx>
        <w:tc>
          <w:tcPr>
            <w:tcW w:w="2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High</w:t>
            </w:r>
          </w:p>
        </w:tc>
        <w:tc>
          <w:tcPr>
            <w:tcW w:w="26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7.0 – 8.9</w:t>
            </w:r>
          </w:p>
        </w:tc>
        <w:tc>
          <w:tcPr>
            <w:tcW w:w="44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Within 7 days; expedited change window</w:t>
            </w:r>
          </w:p>
        </w:tc>
      </w:tr>
      <w:tr w:rsidR="00911A99">
        <w:tblPrEx>
          <w:tblCellMar>
            <w:top w:w="0" w:type="dxa"/>
            <w:bottom w:w="0" w:type="dxa"/>
          </w:tblCellMar>
        </w:tblPrEx>
        <w:tc>
          <w:tcPr>
            <w:tcW w:w="2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Medium</w:t>
            </w:r>
          </w:p>
        </w:tc>
        <w:tc>
          <w:tcPr>
            <w:tcW w:w="26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4.0 – 6.9</w:t>
            </w:r>
          </w:p>
        </w:tc>
        <w:tc>
          <w:tcPr>
            <w:tcW w:w="44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Within 30 days; standard change cycle</w:t>
            </w:r>
          </w:p>
        </w:tc>
      </w:tr>
      <w:tr w:rsidR="00911A99">
        <w:tblPrEx>
          <w:tblCellMar>
            <w:top w:w="0" w:type="dxa"/>
            <w:bottom w:w="0" w:type="dxa"/>
          </w:tblCellMar>
        </w:tblPrEx>
        <w:tc>
          <w:tcPr>
            <w:tcW w:w="2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Low</w:t>
            </w:r>
          </w:p>
        </w:tc>
        <w:tc>
          <w:tcPr>
            <w:tcW w:w="26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0.1 – 3.9</w:t>
            </w:r>
          </w:p>
        </w:tc>
        <w:tc>
          <w:tcPr>
            <w:tcW w:w="44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Within 90 days; bundled with routine maintenance</w:t>
            </w:r>
          </w:p>
        </w:tc>
      </w:tr>
      <w:tr w:rsidR="00911A99">
        <w:tblPrEx>
          <w:tblCellMar>
            <w:top w:w="0" w:type="dxa"/>
            <w:bottom w:w="0" w:type="dxa"/>
          </w:tblCellMar>
        </w:tblPrEx>
        <w:tc>
          <w:tcPr>
            <w:tcW w:w="2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Informational</w:t>
            </w:r>
          </w:p>
        </w:tc>
        <w:tc>
          <w:tcPr>
            <w:tcW w:w="26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0.0</w:t>
            </w:r>
          </w:p>
        </w:tc>
        <w:tc>
          <w:tcPr>
            <w:tcW w:w="44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Tracked; remediated as resources allow / next major release cycle</w:t>
            </w:r>
          </w:p>
        </w:tc>
      </w:tr>
    </w:tbl>
    <w:p w:rsidR="00911A99" w:rsidRDefault="00911A99">
      <w:pPr>
        <w:spacing w:after="120"/>
      </w:pPr>
    </w:p>
    <w:p w:rsidR="00911A99" w:rsidRDefault="00A27744">
      <w:pPr>
        <w:pStyle w:val="Heading2"/>
      </w:pPr>
      <w:bookmarkStart w:id="14" w:name="_Toc221832419"/>
      <w:r>
        <w:t>4.3 Testing and Validation</w:t>
      </w:r>
      <w:bookmarkEnd w:id="14"/>
    </w:p>
    <w:p w:rsidR="00911A99" w:rsidRDefault="00A27744">
      <w:pPr>
        <w:spacing w:after="160" w:line="290" w:lineRule="auto"/>
        <w:jc w:val="both"/>
      </w:pPr>
      <w:r>
        <w:t>Patches, while remedying vulnerabilities, can introduce instability, incompatibilities, or new defects. Deploying patches without adequate testing in environments with complex software dependencies can cause application failures, service outages, or data c</w:t>
      </w:r>
      <w:r>
        <w:t xml:space="preserve">orruption—sometimes </w:t>
      </w:r>
      <w:r>
        <w:lastRenderedPageBreak/>
        <w:t>with consequences more immediately disruptive than the vulnerability the patch was intended to address. Testing provides confidence that patches function correctly in the organisation’s specific technology environment before broad deplo</w:t>
      </w:r>
      <w:r>
        <w:t>yment.</w:t>
      </w:r>
    </w:p>
    <w:p w:rsidR="00911A99" w:rsidRDefault="00911A99">
      <w:pPr>
        <w:spacing w:after="60"/>
      </w:pPr>
    </w:p>
    <w:p w:rsidR="00911A99" w:rsidRDefault="00A27744">
      <w:pPr>
        <w:spacing w:after="160" w:line="290" w:lineRule="auto"/>
        <w:jc w:val="both"/>
      </w:pPr>
      <w:r>
        <w:t>Testing environments should closely mirror production configurations to maximise the relevance of test results. For critical patches requiring rapid deployment, testing must be appropriately scaled: the risk of an untested patch causing instability</w:t>
      </w:r>
      <w:r>
        <w:t xml:space="preserve"> may be acceptable when balanced against the risk of remaining vulnerable to active exploitation of a critical flaw. Organisations should define testing requirements proportional to patch criticality and system risk, ensuring that urgency does not eliminat</w:t>
      </w:r>
      <w:r>
        <w:t>e all validation.</w:t>
      </w:r>
    </w:p>
    <w:p w:rsidR="00911A99" w:rsidRDefault="00911A99">
      <w:pPr>
        <w:spacing w:after="60"/>
      </w:pPr>
    </w:p>
    <w:p w:rsidR="00911A99" w:rsidRDefault="00A27744">
      <w:pPr>
        <w:spacing w:after="160" w:line="290" w:lineRule="auto"/>
        <w:jc w:val="both"/>
      </w:pPr>
      <w:r>
        <w:t>Rollback planning is an essential component of the testing phase. Before deploying any patch, teams should confirm that rollback procedures exist and have been validated. For complex systems, rollback may require coordinating multiple de</w:t>
      </w:r>
      <w:r>
        <w:t>pendencies or restoring from snapshots. Knowing that a reliable rollback path exists reduces the risk calculus for deploying patches promptly, as the consequences of a problematic patch become more manageable.</w:t>
      </w:r>
    </w:p>
    <w:p w:rsidR="00911A99" w:rsidRDefault="00A27744">
      <w:pPr>
        <w:pStyle w:val="Heading2"/>
      </w:pPr>
      <w:bookmarkStart w:id="15" w:name="_Toc221832420"/>
      <w:r>
        <w:t>4.4 Deployment and Verification</w:t>
      </w:r>
      <w:bookmarkEnd w:id="15"/>
    </w:p>
    <w:p w:rsidR="00911A99" w:rsidRDefault="00A27744">
      <w:pPr>
        <w:spacing w:after="160" w:line="290" w:lineRule="auto"/>
        <w:jc w:val="both"/>
      </w:pPr>
      <w:r>
        <w:t>Deployment str</w:t>
      </w:r>
      <w:r>
        <w:t>ategy should reflect both urgency and operational risk. For critical patches addressing actively exploited vulnerabilities, emergency change processes should enable rapid deployment outside normal change windows, with appropriate authorisation and document</w:t>
      </w:r>
      <w:r>
        <w:t>ation. For lower-priority patches, phased deployment—rolling out to test groups before broader deployment—allows early detection of issues before organisation-wide impact.</w:t>
      </w:r>
    </w:p>
    <w:p w:rsidR="00911A99" w:rsidRDefault="00911A99">
      <w:pPr>
        <w:spacing w:after="60"/>
      </w:pPr>
    </w:p>
    <w:p w:rsidR="00911A99" w:rsidRDefault="00A27744">
      <w:pPr>
        <w:spacing w:after="160" w:line="290" w:lineRule="auto"/>
        <w:jc w:val="both"/>
      </w:pPr>
      <w:r>
        <w:t>Post-deployment verification confirms that patches were successfully applied and th</w:t>
      </w:r>
      <w:r>
        <w:t>at the targeted vulnerability has been remediated. Automated scanning of patched systems validates deployment success and identifies exceptions—systems where deployment failed due to network connectivity issues, conflicting software, or other causes. Excep</w:t>
      </w:r>
      <w:r>
        <w:t>tions require tracking and follow-up to ensure no vulnerable systems remain unaddressed. Verification scanning results should feed into compliance reporting and metrics dashboards.</w:t>
      </w:r>
    </w:p>
    <w:p w:rsidR="00911A99" w:rsidRDefault="00A27744">
      <w:r>
        <w:br w:type="page"/>
      </w:r>
    </w:p>
    <w:p w:rsidR="00911A99" w:rsidRDefault="00A27744">
      <w:pPr>
        <w:pStyle w:val="Heading1"/>
      </w:pPr>
      <w:bookmarkStart w:id="16" w:name="_Toc221832421"/>
      <w:r>
        <w:lastRenderedPageBreak/>
        <w:t>5. Case Studies: The Cost of Patching Failures</w:t>
      </w:r>
      <w:bookmarkEnd w:id="16"/>
    </w:p>
    <w:p w:rsidR="00911A99" w:rsidRDefault="00A27744">
      <w:pPr>
        <w:spacing w:after="160" w:line="290" w:lineRule="auto"/>
        <w:jc w:val="both"/>
      </w:pPr>
      <w:r>
        <w:t>The following case studies illustrate the severe and wide-ranging consequences that have resulted from inadequate patch management across different sectors and vulnerability types.</w:t>
      </w:r>
    </w:p>
    <w:p w:rsidR="00911A99" w:rsidRDefault="00911A99">
      <w:pPr>
        <w:spacing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580"/>
        <w:gridCol w:w="2580"/>
      </w:tblGrid>
      <w:tr w:rsidR="00911A99">
        <w:tblPrEx>
          <w:tblCellMar>
            <w:top w:w="0" w:type="dxa"/>
            <w:bottom w:w="0" w:type="dxa"/>
          </w:tblCellMar>
        </w:tblPrEx>
        <w:trPr>
          <w:tblHeader/>
        </w:trPr>
        <w:tc>
          <w:tcPr>
            <w:tcW w:w="21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Incident</w:t>
            </w:r>
          </w:p>
        </w:tc>
        <w:tc>
          <w:tcPr>
            <w:tcW w:w="21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Year</w:t>
            </w:r>
          </w:p>
        </w:tc>
        <w:tc>
          <w:tcPr>
            <w:tcW w:w="258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Vulnerability / Patch Failure</w:t>
            </w:r>
          </w:p>
        </w:tc>
        <w:tc>
          <w:tcPr>
            <w:tcW w:w="258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Estimated Impact</w:t>
            </w:r>
          </w:p>
        </w:tc>
      </w:tr>
      <w:tr w:rsidR="00911A99">
        <w:tblPrEx>
          <w:tblCellMar>
            <w:top w:w="0" w:type="dxa"/>
            <w:bottom w:w="0" w:type="dxa"/>
          </w:tblCellMar>
        </w:tblPrEx>
        <w:tc>
          <w:tcPr>
            <w:tcW w:w="21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Equifax Data Breach</w:t>
            </w:r>
          </w:p>
        </w:tc>
        <w:tc>
          <w:tcPr>
            <w:tcW w:w="21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2017</w:t>
            </w:r>
          </w:p>
        </w:tc>
        <w:tc>
          <w:tcPr>
            <w:tcW w:w="25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Apache Struts CVE-2017-5638; patch available 2 months prior to breach</w:t>
            </w:r>
          </w:p>
        </w:tc>
        <w:tc>
          <w:tcPr>
            <w:tcW w:w="25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147 million records exposed; $700M+ settlement</w:t>
            </w:r>
          </w:p>
        </w:tc>
      </w:tr>
      <w:tr w:rsidR="00911A99">
        <w:tblPrEx>
          <w:tblCellMar>
            <w:top w:w="0" w:type="dxa"/>
            <w:bottom w:w="0" w:type="dxa"/>
          </w:tblCellMar>
        </w:tblPrEx>
        <w:tc>
          <w:tcPr>
            <w:tcW w:w="21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WannaCry Ransomware</w:t>
            </w:r>
          </w:p>
        </w:tc>
        <w:tc>
          <w:tcPr>
            <w:tcW w:w="21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2017</w:t>
            </w:r>
          </w:p>
        </w:tc>
        <w:tc>
          <w:tcPr>
            <w:tcW w:w="25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EternalBlue / MS17-010; Microsoft patch MS17-010 released March 2017</w:t>
            </w:r>
          </w:p>
        </w:tc>
        <w:tc>
          <w:tcPr>
            <w:tcW w:w="25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200,000+ systems in 150 countries; $4B+ global damages</w:t>
            </w:r>
          </w:p>
        </w:tc>
      </w:tr>
      <w:tr w:rsidR="00911A99">
        <w:tblPrEx>
          <w:tblCellMar>
            <w:top w:w="0" w:type="dxa"/>
            <w:bottom w:w="0" w:type="dxa"/>
          </w:tblCellMar>
        </w:tblPrEx>
        <w:tc>
          <w:tcPr>
            <w:tcW w:w="21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NotPetya Campaign</w:t>
            </w:r>
          </w:p>
        </w:tc>
        <w:tc>
          <w:tcPr>
            <w:tcW w:w="21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2017</w:t>
            </w:r>
          </w:p>
        </w:tc>
        <w:tc>
          <w:tcPr>
            <w:tcW w:w="25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Same EternalBlue exploit; compounded by unpatched enterprise systems</w:t>
            </w:r>
          </w:p>
        </w:tc>
        <w:tc>
          <w:tcPr>
            <w:tcW w:w="25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$10B+ economic damage; Maersk, Merck, FedEx severely impacted</w:t>
            </w:r>
          </w:p>
        </w:tc>
      </w:tr>
      <w:tr w:rsidR="00911A99">
        <w:tblPrEx>
          <w:tblCellMar>
            <w:top w:w="0" w:type="dxa"/>
            <w:bottom w:w="0" w:type="dxa"/>
          </w:tblCellMar>
        </w:tblPrEx>
        <w:tc>
          <w:tcPr>
            <w:tcW w:w="21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SolarWinds / Sunburst</w:t>
            </w:r>
          </w:p>
        </w:tc>
        <w:tc>
          <w:tcPr>
            <w:tcW w:w="21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2020</w:t>
            </w:r>
          </w:p>
        </w:tc>
        <w:tc>
          <w:tcPr>
            <w:tcW w:w="25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Supply-chain compromise; delayed patch deployment extended attacker dwell time</w:t>
            </w:r>
          </w:p>
        </w:tc>
        <w:tc>
          <w:tcPr>
            <w:tcW w:w="25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18,000 organisations; multi-year espionage campaign across US government</w:t>
            </w:r>
          </w:p>
        </w:tc>
      </w:tr>
      <w:tr w:rsidR="00911A99">
        <w:tblPrEx>
          <w:tblCellMar>
            <w:top w:w="0" w:type="dxa"/>
            <w:bottom w:w="0" w:type="dxa"/>
          </w:tblCellMar>
        </w:tblPrEx>
        <w:tc>
          <w:tcPr>
            <w:tcW w:w="21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Log4Shell (Log4j)</w:t>
            </w:r>
          </w:p>
        </w:tc>
        <w:tc>
          <w:tcPr>
            <w:tcW w:w="21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2021</w:t>
            </w:r>
          </w:p>
        </w:tc>
        <w:tc>
          <w:tcPr>
            <w:tcW w:w="25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CVE-2021-44228; ubiquitous library; mass exploitation within hours of disclosure</w:t>
            </w:r>
          </w:p>
        </w:tc>
        <w:tc>
          <w:tcPr>
            <w:tcW w:w="258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Hundreds of millions of devices exposed; ransomware and espionage campaigns</w:t>
            </w:r>
          </w:p>
        </w:tc>
      </w:tr>
      <w:tr w:rsidR="00911A99">
        <w:tblPrEx>
          <w:tblCellMar>
            <w:top w:w="0" w:type="dxa"/>
            <w:bottom w:w="0" w:type="dxa"/>
          </w:tblCellMar>
        </w:tblPrEx>
        <w:tc>
          <w:tcPr>
            <w:tcW w:w="21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MOVEit Transfer</w:t>
            </w:r>
          </w:p>
        </w:tc>
        <w:tc>
          <w:tcPr>
            <w:tcW w:w="21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2023</w:t>
            </w:r>
          </w:p>
        </w:tc>
        <w:tc>
          <w:tcPr>
            <w:tcW w:w="25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CVE-2023-34362 zero-day SQL injection; patch issued after exploitation began</w:t>
            </w:r>
          </w:p>
        </w:tc>
        <w:tc>
          <w:tcPr>
            <w:tcW w:w="258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2,600+ organisations; 77M+ individuals’ data compromised</w:t>
            </w:r>
          </w:p>
        </w:tc>
      </w:tr>
    </w:tbl>
    <w:p w:rsidR="00911A99" w:rsidRDefault="00911A99">
      <w:pPr>
        <w:spacing w:after="120"/>
      </w:pPr>
    </w:p>
    <w:p w:rsidR="00911A99" w:rsidRDefault="00A27744">
      <w:pPr>
        <w:pStyle w:val="Heading2"/>
      </w:pPr>
      <w:bookmarkStart w:id="17" w:name="_Toc221832422"/>
      <w:r>
        <w:t>5.1 WannaCry: A Preventable Global Crisis</w:t>
      </w:r>
      <w:bookmarkEnd w:id="17"/>
    </w:p>
    <w:p w:rsidR="00911A99" w:rsidRDefault="00A27744">
      <w:pPr>
        <w:spacing w:after="160" w:line="290" w:lineRule="auto"/>
        <w:jc w:val="both"/>
      </w:pPr>
      <w:r>
        <w:t>The WannaCry ransomware campaign of May 2017 provides the starkest illustration of what patch management failure looks like at civilisational scale. The attack exploited EternalBlue, a vulnerability in Windows SMBv</w:t>
      </w:r>
      <w:r>
        <w:t>1 believed to have originated in NSA tooling and leaked by the Shadow Brokers group. Microsoft had released patch MS17-010 on March 14, 2017—precisely two months before WannaCry began propagating on May 12.</w:t>
      </w:r>
    </w:p>
    <w:p w:rsidR="00911A99" w:rsidRDefault="00911A99">
      <w:pPr>
        <w:spacing w:after="60"/>
      </w:pPr>
    </w:p>
    <w:p w:rsidR="00911A99" w:rsidRDefault="00A27744">
      <w:pPr>
        <w:spacing w:after="160" w:line="290" w:lineRule="auto"/>
        <w:jc w:val="both"/>
      </w:pPr>
      <w:r>
        <w:t>Organisations that had applied the patch were co</w:t>
      </w:r>
      <w:r>
        <w:t xml:space="preserve">mpletely immune. Those that had not—including large portions of the UK National Health Service, Spanish telecommunications giant Telefónica, logistics company FedEx, and government systems across Asia and Europe—suffered immediate </w:t>
      </w:r>
      <w:r>
        <w:lastRenderedPageBreak/>
        <w:t xml:space="preserve">and severe consequences. </w:t>
      </w:r>
      <w:r>
        <w:t>NHS trusts cancelled tens of thousands of appointments and procedures, with patients diverted from emergency departments. The attack infected over 200,000 systems in 150 countries within four days, with damages estimated between $4 billion and $8 billion g</w:t>
      </w:r>
      <w:r>
        <w:t>lobally.</w:t>
      </w:r>
    </w:p>
    <w:p w:rsidR="00911A99" w:rsidRDefault="00911A99">
      <w:pPr>
        <w:spacing w:after="60"/>
      </w:pPr>
    </w:p>
    <w:p w:rsidR="00911A99" w:rsidRDefault="00A27744">
      <w:pPr>
        <w:spacing w:after="160" w:line="290" w:lineRule="auto"/>
        <w:jc w:val="both"/>
      </w:pPr>
      <w:r>
        <w:t xml:space="preserve">Post-incident analysis consistently identified deferred patching as the primary enabling factor. Affected NHS trusts were found to be running Windows XP, which had reached end-of-life in 2014 and received no routine security updates. For current </w:t>
      </w:r>
      <w:r>
        <w:t>Windows versions, the patch had been available for two months. The lesson was unambiguous: systematic patch management would have prevented virtually all WannaCry infections.</w:t>
      </w:r>
    </w:p>
    <w:p w:rsidR="00911A99" w:rsidRDefault="00A27744">
      <w:pPr>
        <w:pStyle w:val="Heading2"/>
      </w:pPr>
      <w:bookmarkStart w:id="18" w:name="_Toc221832423"/>
      <w:r>
        <w:t>5.2 Equifax: When Data Becomes the Target</w:t>
      </w:r>
      <w:bookmarkEnd w:id="18"/>
    </w:p>
    <w:p w:rsidR="00911A99" w:rsidRDefault="00A27744">
      <w:pPr>
        <w:spacing w:after="160" w:line="290" w:lineRule="auto"/>
        <w:jc w:val="both"/>
      </w:pPr>
      <w:r>
        <w:t>The Equifax breach demonstrates how pat</w:t>
      </w:r>
      <w:r>
        <w:t>ch management failure translates into the exposure of highly sensitive personal data at massive scale. Between May and July 2017, attackers exploited CVE-2017-5638, a critical vulnerability in the Apache Struts web framework that enabled remote code execut</w:t>
      </w:r>
      <w:r>
        <w:t>ion via a maliciously crafted HTTP request header. Apache had issued a patch for this vulnerability on March 7, 2017. Equifax’s systems were not patched, and attackers gained access approximately six weeks after the patch became available.</w:t>
      </w:r>
    </w:p>
    <w:p w:rsidR="00911A99" w:rsidRDefault="00911A99">
      <w:pPr>
        <w:spacing w:after="60"/>
      </w:pPr>
    </w:p>
    <w:p w:rsidR="00911A99" w:rsidRDefault="00A27744">
      <w:pPr>
        <w:spacing w:after="160" w:line="290" w:lineRule="auto"/>
        <w:jc w:val="both"/>
      </w:pPr>
      <w:r>
        <w:t>The breach expo</w:t>
      </w:r>
      <w:r>
        <w:t>sed names, social security numbers, birth dates, addresses, and driver’s licence numbers for 143 million Americans, along with credit card details for 209,000 people and dispute documents containing personal information for approximately 182,000 individual</w:t>
      </w:r>
      <w:r>
        <w:t>s. The Federal Trade Commission, Consumer Financial Protection Bureau, and 50 US states and territories ultimately reached a settlement with Equifax requiring payments of up to $700 million. The company’s CEO, CTO, and CISO resigned in the breach’s afterma</w:t>
      </w:r>
      <w:r>
        <w:t>th.</w:t>
      </w:r>
    </w:p>
    <w:p w:rsidR="00911A99" w:rsidRDefault="00911A99">
      <w:pPr>
        <w:spacing w:after="60"/>
      </w:pPr>
    </w:p>
    <w:p w:rsidR="00911A99" w:rsidRDefault="00A27744">
      <w:pPr>
        <w:spacing w:after="160" w:line="290" w:lineRule="auto"/>
        <w:jc w:val="both"/>
      </w:pPr>
      <w:r>
        <w:t xml:space="preserve">Congressional testimony and subsequent investigations revealed systemic failures in Equifax’s patch management programme, including inadequate scanning to identify unpatched systems, unclear ownership of patch responsibilities, and insufficient monitoring </w:t>
      </w:r>
      <w:r>
        <w:t>of security advisories for critical components. The Equifax breach has since become the reference case in regulatory guidance, legal proceedings, and professional education on the consequences of patch management negligence.</w:t>
      </w:r>
    </w:p>
    <w:p w:rsidR="00911A99" w:rsidRDefault="00A27744">
      <w:pPr>
        <w:pStyle w:val="Heading2"/>
      </w:pPr>
      <w:bookmarkStart w:id="19" w:name="_Toc221832424"/>
      <w:r>
        <w:t>5.3 Log4Shell: The Hidden Dependency Problem</w:t>
      </w:r>
      <w:bookmarkEnd w:id="19"/>
    </w:p>
    <w:p w:rsidR="00911A99" w:rsidRDefault="00A27744">
      <w:pPr>
        <w:spacing w:after="160" w:line="290" w:lineRule="auto"/>
        <w:jc w:val="both"/>
      </w:pPr>
      <w:r>
        <w:t>The Log4Shell vulnerability (CVE-2021-44228), disclosed in December 2021, illustrated a dimension of modern patch management that extends beyond straightforward operating system and application patching: the cha</w:t>
      </w:r>
      <w:r>
        <w:t xml:space="preserve">llenge of software supply chain and transitive dependencies. Log4j is an open-source Java logging library so widely used—embedded in thousands of commercial and open-source products—that many organisations did not even know they were running it, let alone </w:t>
      </w:r>
      <w:r>
        <w:t>where.</w:t>
      </w:r>
    </w:p>
    <w:p w:rsidR="00911A99" w:rsidRDefault="00911A99">
      <w:pPr>
        <w:spacing w:after="60"/>
      </w:pPr>
    </w:p>
    <w:p w:rsidR="00911A99" w:rsidRDefault="00A27744">
      <w:pPr>
        <w:spacing w:after="160" w:line="290" w:lineRule="auto"/>
        <w:jc w:val="both"/>
      </w:pPr>
      <w:r>
        <w:t xml:space="preserve">Log4Shell allowed unauthenticated remote code execution with trivial exploitation; the initial proof-of-concept required a single line of text in a log message. Mass exploitation began within hours of public disclosure. The challenge for defenders </w:t>
      </w:r>
      <w:r>
        <w:t>was not merely patching Log4j where they knew it existed but discovering all instances across their estate, including within commercial products where the vendor had embedded the library and must release their own patches. This supply-chain dimension meant</w:t>
      </w:r>
      <w:r>
        <w:t xml:space="preserve"> that even organisations with mature, fast patch management programmes faced significant remediation periods.</w:t>
      </w:r>
    </w:p>
    <w:p w:rsidR="00911A99" w:rsidRDefault="00911A99">
      <w:pPr>
        <w:spacing w:after="60"/>
      </w:pPr>
    </w:p>
    <w:p w:rsidR="00911A99" w:rsidRDefault="00A27744">
      <w:pPr>
        <w:spacing w:after="160" w:line="290" w:lineRule="auto"/>
        <w:jc w:val="both"/>
      </w:pPr>
      <w:r>
        <w:t>Log4Shell accelerated widespread adoption of software composition analysis (SCA) tools and software bills of materials (SBOMs) as organisations r</w:t>
      </w:r>
      <w:r>
        <w:t>ecognised that managing their own code’s dependencies had become as critical as patching the first-party software they purchase. It demonstrated that modern patch management must encompass not just known software but the libraries and components embedded w</w:t>
      </w:r>
      <w:r>
        <w:t>ithin that software, requiring visibility into the full software supply chain.</w:t>
      </w:r>
    </w:p>
    <w:p w:rsidR="00911A99" w:rsidRDefault="00A27744">
      <w:r>
        <w:br w:type="page"/>
      </w:r>
    </w:p>
    <w:p w:rsidR="00911A99" w:rsidRDefault="00A27744">
      <w:pPr>
        <w:pStyle w:val="Heading1"/>
      </w:pPr>
      <w:bookmarkStart w:id="20" w:name="_Toc221832425"/>
      <w:r>
        <w:lastRenderedPageBreak/>
        <w:t>6. Challenges in Patch Management</w:t>
      </w:r>
      <w:bookmarkEnd w:id="20"/>
    </w:p>
    <w:p w:rsidR="00911A99" w:rsidRDefault="00A27744">
      <w:pPr>
        <w:pStyle w:val="Heading2"/>
      </w:pPr>
      <w:bookmarkStart w:id="21" w:name="_Toc221832426"/>
      <w:r>
        <w:t>6.1 Scale and Complexity</w:t>
      </w:r>
      <w:bookmarkEnd w:id="21"/>
    </w:p>
    <w:p w:rsidR="00911A99" w:rsidRDefault="00A27744">
      <w:pPr>
        <w:spacing w:after="160" w:line="290" w:lineRule="auto"/>
        <w:jc w:val="both"/>
      </w:pPr>
      <w:r>
        <w:t>The sheer volume of patches released by vendors and the scale of modern enterprise technology estates make patch man</w:t>
      </w:r>
      <w:r>
        <w:t>agement operationally demanding. Large organisations may have tens of thousands of endpoints, hundreds of servers, dozens of distinct application platforms, and complex cloud infrastructure distributed across multiple providers and geographic regions. In t</w:t>
      </w:r>
      <w:r>
        <w:t>his environment, processing the continuous stream of vendor patches, assessing their applicability and risk, and coordinating deployment across diverse systems requires significant operational capacity and sophisticated tooling.</w:t>
      </w:r>
    </w:p>
    <w:p w:rsidR="00911A99" w:rsidRDefault="00911A99">
      <w:pPr>
        <w:spacing w:after="60"/>
      </w:pPr>
    </w:p>
    <w:p w:rsidR="00911A99" w:rsidRDefault="00A27744">
      <w:pPr>
        <w:spacing w:after="160" w:line="290" w:lineRule="auto"/>
        <w:jc w:val="both"/>
      </w:pPr>
      <w:r>
        <w:t>Heterogeneity compounds th</w:t>
      </w:r>
      <w:r>
        <w:t xml:space="preserve">e complexity. Organisations running mixed operating system environments, legacy and modern applications, on-premises and multi-cloud workloads, and operational technology alongside information technology face patching processes that cannot be standardised </w:t>
      </w:r>
      <w:r>
        <w:t>across the entire estate. Each environment may have distinct tools, processes, testing requirements, and stakeholders, requiring programme management overhead that smaller organisations may struggle to sustain.</w:t>
      </w:r>
    </w:p>
    <w:p w:rsidR="00911A99" w:rsidRDefault="00A27744">
      <w:pPr>
        <w:pStyle w:val="Heading2"/>
      </w:pPr>
      <w:bookmarkStart w:id="22" w:name="_Toc221832427"/>
      <w:r>
        <w:t>6.2 Operational and Availability Constraints</w:t>
      </w:r>
      <w:bookmarkEnd w:id="22"/>
    </w:p>
    <w:p w:rsidR="00911A99" w:rsidRDefault="00A27744">
      <w:pPr>
        <w:spacing w:after="160" w:line="290" w:lineRule="auto"/>
        <w:jc w:val="both"/>
      </w:pPr>
      <w:r>
        <w:t>Many systems cannot be patched without service interruption, and many operational environments have extremely limited or entirely absent maintenance windows. Critical infrastructure including healthcare systems, manufacturing OT environments, utility contr</w:t>
      </w:r>
      <w:r>
        <w:t xml:space="preserve">ol systems, and financial trading platforms may operate continuously with zero-downtime requirements that make patching extraordinarily difficult. In these environments, the risk calculus around patching is genuinely complex: the operational disruption of </w:t>
      </w:r>
      <w:r>
        <w:t>a maintenance window may itself carry safety or financial consequences that must be weighed against the security risk of remaining unpatched.</w:t>
      </w:r>
    </w:p>
    <w:p w:rsidR="00911A99" w:rsidRDefault="00911A99">
      <w:pPr>
        <w:spacing w:after="60"/>
      </w:pPr>
    </w:p>
    <w:p w:rsidR="00911A99" w:rsidRDefault="00A27744">
      <w:pPr>
        <w:spacing w:after="160" w:line="290" w:lineRule="auto"/>
        <w:jc w:val="both"/>
      </w:pPr>
      <w:r>
        <w:t>Legacy systems present a related challenge. Older systems running business-critical applications may be technical</w:t>
      </w:r>
      <w:r>
        <w:t>ly fragile—sensitive to changes in underlying software or configuration that patching can introduce. Where vendors no longer provide patches for old versions, or where internal testing capacity for complex legacy applications is limited, patching cycles le</w:t>
      </w:r>
      <w:r>
        <w:t>ngthen substantially. The risk profile of these systems is often high precisely because they are old and poorly understood, creating a difficult situation where high-risk systems are also the hardest to patch.</w:t>
      </w:r>
    </w:p>
    <w:p w:rsidR="00911A99" w:rsidRDefault="00A27744">
      <w:pPr>
        <w:pStyle w:val="Heading2"/>
      </w:pPr>
      <w:bookmarkStart w:id="23" w:name="_Toc221832428"/>
      <w:r>
        <w:t>6.3 Patch Reliability Concerns</w:t>
      </w:r>
      <w:bookmarkEnd w:id="23"/>
    </w:p>
    <w:p w:rsidR="00911A99" w:rsidRDefault="00A27744">
      <w:pPr>
        <w:spacing w:after="160" w:line="290" w:lineRule="auto"/>
        <w:jc w:val="both"/>
      </w:pPr>
      <w:r>
        <w:t xml:space="preserve">The legitimate </w:t>
      </w:r>
      <w:r>
        <w:t>concern that patches may introduce instability creates institutional resistance to rapid deployment. High-profile cases where Microsoft Patch Tuesday updates caused system crashes, driver incompatibilities, or application failures feed a risk-averse cultur</w:t>
      </w:r>
      <w:r>
        <w:t xml:space="preserve">e in which IT </w:t>
      </w:r>
      <w:r>
        <w:lastRenderedPageBreak/>
        <w:t>teams defer patches to observe the broader community’s experience. While this “wait and see” approach has some rational basis, it extends exposure windows and can become a systemic rationalisation for chronic under-patching rather than an evi</w:t>
      </w:r>
      <w:r>
        <w:t>dence-based risk management practice.</w:t>
      </w:r>
    </w:p>
    <w:p w:rsidR="00911A99" w:rsidRDefault="00911A99">
      <w:pPr>
        <w:spacing w:after="60"/>
      </w:pPr>
    </w:p>
    <w:p w:rsidR="00911A99" w:rsidRDefault="00A27744">
      <w:pPr>
        <w:spacing w:after="160" w:line="290" w:lineRule="auto"/>
        <w:jc w:val="both"/>
      </w:pPr>
      <w:r>
        <w:t xml:space="preserve">The response to patch reliability concerns should be robust testing environments and rollback procedures—not indefinite deferral. Organisations that invest in representative staging environments, automated regression </w:t>
      </w:r>
      <w:r>
        <w:t>testing, and reliable rollback capabilities can patch more confidently and more quickly, converting the legitimate concern about patch stability into a programme improvement driver rather than an obstacle.</w:t>
      </w:r>
    </w:p>
    <w:p w:rsidR="00911A99" w:rsidRDefault="00A27744">
      <w:pPr>
        <w:pStyle w:val="Heading2"/>
      </w:pPr>
      <w:bookmarkStart w:id="24" w:name="_Toc221832429"/>
      <w:r>
        <w:t>6.4 Decentralised Ownership and Accountability</w:t>
      </w:r>
      <w:bookmarkEnd w:id="24"/>
    </w:p>
    <w:p w:rsidR="00911A99" w:rsidRDefault="00A27744">
      <w:pPr>
        <w:spacing w:after="160" w:line="290" w:lineRule="auto"/>
        <w:jc w:val="both"/>
      </w:pPr>
      <w:r>
        <w:t xml:space="preserve">In </w:t>
      </w:r>
      <w:r>
        <w:t>many organisations, clear ownership of patch management across the entire technology estate is absent. Business units procure and deploy their own software; shadow IT proliferates outside IT governance; responsibility for patching third-party systems hoste</w:t>
      </w:r>
      <w:r>
        <w:t xml:space="preserve">d in cloud environments is ambiguous. Without clear accountability—specifying who is responsible for ensuring each asset class is patched within defined SLAs—gaps inevitably emerge. Attackers exploit these gaps because they reliably exist in organisations </w:t>
      </w:r>
      <w:r>
        <w:t>whose patch governance is fragmented.</w:t>
      </w:r>
    </w:p>
    <w:p w:rsidR="00911A99" w:rsidRDefault="00A27744">
      <w:pPr>
        <w:pStyle w:val="Heading2"/>
      </w:pPr>
      <w:bookmarkStart w:id="25" w:name="_Toc221832430"/>
      <w:r>
        <w:t>6.5 The Third-Party and Supply Chain Dimension</w:t>
      </w:r>
      <w:bookmarkEnd w:id="25"/>
    </w:p>
    <w:p w:rsidR="00911A99" w:rsidRDefault="00A27744">
      <w:pPr>
        <w:spacing w:after="160" w:line="290" w:lineRule="auto"/>
        <w:jc w:val="both"/>
      </w:pPr>
      <w:r>
        <w:t>Organisations are responsible not only for patching software they directly manage but for ensuring that vendors and third parties with access to their environments maintai</w:t>
      </w:r>
      <w:r>
        <w:t>n appropriate patch management standards. Third-party software components embedded in enterprise applications, SaaS platforms that customers trust with sensitive data, and managed service providers with privileged network access all represent patch managem</w:t>
      </w:r>
      <w:r>
        <w:t>ent risks that extend beyond the organisation’s direct control. Third-party risk management programmes must assess and monitor patch management practices throughout the supply chain.</w:t>
      </w:r>
    </w:p>
    <w:p w:rsidR="00911A99" w:rsidRDefault="00A27744">
      <w:r>
        <w:br w:type="page"/>
      </w:r>
    </w:p>
    <w:p w:rsidR="00911A99" w:rsidRDefault="00A27744">
      <w:pPr>
        <w:pStyle w:val="Heading1"/>
      </w:pPr>
      <w:bookmarkStart w:id="26" w:name="_Toc221832431"/>
      <w:r>
        <w:lastRenderedPageBreak/>
        <w:t>7. Best Practices and Frameworks</w:t>
      </w:r>
      <w:bookmarkEnd w:id="26"/>
    </w:p>
    <w:p w:rsidR="00911A99" w:rsidRDefault="00A27744">
      <w:pPr>
        <w:pStyle w:val="Heading2"/>
      </w:pPr>
      <w:bookmarkStart w:id="27" w:name="_Toc221832432"/>
      <w:r>
        <w:t>7.1 Risk-Based Prioritisation</w:t>
      </w:r>
      <w:bookmarkEnd w:id="27"/>
    </w:p>
    <w:p w:rsidR="00911A99" w:rsidRDefault="00A27744">
      <w:pPr>
        <w:spacing w:after="160" w:line="290" w:lineRule="auto"/>
        <w:jc w:val="both"/>
      </w:pPr>
      <w:r>
        <w:t>The most important evolution in professional patch management practice is the shift from calendar-based to risk-based approaches. Rather than applying all patches on a fixed schedule—or worse, patching opportunistically whenever resources allow—mature prog</w:t>
      </w:r>
      <w:r>
        <w:t xml:space="preserve">rammes continuously assess the risk profile of unpatched vulnerabilities and prioritise remediation accordingly. This requires integrating vulnerability data with threat intelligence (which vulnerabilities are actively exploited), asset criticality (which </w:t>
      </w:r>
      <w:r>
        <w:t>systems host the most sensitive data or provide the most critical services), and exposure (which systems are internet-facing or accessible from untrusted networks).</w:t>
      </w:r>
    </w:p>
    <w:p w:rsidR="00911A99" w:rsidRDefault="00A27744">
      <w:pPr>
        <w:pStyle w:val="Heading2"/>
      </w:pPr>
      <w:bookmarkStart w:id="28" w:name="_Toc221832433"/>
      <w:r>
        <w:t>7.2 Automation and Tooling</w:t>
      </w:r>
      <w:bookmarkEnd w:id="28"/>
    </w:p>
    <w:p w:rsidR="00911A99" w:rsidRDefault="00A27744">
      <w:pPr>
        <w:spacing w:after="160" w:line="290" w:lineRule="auto"/>
        <w:jc w:val="both"/>
      </w:pPr>
      <w:r>
        <w:t xml:space="preserve">Manual patch management at enterprise scale is neither feasible </w:t>
      </w:r>
      <w:r>
        <w:t>nor reliable. Automated patch management platforms—including Microsoft WSUS and SCCM/Intune, Red Hat Satellite, Qualys VMDR, Rapid7 InsightVM, Tenable.io, and CrowdStrike Falcon Spotlight—provide the infrastructure for automated scanning, patch deployment,</w:t>
      </w:r>
      <w:r>
        <w:t xml:space="preserve"> compliance monitoring, and reporting. Cloud-native environments benefit from integration with vendor patch management services including AWS Systems Manager Patch Manager, Azure Update Management, and GCP OS Patch Management.</w:t>
      </w:r>
    </w:p>
    <w:p w:rsidR="00911A99" w:rsidRDefault="00911A99">
      <w:pPr>
        <w:spacing w:after="60"/>
      </w:pPr>
    </w:p>
    <w:p w:rsidR="00911A99" w:rsidRDefault="00A27744">
      <w:pPr>
        <w:spacing w:after="160" w:line="290" w:lineRule="auto"/>
        <w:jc w:val="both"/>
      </w:pPr>
      <w:r>
        <w:t>Automation reduces human err</w:t>
      </w:r>
      <w:r>
        <w:t>or, accelerates deployment timelines, enables consistent application of patching policies across large estates, and provides the audit trail necessary for compliance demonstration. Organisations should automate wherever possible while maintaining human ove</w:t>
      </w:r>
      <w:r>
        <w:t>rsight for exceptions, high-risk deployments, and systems requiring special handling.</w:t>
      </w:r>
    </w:p>
    <w:p w:rsidR="00911A99" w:rsidRDefault="00A27744">
      <w:pPr>
        <w:pStyle w:val="Heading2"/>
      </w:pPr>
      <w:bookmarkStart w:id="29" w:name="_Toc221832434"/>
      <w:r>
        <w:t>7.3 Immutable Infrastructure and Patch-by-Rebuild</w:t>
      </w:r>
      <w:bookmarkEnd w:id="29"/>
    </w:p>
    <w:p w:rsidR="00911A99" w:rsidRDefault="00A27744">
      <w:pPr>
        <w:spacing w:after="160" w:line="290" w:lineRule="auto"/>
        <w:jc w:val="both"/>
      </w:pPr>
      <w:r>
        <w:t>Cloud-native and DevOps practices offer an alternative patching paradigm: rather than patching running systems, organisa</w:t>
      </w:r>
      <w:r>
        <w:t>tions rebuild infrastructure from patched base images. Container images and virtual machine templates are updated to incorporate patches, and running instances are replaced with instances built from the updated images. This approach—known as immutable infr</w:t>
      </w:r>
      <w:r>
        <w:t>astructure—eliminates configuration drift, ensures consistent patch state, and reduces the operational complexity of patching individual systems.</w:t>
      </w:r>
    </w:p>
    <w:p w:rsidR="00911A99" w:rsidRDefault="00911A99">
      <w:pPr>
        <w:spacing w:after="60"/>
      </w:pPr>
    </w:p>
    <w:p w:rsidR="00911A99" w:rsidRDefault="00A27744">
      <w:pPr>
        <w:spacing w:after="160" w:line="290" w:lineRule="auto"/>
        <w:jc w:val="both"/>
      </w:pPr>
      <w:r>
        <w:t>The patch-by-rebuild model requires mature CI/CD pipelines, infrastructure-as-code practices, and robust depl</w:t>
      </w:r>
      <w:r>
        <w:t>oyment automation, but provides significant advantages in patch management speed and consistency for organisations with the necessary DevOps maturity. Combining automated image scanning in the build pipeline with continuous vulnerability assessment of runn</w:t>
      </w:r>
      <w:r>
        <w:t>ing workloads provides comprehensive patching coverage across cloud-native environments.</w:t>
      </w:r>
    </w:p>
    <w:p w:rsidR="00911A99" w:rsidRDefault="00A27744">
      <w:pPr>
        <w:pStyle w:val="Heading2"/>
      </w:pPr>
      <w:bookmarkStart w:id="30" w:name="_Toc221832435"/>
      <w:r>
        <w:lastRenderedPageBreak/>
        <w:t>7.4 Software Composition Analysis and SBOM</w:t>
      </w:r>
      <w:bookmarkEnd w:id="30"/>
    </w:p>
    <w:p w:rsidR="00911A99" w:rsidRDefault="00A27744">
      <w:pPr>
        <w:spacing w:after="160" w:line="290" w:lineRule="auto"/>
        <w:jc w:val="both"/>
      </w:pPr>
      <w:r>
        <w:t>The Log4Shell episode catalysed widespread adoption of software composition analysis (SCA) and software bills of materials (</w:t>
      </w:r>
      <w:r>
        <w:t xml:space="preserve">SBOMs). SCA tools automatically identify open-source and third-party components in software, enabling organisations to understand their dependency landscape and rapidly identify vulnerable components when new vulnerabilities are disclosed. SBOMs provide a </w:t>
      </w:r>
      <w:r>
        <w:t>structured, machine-readable inventory of all software components, enabling automated vulnerability correlation.</w:t>
      </w:r>
    </w:p>
    <w:p w:rsidR="00911A99" w:rsidRDefault="00911A99">
      <w:pPr>
        <w:spacing w:after="60"/>
      </w:pPr>
    </w:p>
    <w:p w:rsidR="00911A99" w:rsidRDefault="00A27744">
      <w:pPr>
        <w:spacing w:after="160" w:line="290" w:lineRule="auto"/>
        <w:jc w:val="both"/>
      </w:pPr>
      <w:r>
        <w:t>US federal agencies are now required to obtain SBOMs from software vendors under Executive Order 14028. The commercial sector is moving in the</w:t>
      </w:r>
      <w:r>
        <w:t xml:space="preserve"> same direction, with procurement processes increasingly requiring SBOM provision as a condition of contract. This shift fundamentally changes patch management by extending visibility beyond first-party software to the full supply chain, enabling proactive</w:t>
      </w:r>
      <w:r>
        <w:t xml:space="preserve"> identification of transitive vulnerabilities before exploitation begins.</w:t>
      </w:r>
    </w:p>
    <w:p w:rsidR="00911A99" w:rsidRDefault="00A27744">
      <w:pPr>
        <w:pStyle w:val="Heading2"/>
      </w:pPr>
      <w:bookmarkStart w:id="31" w:name="_Toc221832436"/>
      <w:r>
        <w:t>7.5 Compensating Controls for Unpatchable Systems</w:t>
      </w:r>
      <w:bookmarkEnd w:id="31"/>
    </w:p>
    <w:p w:rsidR="00911A99" w:rsidRDefault="00A27744">
      <w:pPr>
        <w:spacing w:after="160" w:line="290" w:lineRule="auto"/>
        <w:jc w:val="both"/>
      </w:pPr>
      <w:r>
        <w:t>When patching is temporarily or permanently infeasible—for end-of-life systems, operationally constrained OT environments, or system</w:t>
      </w:r>
      <w:r>
        <w:t>s undergoing extended testing cycles—compensating controls reduce risk during the exposure window. Network segmentation isolates vulnerable systems from internet exposure and lateral movement paths. Intrusion detection and prevention systems can detect and</w:t>
      </w:r>
      <w:r>
        <w:t xml:space="preserve"> block exploitation attempts for known vulnerabilities. Web application firewalls provide virtual patching for web application vulnerabilities, blocking malicious traffic patterns associated with specific exploits. Enhanced monitoring and threat detection </w:t>
      </w:r>
      <w:r>
        <w:t>of vulnerable systems enables faster incident detection if exploitation occurs.</w:t>
      </w:r>
    </w:p>
    <w:p w:rsidR="00911A99" w:rsidRDefault="00911A99">
      <w:pPr>
        <w:spacing w:after="60"/>
      </w:pPr>
    </w:p>
    <w:p w:rsidR="00911A99" w:rsidRDefault="00A27744">
      <w:pPr>
        <w:spacing w:after="160" w:line="290" w:lineRule="auto"/>
        <w:jc w:val="both"/>
      </w:pPr>
      <w:r>
        <w:t>Compensating controls are temporary mitigations, not substitutes for patching. They reduce but do not eliminate risk, and should be accompanied by documented remediation plans</w:t>
      </w:r>
      <w:r>
        <w:t xml:space="preserve"> and timelines. Risk acceptance for prolonged exposure of critical systems to unpatched vulnerabilities should require explicit senior-level authorisation and documented justification.</w:t>
      </w:r>
    </w:p>
    <w:p w:rsidR="00911A99" w:rsidRDefault="00A27744">
      <w:pPr>
        <w:pStyle w:val="Heading2"/>
      </w:pPr>
      <w:bookmarkStart w:id="32" w:name="_Toc221832437"/>
      <w:r>
        <w:t>7.6 Regulatory and Framework Alignment</w:t>
      </w:r>
      <w:bookmarkEnd w:id="32"/>
    </w:p>
    <w:p w:rsidR="00911A99" w:rsidRDefault="00A27744">
      <w:pPr>
        <w:spacing w:after="160" w:line="290" w:lineRule="auto"/>
        <w:jc w:val="both"/>
      </w:pPr>
      <w:r>
        <w:t>Organisations subject to regulat</w:t>
      </w:r>
      <w:r>
        <w:t>ory oversight should align their patch management programmes with applicable frameworks and requirements. NIST SP 800-40 (Guide to Enterprise Patch Management Planning) provides detailed guidance on establishing and operating enterprise patch management pr</w:t>
      </w:r>
      <w:r>
        <w:t>ogrammes. The Center for Internet Security (CIS) Critical Security Controls identify patch management as Control 7. ISO/IEC 27001 Annex A.12.6 addresses technical vulnerability management. CISA’s Known Exploited Vulnerabilities catalogue and Binding Operat</w:t>
      </w:r>
      <w:r>
        <w:t>ional Directives for federal agencies provide authoritative prioritisation guidance applicable beyond the federal context.</w:t>
      </w:r>
    </w:p>
    <w:p w:rsidR="00911A99" w:rsidRDefault="00A27744">
      <w:r>
        <w:br w:type="page"/>
      </w:r>
    </w:p>
    <w:p w:rsidR="00911A99" w:rsidRDefault="00A27744">
      <w:pPr>
        <w:pStyle w:val="Heading1"/>
      </w:pPr>
      <w:bookmarkStart w:id="33" w:name="_Toc221832438"/>
      <w:r>
        <w:lastRenderedPageBreak/>
        <w:t>8. Measuring Patch Management Effectiveness</w:t>
      </w:r>
      <w:bookmarkEnd w:id="33"/>
    </w:p>
    <w:p w:rsidR="00911A99" w:rsidRDefault="00A27744">
      <w:pPr>
        <w:spacing w:after="160" w:line="290" w:lineRule="auto"/>
        <w:jc w:val="both"/>
      </w:pPr>
      <w:r>
        <w:t>Effective patch management programmes are measurable programmes. Without metrics, organisations cannot assess their patching performance, identify gaps, demonstrate compliance, or drive improvement. The following table defines key performance indicators an</w:t>
      </w:r>
      <w:r>
        <w:t>d indicative industry benchmarks.</w:t>
      </w:r>
    </w:p>
    <w:p w:rsidR="00911A99" w:rsidRDefault="00911A99">
      <w:pPr>
        <w:spacing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911A99">
        <w:tblPrEx>
          <w:tblCellMar>
            <w:top w:w="0" w:type="dxa"/>
            <w:bottom w:w="0" w:type="dxa"/>
          </w:tblCellMar>
        </w:tblPrEx>
        <w:trPr>
          <w:tblHeader/>
        </w:trPr>
        <w:tc>
          <w:tcPr>
            <w:tcW w:w="32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KPI / Metric</w:t>
            </w:r>
          </w:p>
        </w:tc>
        <w:tc>
          <w:tcPr>
            <w:tcW w:w="320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Definition</w:t>
            </w:r>
          </w:p>
        </w:tc>
        <w:tc>
          <w:tcPr>
            <w:tcW w:w="2960" w:type="dxa"/>
            <w:tcBorders>
              <w:top w:val="single" w:sz="1" w:space="0" w:color="B2D8D8"/>
              <w:left w:val="single" w:sz="1" w:space="0" w:color="B2D8D8"/>
              <w:bottom w:val="single" w:sz="1" w:space="0" w:color="B2D8D8"/>
              <w:right w:val="single" w:sz="1" w:space="0" w:color="B2D8D8"/>
            </w:tcBorders>
            <w:shd w:val="clear" w:color="auto" w:fill="D0ECEC"/>
            <w:tcMar>
              <w:top w:w="100" w:type="dxa"/>
              <w:left w:w="150" w:type="dxa"/>
              <w:bottom w:w="100" w:type="dxa"/>
              <w:right w:w="150" w:type="dxa"/>
            </w:tcMar>
            <w:vAlign w:val="center"/>
          </w:tcPr>
          <w:p w:rsidR="00911A99" w:rsidRDefault="00A27744">
            <w:r>
              <w:rPr>
                <w:b/>
                <w:bCs/>
                <w:color w:val="0F2D4F"/>
                <w:sz w:val="20"/>
                <w:szCs w:val="20"/>
              </w:rPr>
              <w:t>Industry Benchmark</w:t>
            </w:r>
          </w:p>
        </w:tc>
      </w:tr>
      <w:tr w:rsidR="00911A99">
        <w:tblPrEx>
          <w:tblCellMar>
            <w:top w:w="0" w:type="dxa"/>
            <w:bottom w:w="0" w:type="dxa"/>
          </w:tblCellMar>
        </w:tblPrEx>
        <w:tc>
          <w:tcPr>
            <w:tcW w:w="3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Mean Time to Patch (MTTP)</w:t>
            </w:r>
          </w:p>
        </w:tc>
        <w:tc>
          <w:tcPr>
            <w:tcW w:w="3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Average elapsed time from patch release to full deployment</w:t>
            </w:r>
          </w:p>
        </w:tc>
        <w:tc>
          <w:tcPr>
            <w:tcW w:w="29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≤16 days (critical); ≤30 days (high)</w:t>
            </w:r>
          </w:p>
        </w:tc>
      </w:tr>
      <w:tr w:rsidR="00911A99">
        <w:tblPrEx>
          <w:tblCellMar>
            <w:top w:w="0" w:type="dxa"/>
            <w:bottom w:w="0" w:type="dxa"/>
          </w:tblCellMar>
        </w:tblPrEx>
        <w:tc>
          <w:tcPr>
            <w:tcW w:w="3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Patch Coverage Rate</w:t>
            </w:r>
          </w:p>
        </w:tc>
        <w:tc>
          <w:tcPr>
            <w:tcW w:w="3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 of in-scope assets with patch deployed</w:t>
            </w:r>
          </w:p>
        </w:tc>
        <w:tc>
          <w:tcPr>
            <w:tcW w:w="296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≥95% within SLA window</w:t>
            </w:r>
          </w:p>
        </w:tc>
      </w:tr>
      <w:tr w:rsidR="00911A99">
        <w:tblPrEx>
          <w:tblCellMar>
            <w:top w:w="0" w:type="dxa"/>
            <w:bottom w:w="0" w:type="dxa"/>
          </w:tblCellMar>
        </w:tblPrEx>
        <w:tc>
          <w:tcPr>
            <w:tcW w:w="3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Vulnerability Recurrence Rate</w:t>
            </w:r>
          </w:p>
        </w:tc>
        <w:tc>
          <w:tcPr>
            <w:tcW w:w="3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 of previously patched vulns re-appearing in scans</w:t>
            </w:r>
          </w:p>
        </w:tc>
        <w:tc>
          <w:tcPr>
            <w:tcW w:w="29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&lt;3% per quarter</w:t>
            </w:r>
          </w:p>
        </w:tc>
      </w:tr>
      <w:tr w:rsidR="00911A99">
        <w:tblPrEx>
          <w:tblCellMar>
            <w:top w:w="0" w:type="dxa"/>
            <w:bottom w:w="0" w:type="dxa"/>
          </w:tblCellMar>
        </w:tblPrEx>
        <w:tc>
          <w:tcPr>
            <w:tcW w:w="3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Patch Rollback Rate</w:t>
            </w:r>
          </w:p>
        </w:tc>
        <w:tc>
          <w:tcPr>
            <w:tcW w:w="3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 of patches requiring rollback due to instability</w:t>
            </w:r>
          </w:p>
        </w:tc>
        <w:tc>
          <w:tcPr>
            <w:tcW w:w="296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&lt;2%</w:t>
            </w:r>
          </w:p>
        </w:tc>
      </w:tr>
      <w:tr w:rsidR="00911A99">
        <w:tblPrEx>
          <w:tblCellMar>
            <w:top w:w="0" w:type="dxa"/>
            <w:bottom w:w="0" w:type="dxa"/>
          </w:tblCellMar>
        </w:tblPrEx>
        <w:tc>
          <w:tcPr>
            <w:tcW w:w="3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Critical Vulnerability Exposure Window</w:t>
            </w:r>
          </w:p>
        </w:tc>
        <w:tc>
          <w:tcPr>
            <w:tcW w:w="320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Days a critical CVE remains unpatched in production</w:t>
            </w:r>
          </w:p>
        </w:tc>
        <w:tc>
          <w:tcPr>
            <w:tcW w:w="2960" w:type="dxa"/>
            <w:tcBorders>
              <w:top w:val="single" w:sz="1" w:space="0" w:color="B2D8D8"/>
              <w:left w:val="single" w:sz="1" w:space="0" w:color="B2D8D8"/>
              <w:bottom w:val="single" w:sz="1" w:space="0" w:color="B2D8D8"/>
              <w:right w:val="single" w:sz="1" w:space="0" w:color="B2D8D8"/>
            </w:tcBorders>
            <w:shd w:val="clear" w:color="auto" w:fill="F0F7F7"/>
            <w:tcMar>
              <w:top w:w="80" w:type="dxa"/>
              <w:left w:w="150" w:type="dxa"/>
              <w:bottom w:w="80" w:type="dxa"/>
              <w:right w:w="150" w:type="dxa"/>
            </w:tcMar>
          </w:tcPr>
          <w:p w:rsidR="00911A99" w:rsidRDefault="00A27744">
            <w:r>
              <w:rPr>
                <w:sz w:val="20"/>
                <w:szCs w:val="20"/>
              </w:rPr>
              <w:t>≤1 day (zero-day); ≤2 days (critical release)</w:t>
            </w:r>
          </w:p>
        </w:tc>
      </w:tr>
      <w:tr w:rsidR="00911A99">
        <w:tblPrEx>
          <w:tblCellMar>
            <w:top w:w="0" w:type="dxa"/>
            <w:bottom w:w="0" w:type="dxa"/>
          </w:tblCellMar>
        </w:tblPrEx>
        <w:tc>
          <w:tcPr>
            <w:tcW w:w="3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End-of-Life Asset Ratio</w:t>
            </w:r>
          </w:p>
        </w:tc>
        <w:tc>
          <w:tcPr>
            <w:tcW w:w="320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 of assets running unsupported / unpatched OS or software</w:t>
            </w:r>
          </w:p>
        </w:tc>
        <w:tc>
          <w:tcPr>
            <w:tcW w:w="2960" w:type="dxa"/>
            <w:tcBorders>
              <w:top w:val="single" w:sz="1" w:space="0" w:color="B2D8D8"/>
              <w:left w:val="single" w:sz="1" w:space="0" w:color="B2D8D8"/>
              <w:bottom w:val="single" w:sz="1" w:space="0" w:color="B2D8D8"/>
              <w:right w:val="single" w:sz="1" w:space="0" w:color="B2D8D8"/>
            </w:tcBorders>
            <w:shd w:val="clear" w:color="auto" w:fill="FFFFFF"/>
            <w:tcMar>
              <w:top w:w="80" w:type="dxa"/>
              <w:left w:w="150" w:type="dxa"/>
              <w:bottom w:w="80" w:type="dxa"/>
              <w:right w:w="150" w:type="dxa"/>
            </w:tcMar>
          </w:tcPr>
          <w:p w:rsidR="00911A99" w:rsidRDefault="00A27744">
            <w:r>
              <w:rPr>
                <w:sz w:val="20"/>
                <w:szCs w:val="20"/>
              </w:rPr>
              <w:t>&lt;1% of total asset inventory</w:t>
            </w:r>
          </w:p>
        </w:tc>
      </w:tr>
    </w:tbl>
    <w:p w:rsidR="00911A99" w:rsidRDefault="00911A99">
      <w:pPr>
        <w:spacing w:after="120"/>
      </w:pPr>
    </w:p>
    <w:p w:rsidR="00911A99" w:rsidRDefault="00A27744">
      <w:pPr>
        <w:pStyle w:val="Heading2"/>
      </w:pPr>
      <w:bookmarkStart w:id="34" w:name="_Toc221832439"/>
      <w:r>
        <w:t>8.1 Patch Management Maturity Levels</w:t>
      </w:r>
      <w:bookmarkEnd w:id="34"/>
    </w:p>
    <w:p w:rsidR="00911A99" w:rsidRDefault="00A27744">
      <w:pPr>
        <w:spacing w:after="160" w:line="290" w:lineRule="auto"/>
        <w:jc w:val="both"/>
      </w:pPr>
      <w:r>
        <w:t>Patch management maturity can be assessed against a five-level model analogous to the Capability Maturity Model Integration (CMMI) framework.</w:t>
      </w:r>
    </w:p>
    <w:p w:rsidR="00911A99" w:rsidRDefault="00911A99">
      <w:pPr>
        <w:spacing w:after="80"/>
      </w:pPr>
    </w:p>
    <w:p w:rsidR="00911A99" w:rsidRDefault="00A27744">
      <w:pPr>
        <w:pStyle w:val="Heading3"/>
      </w:pPr>
      <w:bookmarkStart w:id="35" w:name="_Toc221832440"/>
      <w:r>
        <w:t>Level 1: Initial (Ad Hoc)</w:t>
      </w:r>
      <w:bookmarkEnd w:id="35"/>
    </w:p>
    <w:p w:rsidR="00911A99" w:rsidRDefault="00A27744">
      <w:pPr>
        <w:spacing w:after="160" w:line="290" w:lineRule="auto"/>
        <w:jc w:val="both"/>
      </w:pPr>
      <w:r>
        <w:t>Patching occurs reactively, driven by incidents or individual initiative rather than systematic process. Asset inventory is incomplete. No defined SLAs exist. Patch coverage is unknown and verification is absent. This level characterises organisations that</w:t>
      </w:r>
      <w:r>
        <w:t xml:space="preserve"> have experienced or are at high risk of patch-related security incidents.</w:t>
      </w:r>
    </w:p>
    <w:p w:rsidR="00911A99" w:rsidRDefault="00A27744">
      <w:pPr>
        <w:pStyle w:val="Heading3"/>
      </w:pPr>
      <w:bookmarkStart w:id="36" w:name="_Toc221832441"/>
      <w:r>
        <w:t>Level 2: Managed</w:t>
      </w:r>
      <w:bookmarkEnd w:id="36"/>
    </w:p>
    <w:p w:rsidR="00911A99" w:rsidRDefault="00A27744">
      <w:pPr>
        <w:spacing w:after="160" w:line="290" w:lineRule="auto"/>
        <w:jc w:val="both"/>
      </w:pPr>
      <w:r>
        <w:t>Basic patch management processes exist and are documented. Regular scanning identifies vulnerabilities. Patching occurs on some schedule, though coverage may be inc</w:t>
      </w:r>
      <w:r>
        <w:t>omplete and SLAs inconsistently enforced. Reporting is periodic but not real-time. Most organisations with active IT operations land at this level without deliberate programme investment.</w:t>
      </w:r>
    </w:p>
    <w:p w:rsidR="00911A99" w:rsidRDefault="00A27744">
      <w:pPr>
        <w:pStyle w:val="Heading3"/>
      </w:pPr>
      <w:bookmarkStart w:id="37" w:name="_Toc221832442"/>
      <w:r>
        <w:t>Level 3: Defined</w:t>
      </w:r>
      <w:bookmarkEnd w:id="37"/>
    </w:p>
    <w:p w:rsidR="00911A99" w:rsidRDefault="00A27744">
      <w:pPr>
        <w:spacing w:after="160" w:line="290" w:lineRule="auto"/>
        <w:jc w:val="both"/>
      </w:pPr>
      <w:r>
        <w:lastRenderedPageBreak/>
        <w:t>Comprehensive, documented patch management policies</w:t>
      </w:r>
      <w:r>
        <w:t xml:space="preserve"> and procedures cover all asset classes. Roles and responsibilities are clearly assigned. Risk-based prioritisation is applied consistently. Automated tooling supports deployment and tracking. Metrics are collected and reported to leadership. Compliance wi</w:t>
      </w:r>
      <w:r>
        <w:t>th regulatory requirements is demonstrable.</w:t>
      </w:r>
    </w:p>
    <w:p w:rsidR="00911A99" w:rsidRDefault="00A27744">
      <w:pPr>
        <w:pStyle w:val="Heading3"/>
      </w:pPr>
      <w:bookmarkStart w:id="38" w:name="_Toc221832443"/>
      <w:r>
        <w:t>Level 4: Quantitatively Managed</w:t>
      </w:r>
      <w:bookmarkEnd w:id="38"/>
    </w:p>
    <w:p w:rsidR="00911A99" w:rsidRDefault="00A27744">
      <w:pPr>
        <w:spacing w:after="160" w:line="290" w:lineRule="auto"/>
        <w:jc w:val="both"/>
      </w:pPr>
      <w:r>
        <w:t>Patch management performance is quantitatively tracked against defined targets. Trend analysis drives continuous improvement. Exception management processes handle cases outside no</w:t>
      </w:r>
      <w:r>
        <w:t>rmal parameters. Integration with vulnerability management, change management, and risk management processes is mature. Patch management data informs broader security risk assessments.</w:t>
      </w:r>
    </w:p>
    <w:p w:rsidR="00911A99" w:rsidRDefault="00A27744">
      <w:pPr>
        <w:pStyle w:val="Heading3"/>
      </w:pPr>
      <w:bookmarkStart w:id="39" w:name="_Toc221832444"/>
      <w:r>
        <w:t>Level 5: Optimising</w:t>
      </w:r>
      <w:bookmarkEnd w:id="39"/>
    </w:p>
    <w:p w:rsidR="00911A99" w:rsidRDefault="00A27744">
      <w:pPr>
        <w:spacing w:after="160" w:line="290" w:lineRule="auto"/>
        <w:jc w:val="both"/>
      </w:pPr>
      <w:r>
        <w:t>Patch management is continuously improved through systematic analysis of performance data, incident learning, and proactive adoption of new capabilities. Automation is maximised, covering cloud-native and containerised workloads alongside traditional endpo</w:t>
      </w:r>
      <w:r>
        <w:t>ints. Supply chain visibility through SBOMs and SCA is integrated into the patching workflow. The programme adapts rapidly to novel vulnerability types and emerging threat intelligence.</w:t>
      </w:r>
    </w:p>
    <w:p w:rsidR="00911A99" w:rsidRDefault="00A27744">
      <w:r>
        <w:br w:type="page"/>
      </w:r>
    </w:p>
    <w:p w:rsidR="00911A99" w:rsidRDefault="00A27744">
      <w:pPr>
        <w:pStyle w:val="Heading1"/>
      </w:pPr>
      <w:bookmarkStart w:id="40" w:name="_Toc221832445"/>
      <w:r>
        <w:lastRenderedPageBreak/>
        <w:t>9. Emerging Trends in Patch Management</w:t>
      </w:r>
      <w:bookmarkEnd w:id="40"/>
    </w:p>
    <w:p w:rsidR="00911A99" w:rsidRDefault="00A27744">
      <w:pPr>
        <w:pStyle w:val="Heading2"/>
      </w:pPr>
      <w:bookmarkStart w:id="41" w:name="_Toc221832446"/>
      <w:r>
        <w:t>9.1 AI-Assisted Vulnerability</w:t>
      </w:r>
      <w:r>
        <w:t xml:space="preserve"> Prioritisation</w:t>
      </w:r>
      <w:bookmarkEnd w:id="41"/>
    </w:p>
    <w:p w:rsidR="00911A99" w:rsidRDefault="00A27744">
      <w:pPr>
        <w:spacing w:after="160" w:line="290" w:lineRule="auto"/>
        <w:jc w:val="both"/>
      </w:pPr>
      <w:r>
        <w:t>Machine learning models are being applied to vulnerability prioritisation to move beyond simple CVSS scoring toward more accurate prediction of which vulnerabilities will be actively exploited. Systems such as the Exploit Prediction Scoring</w:t>
      </w:r>
      <w:r>
        <w:t xml:space="preserve"> System (EPSS) use machine learning trained on historical exploitation patterns to assign probability scores to individual CVEs, enabling defenders to focus patching effort on vulnerabilities most likely to be weaponised. Early data suggests EPSS significa</w:t>
      </w:r>
      <w:r>
        <w:t>ntly outperforms CVSS-based prioritisation for predicting actual exploitation.</w:t>
      </w:r>
    </w:p>
    <w:p w:rsidR="00911A99" w:rsidRDefault="00A27744">
      <w:pPr>
        <w:pStyle w:val="Heading2"/>
      </w:pPr>
      <w:bookmarkStart w:id="42" w:name="_Toc221832447"/>
      <w:r>
        <w:t>9.2 Continuous Patch Validation</w:t>
      </w:r>
      <w:bookmarkEnd w:id="42"/>
    </w:p>
    <w:p w:rsidR="00911A99" w:rsidRDefault="00A27744">
      <w:pPr>
        <w:spacing w:after="160" w:line="290" w:lineRule="auto"/>
        <w:jc w:val="both"/>
      </w:pPr>
      <w:r>
        <w:t>Traditional patch management verifies deployment at a point in time after patching. Continuous validation maintains ongoing confirmation that pat</w:t>
      </w:r>
      <w:r>
        <w:t>ches remain applied across the entire asset inventory, detecting regression—where previously patched systems return to vulnerable states through image rollback, misconfiguration, or policy failure. Cloud security posture management (CSPM) and endpoint dete</w:t>
      </w:r>
      <w:r>
        <w:t>ction and response (EDR) platforms increasingly provide continuous vulnerability state visibility as a core capability.</w:t>
      </w:r>
    </w:p>
    <w:p w:rsidR="00911A99" w:rsidRDefault="00A27744">
      <w:pPr>
        <w:pStyle w:val="Heading2"/>
      </w:pPr>
      <w:bookmarkStart w:id="43" w:name="_Toc221832448"/>
      <w:r>
        <w:t>9.3 Operational Technology and IoT Patching</w:t>
      </w:r>
      <w:bookmarkEnd w:id="43"/>
    </w:p>
    <w:p w:rsidR="00911A99" w:rsidRDefault="00A27744">
      <w:pPr>
        <w:spacing w:after="160" w:line="290" w:lineRule="auto"/>
        <w:jc w:val="both"/>
      </w:pPr>
      <w:r>
        <w:t>The convergence of information technology and operational technology has brought patch manag</w:t>
      </w:r>
      <w:r>
        <w:t>ement challenges to industrial control systems, manufacturing equipment, building management systems, and medical devices that were previously isolated from IT patching processes. OT systems often run proprietary operating systems with limited vendor patch</w:t>
      </w:r>
      <w:r>
        <w:t xml:space="preserve"> support, have extreme availability requirements, and may have safety implications that make uncontrolled patching genuinely dangerous. Specialised OT patch management frameworks and tools are emerging to address these environments, but the discipline rema</w:t>
      </w:r>
      <w:r>
        <w:t>ins significantly less mature than IT patch management.</w:t>
      </w:r>
    </w:p>
    <w:p w:rsidR="00911A99" w:rsidRDefault="00A27744">
      <w:pPr>
        <w:pStyle w:val="Heading2"/>
      </w:pPr>
      <w:bookmarkStart w:id="44" w:name="_Toc221832449"/>
      <w:r>
        <w:t>9.4 Vendor Patching Velocity and Coordinated Disclosure</w:t>
      </w:r>
      <w:bookmarkEnd w:id="44"/>
    </w:p>
    <w:p w:rsidR="00911A99" w:rsidRDefault="00A27744">
      <w:pPr>
        <w:spacing w:after="160" w:line="290" w:lineRule="auto"/>
        <w:jc w:val="both"/>
      </w:pPr>
      <w:r>
        <w:t>The time between vulnerability discovery and public disclosure—and the time between disclosure and patch release—continues to compress. Coordina</w:t>
      </w:r>
      <w:r>
        <w:t>ted vulnerability disclosure programmes, bug bounty platforms, and the threat of zero-day exploitation have accelerated vendor patching velocity. Simultaneously, the period between patch release and exploitation has shortened as attackers automate vulnerab</w:t>
      </w:r>
      <w:r>
        <w:t>ility scanning and exploit development. Organisations face both a shorter window between patch release and exploitation and more patches released in rapid succession, increasing the operational tempo required to maintain adequate patch currency.</w:t>
      </w:r>
    </w:p>
    <w:p w:rsidR="00911A99" w:rsidRDefault="00A27744">
      <w:pPr>
        <w:pStyle w:val="Heading2"/>
      </w:pPr>
      <w:bookmarkStart w:id="45" w:name="_Toc221832450"/>
      <w:r>
        <w:t xml:space="preserve">9.5 Patch </w:t>
      </w:r>
      <w:r>
        <w:t>Management in AI and Machine Learning Systems</w:t>
      </w:r>
      <w:bookmarkEnd w:id="45"/>
    </w:p>
    <w:p w:rsidR="00911A99" w:rsidRDefault="00A27744">
      <w:pPr>
        <w:spacing w:after="160" w:line="290" w:lineRule="auto"/>
        <w:jc w:val="both"/>
      </w:pPr>
      <w:r>
        <w:t xml:space="preserve">As organisations deploy AI and machine learning infrastructure including model serving platforms, training environments, and AI-integrated applications, the patch management surface expands to </w:t>
      </w:r>
      <w:r>
        <w:lastRenderedPageBreak/>
        <w:t>include AI-specif</w:t>
      </w:r>
      <w:r>
        <w:t>ic components: ML frameworks such as PyTorch and TensorFlow, model serving infrastructure, vector databases, and orchestration platforms. Vulnerabilities in these components can enable data poisoning, model extraction, and system compromise. Extending patc</w:t>
      </w:r>
      <w:r>
        <w:t>h management disciplines to AI/ML infrastructure is an emerging requirement that many organisations have not yet formalised.</w:t>
      </w:r>
    </w:p>
    <w:p w:rsidR="00911A99" w:rsidRDefault="00A27744">
      <w:pPr>
        <w:pStyle w:val="Heading1"/>
      </w:pPr>
      <w:bookmarkStart w:id="46" w:name="_Toc221832451"/>
      <w:r>
        <w:t>10. Conclusion and Recommendations</w:t>
      </w:r>
      <w:bookmarkEnd w:id="46"/>
    </w:p>
    <w:p w:rsidR="00911A99" w:rsidRDefault="00A27744">
      <w:pPr>
        <w:pStyle w:val="Heading2"/>
      </w:pPr>
      <w:bookmarkStart w:id="47" w:name="_Toc221832452"/>
      <w:r>
        <w:t>10.1 Conclusion</w:t>
      </w:r>
      <w:bookmarkEnd w:id="47"/>
    </w:p>
    <w:p w:rsidR="00911A99" w:rsidRDefault="00A27744">
      <w:pPr>
        <w:spacing w:after="160" w:line="290" w:lineRule="auto"/>
        <w:jc w:val="both"/>
      </w:pPr>
      <w:r>
        <w:t>Patch management is not glamorous. It lacks the sophistication of threat hunting</w:t>
      </w:r>
      <w:r>
        <w:t>, the drama of incident response, or the strategic complexity of security architecture. But it is, by the evidence of a decade of breach investigations and incident analyses, among the most impactful security practices available to organisations of any siz</w:t>
      </w:r>
      <w:r>
        <w:t>e. The persistent exploitation of known, patchable vulnerabilities—to which WannaCry, Equifax, Log4Shell, and dozens of other major incidents attest—demonstrates that the gap between vulnerability disclosure and patch deployment remains the most reliably e</w:t>
      </w:r>
      <w:r>
        <w:t>xploited terrain in the cybersecurity landscape.</w:t>
      </w:r>
    </w:p>
    <w:p w:rsidR="00911A99" w:rsidRDefault="00911A99">
      <w:pPr>
        <w:spacing w:after="60"/>
      </w:pPr>
    </w:p>
    <w:p w:rsidR="00911A99" w:rsidRDefault="00A27744">
      <w:pPr>
        <w:spacing w:after="160" w:line="290" w:lineRule="auto"/>
        <w:jc w:val="both"/>
      </w:pPr>
      <w:r>
        <w:t>Closing that gap requires more than good intentions. It requires comprehensive asset visibility, risk-based prioritisation frameworks, testing capabilities that enable confident rapid deployment, automation</w:t>
      </w:r>
      <w:r>
        <w:t xml:space="preserve"> that scales with enterprise complexity, clear accountability structures, and a security culture that treats patching as the primary security investment it empirically is. Organisations that build these capabilities make themselves dramatically harder to c</w:t>
      </w:r>
      <w:r>
        <w:t>ompromise and reduce their exposure to the majority of technically exploited vulnerabilities that affect their peers.</w:t>
      </w:r>
    </w:p>
    <w:p w:rsidR="00911A99" w:rsidRDefault="00911A99">
      <w:pPr>
        <w:spacing w:after="80"/>
      </w:pPr>
    </w:p>
    <w:p w:rsidR="00911A99" w:rsidRDefault="00A27744">
      <w:pPr>
        <w:pBdr>
          <w:left w:val="thick" w:sz="24" w:space="0" w:color="0D7377"/>
        </w:pBdr>
        <w:spacing w:before="100" w:after="100"/>
        <w:ind w:left="400"/>
      </w:pPr>
      <w:r>
        <w:rPr>
          <w:b/>
          <w:bCs/>
          <w:color w:val="0D7377"/>
        </w:rPr>
        <w:t xml:space="preserve">Final Observation: </w:t>
      </w:r>
      <w:r>
        <w:rPr>
          <w:i/>
          <w:iCs/>
        </w:rPr>
        <w:t>An attacker who finds one unpatched system needs only that one. An organisation that patches 99% of its estate has giv</w:t>
      </w:r>
      <w:r>
        <w:rPr>
          <w:i/>
          <w:iCs/>
        </w:rPr>
        <w:t>en that attacker the 1%. Patch management must aspire to completeness, not adequacy.</w:t>
      </w:r>
    </w:p>
    <w:p w:rsidR="00911A99" w:rsidRDefault="00911A99">
      <w:pPr>
        <w:spacing w:after="80"/>
      </w:pPr>
    </w:p>
    <w:p w:rsidR="00911A99" w:rsidRDefault="00A27744">
      <w:pPr>
        <w:pStyle w:val="Heading2"/>
      </w:pPr>
      <w:bookmarkStart w:id="48" w:name="_Toc221832453"/>
      <w:r>
        <w:t>10.2 Strategic Recommendations</w:t>
      </w:r>
      <w:bookmarkEnd w:id="48"/>
    </w:p>
    <w:p w:rsidR="00911A99" w:rsidRDefault="00A27744">
      <w:pPr>
        <w:pStyle w:val="ListParagraph"/>
        <w:numPr>
          <w:ilvl w:val="0"/>
          <w:numId w:val="2"/>
        </w:numPr>
        <w:spacing w:before="50" w:after="50"/>
      </w:pPr>
      <w:r>
        <w:t>Establish a formal, documented patch management policy defining SLAs by severity, ownership responsibilities across all asset classes, exception handling procedures, and executive reporting requirements.</w:t>
      </w:r>
    </w:p>
    <w:p w:rsidR="00911A99" w:rsidRDefault="00A27744">
      <w:pPr>
        <w:pStyle w:val="ListParagraph"/>
        <w:numPr>
          <w:ilvl w:val="0"/>
          <w:numId w:val="2"/>
        </w:numPr>
        <w:spacing w:before="50" w:after="50"/>
      </w:pPr>
      <w:r>
        <w:t>Invest in comprehensive, continuously updated asset inventory as the non-negotiable foundation for all vulnerability and patch management activities. Organisations cannot patch what they cannot see.</w:t>
      </w:r>
    </w:p>
    <w:p w:rsidR="00911A99" w:rsidRDefault="00A27744">
      <w:pPr>
        <w:pStyle w:val="ListParagraph"/>
        <w:numPr>
          <w:ilvl w:val="0"/>
          <w:numId w:val="2"/>
        </w:numPr>
        <w:spacing w:before="50" w:after="50"/>
      </w:pPr>
      <w:r>
        <w:t xml:space="preserve">Adopt risk-based prioritisation integrating CVSS scores, </w:t>
      </w:r>
      <w:r>
        <w:t>threat intelligence (including CISA KEV and EPSS), asset criticality, and network exposure rather than relying on CVSS alone.</w:t>
      </w:r>
    </w:p>
    <w:p w:rsidR="00911A99" w:rsidRDefault="00A27744">
      <w:pPr>
        <w:pStyle w:val="ListParagraph"/>
        <w:numPr>
          <w:ilvl w:val="0"/>
          <w:numId w:val="2"/>
        </w:numPr>
        <w:spacing w:before="50" w:after="50"/>
      </w:pPr>
      <w:r>
        <w:lastRenderedPageBreak/>
        <w:t>Automate patch deployment, scanning, verification, and reporting for all environments where automation is technically feasible, re</w:t>
      </w:r>
      <w:r>
        <w:t>serving manual processes for exceptional cases requiring special handling.</w:t>
      </w:r>
    </w:p>
    <w:p w:rsidR="00911A99" w:rsidRDefault="00A27744">
      <w:pPr>
        <w:pStyle w:val="ListParagraph"/>
        <w:numPr>
          <w:ilvl w:val="0"/>
          <w:numId w:val="2"/>
        </w:numPr>
        <w:spacing w:before="50" w:after="50"/>
      </w:pPr>
      <w:r>
        <w:t>Implement robust testing environments that mirror production configurations, enabling rapid patch validation without requiring extended testing windows for urgent security patches.</w:t>
      </w:r>
    </w:p>
    <w:p w:rsidR="00911A99" w:rsidRDefault="00A27744">
      <w:pPr>
        <w:pStyle w:val="ListParagraph"/>
        <w:numPr>
          <w:ilvl w:val="0"/>
          <w:numId w:val="2"/>
        </w:numPr>
        <w:spacing w:before="50" w:after="50"/>
      </w:pPr>
      <w:r>
        <w:t>Develop and validate rollback procedures for all systems before deploying patches, converting patch stability concerns from barriers into manageable risks.</w:t>
      </w:r>
    </w:p>
    <w:p w:rsidR="00911A99" w:rsidRDefault="00A27744">
      <w:pPr>
        <w:pStyle w:val="ListParagraph"/>
        <w:numPr>
          <w:ilvl w:val="0"/>
          <w:numId w:val="2"/>
        </w:numPr>
        <w:spacing w:before="50" w:after="50"/>
      </w:pPr>
      <w:r>
        <w:t xml:space="preserve">Extend patch management coverage to cloud workloads, containers, OT systems, and third-party/vendor </w:t>
      </w:r>
      <w:r>
        <w:t>software—ensuring no asset class operates outside programme scope.</w:t>
      </w:r>
    </w:p>
    <w:p w:rsidR="00911A99" w:rsidRDefault="00A27744">
      <w:pPr>
        <w:pStyle w:val="ListParagraph"/>
        <w:numPr>
          <w:ilvl w:val="0"/>
          <w:numId w:val="2"/>
        </w:numPr>
        <w:spacing w:before="50" w:after="50"/>
      </w:pPr>
      <w:r>
        <w:t>Adopt software composition analysis and require SBOMs from software vendors to gain visibility into transitive dependencies and accelerate response to supply-chain vulnerabilities.</w:t>
      </w:r>
    </w:p>
    <w:p w:rsidR="00911A99" w:rsidRDefault="00A27744">
      <w:pPr>
        <w:pStyle w:val="ListParagraph"/>
        <w:numPr>
          <w:ilvl w:val="0"/>
          <w:numId w:val="2"/>
        </w:numPr>
        <w:spacing w:before="50" w:after="50"/>
      </w:pPr>
      <w:r>
        <w:t>Define a</w:t>
      </w:r>
      <w:r>
        <w:t>nd measure programme performance against KPIs including MTTP, patch coverage rate, and critical exposure window, reporting metrics to security leadership and the board on a regular cadence.</w:t>
      </w:r>
    </w:p>
    <w:p w:rsidR="00911A99" w:rsidRDefault="00A27744">
      <w:pPr>
        <w:pStyle w:val="ListParagraph"/>
        <w:numPr>
          <w:ilvl w:val="0"/>
          <w:numId w:val="2"/>
        </w:numPr>
        <w:spacing w:before="50" w:after="50"/>
      </w:pPr>
      <w:r>
        <w:t>Conduct periodic red team or penetration testing exercises that sp</w:t>
      </w:r>
      <w:r>
        <w:t>ecifically target unpatched vulnerabilities to empirically validate programme effectiveness and identify gaps invisible to internal scanning.</w:t>
      </w:r>
    </w:p>
    <w:p w:rsidR="00911A99" w:rsidRDefault="00A27744">
      <w:r>
        <w:br w:type="page"/>
      </w:r>
    </w:p>
    <w:p w:rsidR="00911A99" w:rsidRDefault="00A27744">
      <w:pPr>
        <w:pStyle w:val="Heading1"/>
      </w:pPr>
      <w:bookmarkStart w:id="49" w:name="_Toc221832454"/>
      <w:r>
        <w:lastRenderedPageBreak/>
        <w:t>References and Further Reading</w:t>
      </w:r>
      <w:bookmarkEnd w:id="49"/>
    </w:p>
    <w:p w:rsidR="00911A99" w:rsidRDefault="00A27744">
      <w:pPr>
        <w:spacing w:after="160" w:line="290" w:lineRule="auto"/>
        <w:jc w:val="both"/>
      </w:pPr>
      <w:r>
        <w:t>CISA. (2024). Known Exploited Vulnerabilities Catalog. Cybersecurity and Infrastr</w:t>
      </w:r>
      <w:r>
        <w:t>ucture Security Agency. https://www.cisa.gov/known-exploited-vulnerabilities-catalog</w:t>
      </w:r>
    </w:p>
    <w:p w:rsidR="00911A99" w:rsidRDefault="00911A99">
      <w:pPr>
        <w:spacing w:after="40"/>
      </w:pPr>
    </w:p>
    <w:p w:rsidR="00911A99" w:rsidRDefault="00A27744">
      <w:pPr>
        <w:spacing w:after="160" w:line="290" w:lineRule="auto"/>
        <w:jc w:val="both"/>
      </w:pPr>
      <w:r>
        <w:t>CISA. (2023). Binding Operational Directive 22-01: Reducing the Significant Risk of Known Exploited Vulnerabilities. Cybersecurity and Infrastructure Security Agency.</w:t>
      </w:r>
    </w:p>
    <w:p w:rsidR="00911A99" w:rsidRDefault="00911A99">
      <w:pPr>
        <w:spacing w:after="40"/>
      </w:pPr>
    </w:p>
    <w:p w:rsidR="00911A99" w:rsidRDefault="00A27744">
      <w:pPr>
        <w:spacing w:after="160" w:line="290" w:lineRule="auto"/>
        <w:jc w:val="both"/>
      </w:pPr>
      <w:r>
        <w:t>Fe</w:t>
      </w:r>
      <w:r>
        <w:t>deral Trade Commission. (2019). Equifax Data Breach Settlement. FTC Consumer Information.</w:t>
      </w:r>
    </w:p>
    <w:p w:rsidR="00911A99" w:rsidRDefault="00911A99">
      <w:pPr>
        <w:spacing w:after="40"/>
      </w:pPr>
    </w:p>
    <w:p w:rsidR="00911A99" w:rsidRDefault="00A27744">
      <w:pPr>
        <w:spacing w:after="160" w:line="290" w:lineRule="auto"/>
        <w:jc w:val="both"/>
      </w:pPr>
      <w:r>
        <w:t>FIRST.org. (2023). Common Vulnerability Scoring System v3.1 Specification Document. Forum of Incident Response and Security Teams.</w:t>
      </w:r>
    </w:p>
    <w:p w:rsidR="00911A99" w:rsidRDefault="00911A99">
      <w:pPr>
        <w:spacing w:after="40"/>
      </w:pPr>
    </w:p>
    <w:p w:rsidR="00911A99" w:rsidRDefault="00A27744">
      <w:pPr>
        <w:spacing w:after="160" w:line="290" w:lineRule="auto"/>
        <w:jc w:val="both"/>
      </w:pPr>
      <w:r>
        <w:t>FIRST.org. (2023). Exploit Predic</w:t>
      </w:r>
      <w:r>
        <w:t>tion Scoring System (EPSS). Forum of Incident Response and Security Teams.</w:t>
      </w:r>
    </w:p>
    <w:p w:rsidR="00911A99" w:rsidRDefault="00911A99">
      <w:pPr>
        <w:spacing w:after="40"/>
      </w:pPr>
    </w:p>
    <w:p w:rsidR="00911A99" w:rsidRDefault="00A27744">
      <w:pPr>
        <w:spacing w:after="160" w:line="290" w:lineRule="auto"/>
        <w:jc w:val="both"/>
      </w:pPr>
      <w:r>
        <w:t>IBM Security. (2023). Cost of a Data Breach Report 2023. IBM Corporation.</w:t>
      </w:r>
    </w:p>
    <w:p w:rsidR="00911A99" w:rsidRDefault="00911A99">
      <w:pPr>
        <w:spacing w:after="40"/>
      </w:pPr>
    </w:p>
    <w:p w:rsidR="00911A99" w:rsidRDefault="00A27744">
      <w:pPr>
        <w:spacing w:after="160" w:line="290" w:lineRule="auto"/>
        <w:jc w:val="both"/>
      </w:pPr>
      <w:r>
        <w:t>National Cyber Security Centre. (2021). WannaCry Ransomware: What You Need to Know. NCSC UK.</w:t>
      </w:r>
    </w:p>
    <w:p w:rsidR="00911A99" w:rsidRDefault="00911A99">
      <w:pPr>
        <w:spacing w:after="40"/>
      </w:pPr>
    </w:p>
    <w:p w:rsidR="00911A99" w:rsidRDefault="00A27744">
      <w:pPr>
        <w:spacing w:after="160" w:line="290" w:lineRule="auto"/>
        <w:jc w:val="both"/>
      </w:pPr>
      <w:r>
        <w:t>NIST. (2022</w:t>
      </w:r>
      <w:r>
        <w:t>). SP 800-40 Rev. 4: Guide to Enterprise Patch Management Planning: Preventive Maintenance for Technology. National Institute of Standards and Technology.</w:t>
      </w:r>
    </w:p>
    <w:p w:rsidR="00911A99" w:rsidRDefault="00911A99">
      <w:pPr>
        <w:spacing w:after="40"/>
      </w:pPr>
    </w:p>
    <w:p w:rsidR="00911A99" w:rsidRDefault="00A27744">
      <w:pPr>
        <w:spacing w:after="160" w:line="290" w:lineRule="auto"/>
        <w:jc w:val="both"/>
      </w:pPr>
      <w:r>
        <w:t>NIST. (2018). Framework for Improving Critical Infrastructure Cybersecurity (CSF v1.1). National Institute of Standards and Technology.</w:t>
      </w:r>
    </w:p>
    <w:p w:rsidR="00911A99" w:rsidRDefault="00911A99">
      <w:pPr>
        <w:spacing w:after="40"/>
      </w:pPr>
    </w:p>
    <w:p w:rsidR="00911A99" w:rsidRDefault="00A27744">
      <w:pPr>
        <w:spacing w:after="160" w:line="290" w:lineRule="auto"/>
        <w:jc w:val="both"/>
      </w:pPr>
      <w:r>
        <w:t>Verizon. (2023). 2023 Data Breach Investigations Report. Verizon Business.</w:t>
      </w:r>
    </w:p>
    <w:p w:rsidR="00911A99" w:rsidRDefault="00911A99">
      <w:pPr>
        <w:spacing w:after="40"/>
      </w:pPr>
    </w:p>
    <w:p w:rsidR="00911A99" w:rsidRDefault="00A27744">
      <w:pPr>
        <w:spacing w:after="160" w:line="290" w:lineRule="auto"/>
        <w:jc w:val="both"/>
      </w:pPr>
      <w:r>
        <w:t>Wired. (2017). The Untold Story of NotPetya</w:t>
      </w:r>
      <w:r>
        <w:t>, the Most Devastating Cyberattack in History. WIRED Magazine.</w:t>
      </w:r>
    </w:p>
    <w:p w:rsidR="00911A99" w:rsidRDefault="00911A99">
      <w:pPr>
        <w:spacing w:after="200"/>
      </w:pPr>
    </w:p>
    <w:sectPr w:rsidR="00911A9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7744" w:rsidRDefault="00A27744">
      <w:r>
        <w:separator/>
      </w:r>
    </w:p>
  </w:endnote>
  <w:endnote w:type="continuationSeparator" w:id="0">
    <w:p w:rsidR="00A27744" w:rsidRDefault="00A27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A99" w:rsidRDefault="00A27744">
    <w:pPr>
      <w:pBdr>
        <w:top w:val="single" w:sz="6" w:space="0" w:color="0D7377"/>
      </w:pBdr>
      <w:spacing w:before="60"/>
      <w:jc w:val="center"/>
    </w:pPr>
    <w:r>
      <w:rPr>
        <w:color w:val="718096"/>
        <w:sz w:val="18"/>
        <w:szCs w:val="18"/>
      </w:rPr>
      <w:t xml:space="preserve">Page </w:t>
    </w:r>
    <w:r>
      <w:rPr>
        <w:color w:val="718096"/>
        <w:sz w:val="18"/>
        <w:szCs w:val="18"/>
      </w:rPr>
      <w:fldChar w:fldCharType="begin"/>
    </w:r>
    <w:r>
      <w:rPr>
        <w:color w:val="718096"/>
        <w:sz w:val="18"/>
        <w:szCs w:val="18"/>
      </w:rPr>
      <w:instrText>PAGE</w:instrText>
    </w:r>
    <w:r w:rsidR="00C70A89">
      <w:rPr>
        <w:color w:val="718096"/>
        <w:sz w:val="18"/>
        <w:szCs w:val="18"/>
      </w:rPr>
      <w:fldChar w:fldCharType="separate"/>
    </w:r>
    <w:r w:rsidR="00C70A89">
      <w:rPr>
        <w:noProof/>
        <w:color w:val="718096"/>
        <w:sz w:val="18"/>
        <w:szCs w:val="18"/>
      </w:rPr>
      <w:t>16</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sidR="00C70A89">
      <w:rPr>
        <w:color w:val="718096"/>
        <w:sz w:val="18"/>
        <w:szCs w:val="18"/>
      </w:rPr>
      <w:fldChar w:fldCharType="separate"/>
    </w:r>
    <w:r w:rsidR="00C70A89">
      <w:rPr>
        <w:noProof/>
        <w:color w:val="718096"/>
        <w:sz w:val="18"/>
        <w:szCs w:val="18"/>
      </w:rPr>
      <w:t>23</w:t>
    </w:r>
    <w:r>
      <w:rPr>
        <w:color w:val="71809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7744" w:rsidRDefault="00A27744">
      <w:r>
        <w:separator/>
      </w:r>
    </w:p>
  </w:footnote>
  <w:footnote w:type="continuationSeparator" w:id="0">
    <w:p w:rsidR="00A27744" w:rsidRDefault="00A277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A99" w:rsidRDefault="00A27744">
    <w:pPr>
      <w:pBdr>
        <w:bottom w:val="single" w:sz="6" w:space="0" w:color="0D7377"/>
      </w:pBdr>
      <w:spacing w:after="60"/>
      <w:jc w:val="right"/>
    </w:pPr>
    <w:r>
      <w:rPr>
        <w:color w:val="718096"/>
        <w:sz w:val="18"/>
        <w:szCs w:val="18"/>
      </w:rPr>
      <w:t>Patch Management in Cybersecurity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C82B0B"/>
    <w:multiLevelType w:val="hybridMultilevel"/>
    <w:tmpl w:val="E5CEB0E8"/>
    <w:lvl w:ilvl="0" w:tplc="59C8AC5C">
      <w:start w:val="1"/>
      <w:numFmt w:val="bullet"/>
      <w:lvlText w:val="•"/>
      <w:lvlJc w:val="left"/>
      <w:pPr>
        <w:ind w:left="720" w:hanging="360"/>
      </w:pPr>
    </w:lvl>
    <w:lvl w:ilvl="1" w:tplc="C6E0F278">
      <w:numFmt w:val="decimal"/>
      <w:lvlText w:val=""/>
      <w:lvlJc w:val="left"/>
    </w:lvl>
    <w:lvl w:ilvl="2" w:tplc="69A2D2FA">
      <w:numFmt w:val="decimal"/>
      <w:lvlText w:val=""/>
      <w:lvlJc w:val="left"/>
    </w:lvl>
    <w:lvl w:ilvl="3" w:tplc="7BB68B80">
      <w:numFmt w:val="decimal"/>
      <w:lvlText w:val=""/>
      <w:lvlJc w:val="left"/>
    </w:lvl>
    <w:lvl w:ilvl="4" w:tplc="10108E28">
      <w:numFmt w:val="decimal"/>
      <w:lvlText w:val=""/>
      <w:lvlJc w:val="left"/>
    </w:lvl>
    <w:lvl w:ilvl="5" w:tplc="0A2A681C">
      <w:numFmt w:val="decimal"/>
      <w:lvlText w:val=""/>
      <w:lvlJc w:val="left"/>
    </w:lvl>
    <w:lvl w:ilvl="6" w:tplc="61EE7C74">
      <w:numFmt w:val="decimal"/>
      <w:lvlText w:val=""/>
      <w:lvlJc w:val="left"/>
    </w:lvl>
    <w:lvl w:ilvl="7" w:tplc="FE8621FC">
      <w:numFmt w:val="decimal"/>
      <w:lvlText w:val=""/>
      <w:lvlJc w:val="left"/>
    </w:lvl>
    <w:lvl w:ilvl="8" w:tplc="262EF7C2">
      <w:numFmt w:val="decimal"/>
      <w:lvlText w:val=""/>
      <w:lvlJc w:val="left"/>
    </w:lvl>
  </w:abstractNum>
  <w:abstractNum w:abstractNumId="1">
    <w:nsid w:val="47A41704"/>
    <w:multiLevelType w:val="hybridMultilevel"/>
    <w:tmpl w:val="357681A2"/>
    <w:lvl w:ilvl="0" w:tplc="C6846450">
      <w:start w:val="1"/>
      <w:numFmt w:val="decimal"/>
      <w:lvlText w:val="%1."/>
      <w:lvlJc w:val="left"/>
      <w:pPr>
        <w:ind w:left="720" w:hanging="360"/>
      </w:pPr>
    </w:lvl>
    <w:lvl w:ilvl="1" w:tplc="B5506D46">
      <w:numFmt w:val="decimal"/>
      <w:lvlText w:val=""/>
      <w:lvlJc w:val="left"/>
    </w:lvl>
    <w:lvl w:ilvl="2" w:tplc="B0F4017E">
      <w:numFmt w:val="decimal"/>
      <w:lvlText w:val=""/>
      <w:lvlJc w:val="left"/>
    </w:lvl>
    <w:lvl w:ilvl="3" w:tplc="A3DCB068">
      <w:numFmt w:val="decimal"/>
      <w:lvlText w:val=""/>
      <w:lvlJc w:val="left"/>
    </w:lvl>
    <w:lvl w:ilvl="4" w:tplc="1494F726">
      <w:numFmt w:val="decimal"/>
      <w:lvlText w:val=""/>
      <w:lvlJc w:val="left"/>
    </w:lvl>
    <w:lvl w:ilvl="5" w:tplc="1DFE2158">
      <w:numFmt w:val="decimal"/>
      <w:lvlText w:val=""/>
      <w:lvlJc w:val="left"/>
    </w:lvl>
    <w:lvl w:ilvl="6" w:tplc="8696A53E">
      <w:numFmt w:val="decimal"/>
      <w:lvlText w:val=""/>
      <w:lvlJc w:val="left"/>
    </w:lvl>
    <w:lvl w:ilvl="7" w:tplc="E68416BA">
      <w:numFmt w:val="decimal"/>
      <w:lvlText w:val=""/>
      <w:lvlJc w:val="left"/>
    </w:lvl>
    <w:lvl w:ilvl="8" w:tplc="4F3C156A">
      <w:numFmt w:val="decimal"/>
      <w:lvlText w:val=""/>
      <w:lvlJc w:val="left"/>
    </w:lvl>
  </w:abstractNum>
  <w:abstractNum w:abstractNumId="2">
    <w:nsid w:val="7C2148B4"/>
    <w:multiLevelType w:val="hybridMultilevel"/>
    <w:tmpl w:val="B93EFE20"/>
    <w:lvl w:ilvl="0" w:tplc="CCA0C030">
      <w:start w:val="1"/>
      <w:numFmt w:val="bullet"/>
      <w:lvlText w:val="●"/>
      <w:lvlJc w:val="left"/>
      <w:pPr>
        <w:ind w:left="720" w:hanging="360"/>
      </w:pPr>
    </w:lvl>
    <w:lvl w:ilvl="1" w:tplc="8EF6FCEA">
      <w:start w:val="1"/>
      <w:numFmt w:val="bullet"/>
      <w:lvlText w:val="○"/>
      <w:lvlJc w:val="left"/>
      <w:pPr>
        <w:ind w:left="1440" w:hanging="360"/>
      </w:pPr>
    </w:lvl>
    <w:lvl w:ilvl="2" w:tplc="3D565E84">
      <w:start w:val="1"/>
      <w:numFmt w:val="bullet"/>
      <w:lvlText w:val="■"/>
      <w:lvlJc w:val="left"/>
      <w:pPr>
        <w:ind w:left="2160" w:hanging="360"/>
      </w:pPr>
    </w:lvl>
    <w:lvl w:ilvl="3" w:tplc="5D5019C0">
      <w:start w:val="1"/>
      <w:numFmt w:val="bullet"/>
      <w:lvlText w:val="●"/>
      <w:lvlJc w:val="left"/>
      <w:pPr>
        <w:ind w:left="2880" w:hanging="360"/>
      </w:pPr>
    </w:lvl>
    <w:lvl w:ilvl="4" w:tplc="4A96C9CE">
      <w:start w:val="1"/>
      <w:numFmt w:val="bullet"/>
      <w:lvlText w:val="○"/>
      <w:lvlJc w:val="left"/>
      <w:pPr>
        <w:ind w:left="3600" w:hanging="360"/>
      </w:pPr>
    </w:lvl>
    <w:lvl w:ilvl="5" w:tplc="97C83D64">
      <w:start w:val="1"/>
      <w:numFmt w:val="bullet"/>
      <w:lvlText w:val="■"/>
      <w:lvlJc w:val="left"/>
      <w:pPr>
        <w:ind w:left="4320" w:hanging="360"/>
      </w:pPr>
    </w:lvl>
    <w:lvl w:ilvl="6" w:tplc="6E205E76">
      <w:start w:val="1"/>
      <w:numFmt w:val="bullet"/>
      <w:lvlText w:val="●"/>
      <w:lvlJc w:val="left"/>
      <w:pPr>
        <w:ind w:left="5040" w:hanging="360"/>
      </w:pPr>
    </w:lvl>
    <w:lvl w:ilvl="7" w:tplc="4DB48A2A">
      <w:start w:val="1"/>
      <w:numFmt w:val="bullet"/>
      <w:lvlText w:val="●"/>
      <w:lvlJc w:val="left"/>
      <w:pPr>
        <w:ind w:left="5760" w:hanging="360"/>
      </w:pPr>
    </w:lvl>
    <w:lvl w:ilvl="8" w:tplc="D084D73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A99"/>
    <w:rsid w:val="00911A99"/>
    <w:rsid w:val="00A27744"/>
    <w:rsid w:val="00C70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091BFF-65A5-4D09-8047-2BCB8B686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D3748"/>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0F2D4F"/>
      <w:sz w:val="36"/>
      <w:szCs w:val="36"/>
    </w:rPr>
  </w:style>
  <w:style w:type="paragraph" w:styleId="Heading2">
    <w:name w:val="heading 2"/>
    <w:qFormat/>
    <w:pPr>
      <w:spacing w:before="280" w:after="120"/>
      <w:outlineLvl w:val="1"/>
    </w:pPr>
    <w:rPr>
      <w:b/>
      <w:bCs/>
      <w:color w:val="0F2D4F"/>
      <w:sz w:val="28"/>
      <w:szCs w:val="28"/>
    </w:rPr>
  </w:style>
  <w:style w:type="paragraph" w:styleId="Heading3">
    <w:name w:val="heading 3"/>
    <w:qFormat/>
    <w:pPr>
      <w:spacing w:before="200" w:after="80"/>
      <w:outlineLvl w:val="2"/>
    </w:pPr>
    <w:rPr>
      <w:b/>
      <w:bCs/>
      <w:color w:val="0D737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70A89"/>
    <w:pPr>
      <w:spacing w:after="100"/>
    </w:pPr>
  </w:style>
  <w:style w:type="paragraph" w:styleId="TOC2">
    <w:name w:val="toc 2"/>
    <w:basedOn w:val="Normal"/>
    <w:next w:val="Normal"/>
    <w:autoRedefine/>
    <w:uiPriority w:val="39"/>
    <w:unhideWhenUsed/>
    <w:rsid w:val="00C70A89"/>
    <w:pPr>
      <w:spacing w:after="100"/>
      <w:ind w:left="220"/>
    </w:pPr>
  </w:style>
  <w:style w:type="paragraph" w:styleId="TOC3">
    <w:name w:val="toc 3"/>
    <w:basedOn w:val="Normal"/>
    <w:next w:val="Normal"/>
    <w:autoRedefine/>
    <w:uiPriority w:val="39"/>
    <w:unhideWhenUsed/>
    <w:rsid w:val="00C70A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7318</Words>
  <Characters>41715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2026-02-12T18:18:00Z</dcterms:created>
  <dcterms:modified xsi:type="dcterms:W3CDTF">2026-02-12T18:18:00Z</dcterms:modified>
</cp:coreProperties>
</file>