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795"/>
            </w:pPr>
          </w:p>
          <w:p>
            <w:pPr>
              <w:pBdr>
                <w:bottom w:val="single" w:color="C89F62" w:sz="6" w:space="8"/>
              </w:pBdr>
              <w:spacing w:after="500"/>
              <w:ind w:left="1200" w:right="800"/>
            </w:pPr>
            <w:r>
              <w:rPr>
                <w:rFonts w:ascii="Calibri" w:eastAsia="Calibri"/>
                <w:color w:val="C89F62"/>
                <w:spacing w:val="40"/>
                <w:sz w:val="18"/>
                <w:szCs w:val="18"/>
              </w:rPr>
              <w:t xml:space="preserve">S  P  E  C  I  F  I  C  A  T  I  O  N  S     F  O  N  C  T  I  O  N  N  E  L  L  E  S</w:t>
            </w:r>
          </w:p>
          <w:p>
            <w:pPr>
              <w:spacing w:after="100" w:line="920" w:lineRule="atLeast"/>
              <w:ind w:left="1200"/>
            </w:pPr>
            <w:r>
              <w:rPr>
                <w:rFonts w:ascii="Calibri" w:eastAsia="Calibri"/>
                <w:b/>
                <w:bCs/>
                <w:color w:val="2A4A3A"/>
                <w:sz w:val="80"/>
                <w:szCs w:val="80"/>
              </w:rPr>
              <w:t xml:space="preserve">Univers 4 — Les</w:t>
            </w:r>
          </w:p>
          <w:p>
            <w:pPr>
              <w:spacing w:after="300" w:line="920" w:lineRule="atLeast"/>
              <w:ind w:left="1200"/>
            </w:pPr>
            <w:r>
              <w:rPr>
                <w:rFonts w:ascii="Calibri" w:eastAsia="Calibri"/>
                <w:b/>
                <w:bCs/>
                <w:color w:val="2A4A3A"/>
                <w:sz w:val="80"/>
                <w:szCs w:val="80"/>
              </w:rPr>
              <w:t xml:space="preserve">Finances</w:t>
            </w:r>
          </w:p>
          <w:p>
            <w:pPr>
              <w:spacing w:after="800"/>
              <w:ind w:left="1200"/>
            </w:pPr>
            <w:r>
              <w:rPr>
                <w:rFonts w:ascii="Calibri" w:eastAsia="Calibri"/>
                <w:color w:val="606060"/>
                <w:sz w:val="24"/>
                <w:szCs w:val="24"/>
              </w:rPr>
              <w:t xml:space="preserve">La caisse, les cotisations et la transparence financière</w:t>
            </w:r>
          </w:p>
          <w:p>
            <w:pPr>
              <w:pBdr>
                <w:left w:val="single" w:color="C89F62" w:sz="8" w:space="12"/>
              </w:pBdr>
              <w:spacing w:after="80"/>
              <w:ind w:left="1400"/>
            </w:pPr>
            <w:r>
              <w:rPr>
                <w:rFonts w:ascii="Calibri" w:eastAsia="Calibri"/>
                <w:color w:val="5A5A5A"/>
                <w:sz w:val="22"/>
                <w:szCs w:val="22"/>
              </w:rPr>
              <w:t xml:space="preserve">Document : Spécifications de l'Univers 4</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Prérequis : Univers 1, Univers 2, Univers 3</w:t>
            </w:r>
          </w:p>
          <w:p>
            <w:pPr>
              <w:pBdr>
                <w:left w:val="single" w:color="C89F62" w:sz="8" w:space="12"/>
              </w:pBdr>
              <w:spacing w:after="80"/>
              <w:ind w:left="1400"/>
            </w:pPr>
            <w:r>
              <w:rPr>
                <w:rFonts w:ascii="Calibri" w:eastAsia="Calibri"/>
                <w:color w:val="5A5A5A"/>
                <w:sz w:val="22"/>
                <w:szCs w:val="22"/>
              </w:rPr>
              <w:t xml:space="preserve">Audience : Trésoriers, comité de pilotage, équipe produit, équipe développement</w:t>
            </w:r>
          </w:p>
          <w:p>
            <w:pPr>
              <w:spacing w:before="3795"/>
            </w:pPr>
          </w:p>
          <w:p>
            <w:pPr>
              <w:pBdr>
                <w:top w:val="single" w:color="C89F62" w:sz="2" w:space="8"/>
              </w:pBdr>
              <w:spacing w:before="200"/>
              <w:ind w:left="1200" w:right="800"/>
            </w:pPr>
            <w:r>
              <w:rPr>
                <w:rFonts w:ascii="Calibri" w:eastAsia="Calibri"/>
                <w:color w:val="8A8A8A"/>
                <w:sz w:val="16"/>
                <w:szCs w:val="16"/>
              </w:rPr>
              <w:t xml:space="preserve">Document interne — Familles pilotes</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Rôle et finalité de l'Univers 4</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Rôle stratégique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Finalité opérationnelle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Trois piliers de la confiance financière</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Objectifs mesurables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Architecture fonctionnelle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Vue d'ensemble des modules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Navigation principale</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4. Module 4.1 — La caisse familiale multi-niveaux</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4.1.1 Description</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4.1.2 Types de caisses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4.1.3 Virements inter-caisses</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4.1.4 Soldes et plafonds</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4.1.5 Comptes bancaires et comptes Mobile Money</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4.1.6 Cas limite — caisse en déficit</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5. Module 4.2 — Cotisations et contributions</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5.1 Description</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5.2 Types de cotisations</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5.3 Calendrier et échéances</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5.4 Suivi individuel</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5.5 Exonérations</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5.6 Relances automatiques</w:t>
            </w:r>
            <w:r>
              <w:tab/>
            </w:r>
            <w:r>
              <w:fldChar w:fldCharType="begin"/>
            </w:r>
            <w:r>
              <w:instrText xml:space="preserve"> PAGEREF _Toc100022 \h </w:instrText>
            </w:r>
            <w:r>
              <w:fldChar w:fldCharType="separate"/>
            </w:r>
            <w:r>
              <w:t>14</w:t>
            </w:r>
            <w:r>
              <w:fldChar w:fldCharType="end"/>
            </w:r>
          </w:hyperlink>
        </w:p>
        <w:p>
          <w:pPr>
            <w:pStyle w:val="9"/>
            <w:tabs>
              <w:tab w:val="right" w:leader="dot" w:pos="9026"/>
            </w:tabs>
            <w:spacing w:before="120" w:after="60"/>
          </w:pPr>
          <w:hyperlink w:anchor="_Toc100023" w:history="1">
            <w:r>
              <w:rPr>
                <w:rStyle w:val="Hyperlink"/>
              </w:rPr>
              <w:t>6. Module 4.3 — Mobile Money et paiements</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6.1 Description</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6.2 Intégration MTN MoMo et Orange Money</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6.3 Autres canaux de paiement</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6.4 Cas hors-ligne</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6.5 Reçus et justificatifs</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6.6 Sécurité des paiements</w:t>
            </w:r>
            <w:r>
              <w:tab/>
            </w:r>
            <w:r>
              <w:fldChar w:fldCharType="begin"/>
            </w:r>
            <w:r>
              <w:instrText xml:space="preserve"> PAGEREF _Toc100029 \h </w:instrText>
            </w:r>
            <w:r>
              <w:fldChar w:fldCharType="separate"/>
            </w:r>
            <w:r>
              <w:t>19</w:t>
            </w:r>
            <w:r>
              <w:fldChar w:fldCharType="end"/>
            </w:r>
          </w:hyperlink>
        </w:p>
        <w:p>
          <w:pPr>
            <w:pStyle w:val="9"/>
            <w:tabs>
              <w:tab w:val="right" w:leader="dot" w:pos="9026"/>
            </w:tabs>
            <w:spacing w:before="120" w:after="60"/>
          </w:pPr>
          <w:hyperlink w:anchor="_Toc100030" w:history="1">
            <w:r>
              <w:rPr>
                <w:rStyle w:val="Hyperlink"/>
              </w:rPr>
              <w:t>7. Module 4.4 — Budget et prévisions</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7.1 Description</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7.2 Cycle budgétaire annuel</w:t>
            </w:r>
            <w:r>
              <w:tab/>
            </w:r>
            <w:r>
              <w:fldChar w:fldCharType="begin"/>
            </w:r>
            <w:r>
              <w:instrText xml:space="preserve"> PAGEREF _Toc100032 \h </w:instrText>
            </w:r>
            <w:r>
              <w:fldChar w:fldCharType="separate"/>
            </w:r>
            <w:r>
              <w:t>20</w:t>
            </w:r>
            <w:r>
              <w:fldChar w:fldCharType="end"/>
            </w:r>
          </w:hyperlink>
        </w:p>
        <w:p>
          <w:pPr>
            <w:pStyle w:val="11"/>
            <w:ind w:left="360"/>
            <w:tabs>
              <w:tab w:val="right" w:leader="dot" w:pos="9026"/>
            </w:tabs>
            <w:spacing w:before="120" w:after="60"/>
          </w:pPr>
          <w:hyperlink w:anchor="_Toc100033" w:history="1">
            <w:r>
              <w:rPr>
                <w:rStyle w:val="Hyperlink"/>
              </w:rPr>
              <w:t>7.3 Structure du budget</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7.4 Budget par événement</w:t>
            </w:r>
            <w:r>
              <w:tab/>
            </w:r>
            <w:r>
              <w:fldChar w:fldCharType="begin"/>
            </w:r>
            <w:r>
              <w:instrText xml:space="preserve"> PAGEREF _Toc100034 \h </w:instrText>
            </w:r>
            <w:r>
              <w:fldChar w:fldCharType="separate"/>
            </w:r>
            <w:r>
              <w:t>21</w:t>
            </w:r>
            <w:r>
              <w:fldChar w:fldCharType="end"/>
            </w:r>
          </w:hyperlink>
        </w:p>
        <w:p>
          <w:pPr>
            <w:pStyle w:val="11"/>
            <w:ind w:left="360"/>
            <w:tabs>
              <w:tab w:val="right" w:leader="dot" w:pos="9026"/>
            </w:tabs>
            <w:spacing w:before="120" w:after="60"/>
          </w:pPr>
          <w:hyperlink w:anchor="_Toc100035" w:history="1">
            <w:r>
              <w:rPr>
                <w:rStyle w:val="Hyperlink"/>
              </w:rPr>
              <w:t>7.5 Budget par branche</w:t>
            </w:r>
            <w:r>
              <w:tab/>
            </w:r>
            <w:r>
              <w:fldChar w:fldCharType="begin"/>
            </w:r>
            <w:r>
              <w:instrText xml:space="preserve"> PAGEREF _Toc100035 \h </w:instrText>
            </w:r>
            <w:r>
              <w:fldChar w:fldCharType="separate"/>
            </w:r>
            <w:r>
              <w:t>21</w:t>
            </w:r>
            <w:r>
              <w:fldChar w:fldCharType="end"/>
            </w:r>
          </w:hyperlink>
        </w:p>
        <w:p>
          <w:pPr>
            <w:pStyle w:val="11"/>
            <w:ind w:left="360"/>
            <w:tabs>
              <w:tab w:val="right" w:leader="dot" w:pos="9026"/>
            </w:tabs>
            <w:spacing w:before="120" w:after="60"/>
          </w:pPr>
          <w:hyperlink w:anchor="_Toc100036" w:history="1">
            <w:r>
              <w:rPr>
                <w:rStyle w:val="Hyperlink"/>
              </w:rPr>
              <w:t>7.6 Ajustements en cours d'exercice</w:t>
            </w:r>
            <w:r>
              <w:tab/>
            </w:r>
            <w:r>
              <w:fldChar w:fldCharType="begin"/>
            </w:r>
            <w:r>
              <w:instrText xml:space="preserve"> PAGEREF _Toc100036 \h </w:instrText>
            </w:r>
            <w:r>
              <w:fldChar w:fldCharType="separate"/>
            </w:r>
            <w:r>
              <w:t>21</w:t>
            </w:r>
            <w:r>
              <w:fldChar w:fldCharType="end"/>
            </w:r>
          </w:hyperlink>
        </w:p>
        <w:p>
          <w:pPr>
            <w:pStyle w:val="9"/>
            <w:tabs>
              <w:tab w:val="right" w:leader="dot" w:pos="9026"/>
            </w:tabs>
            <w:spacing w:before="120" w:after="60"/>
          </w:pPr>
          <w:hyperlink w:anchor="_Toc100037" w:history="1">
            <w:r>
              <w:rPr>
                <w:rStyle w:val="Hyperlink"/>
              </w:rPr>
              <w:t>8. Module 4.5 — Comptabilité et journal</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8.1 Description</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8.2 Plan comptable simplifié</w:t>
            </w:r>
            <w:r>
              <w:tab/>
            </w:r>
            <w:r>
              <w:fldChar w:fldCharType="begin"/>
            </w:r>
            <w:r>
              <w:instrText xml:space="preserve"> PAGEREF _Toc100039 \h </w:instrText>
            </w:r>
            <w:r>
              <w:fldChar w:fldCharType="separate"/>
            </w:r>
            <w:r>
              <w:t>22</w:t>
            </w:r>
            <w:r>
              <w:fldChar w:fldCharType="end"/>
            </w:r>
          </w:hyperlink>
        </w:p>
        <w:p>
          <w:pPr>
            <w:pStyle w:val="11"/>
            <w:ind w:left="360"/>
            <w:tabs>
              <w:tab w:val="right" w:leader="dot" w:pos="9026"/>
            </w:tabs>
            <w:spacing w:before="120" w:after="60"/>
          </w:pPr>
          <w:hyperlink w:anchor="_Toc100040" w:history="1">
            <w:r>
              <w:rPr>
                <w:rStyle w:val="Hyperlink"/>
              </w:rPr>
              <w:t>8.3 Journal des écritures</w:t>
            </w:r>
            <w:r>
              <w:tab/>
            </w:r>
            <w:r>
              <w:fldChar w:fldCharType="begin"/>
            </w:r>
            <w:r>
              <w:instrText xml:space="preserve"> PAGEREF _Toc100040 \h </w:instrText>
            </w:r>
            <w:r>
              <w:fldChar w:fldCharType="separate"/>
            </w:r>
            <w:r>
              <w:t>23</w:t>
            </w:r>
            <w:r>
              <w:fldChar w:fldCharType="end"/>
            </w:r>
          </w:hyperlink>
        </w:p>
        <w:p>
          <w:pPr>
            <w:pStyle w:val="11"/>
            <w:ind w:left="360"/>
            <w:tabs>
              <w:tab w:val="right" w:leader="dot" w:pos="9026"/>
            </w:tabs>
            <w:spacing w:before="120" w:after="60"/>
          </w:pPr>
          <w:hyperlink w:anchor="_Toc100041" w:history="1">
            <w:r>
              <w:rPr>
                <w:rStyle w:val="Hyperlink"/>
              </w:rPr>
              <w:t>8.4 Balance et états financiers</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8.5 Exercice annuel et clôture</w:t>
            </w:r>
            <w:r>
              <w:tab/>
            </w:r>
            <w:r>
              <w:fldChar w:fldCharType="begin"/>
            </w:r>
            <w:r>
              <w:instrText xml:space="preserve"> PAGEREF _Toc100042 \h </w:instrText>
            </w:r>
            <w:r>
              <w:fldChar w:fldCharType="separate"/>
            </w:r>
            <w:r>
              <w:t>25</w:t>
            </w:r>
            <w:r>
              <w:fldChar w:fldCharType="end"/>
            </w:r>
          </w:hyperlink>
        </w:p>
        <w:p>
          <w:pPr>
            <w:pStyle w:val="11"/>
            <w:ind w:left="360"/>
            <w:tabs>
              <w:tab w:val="right" w:leader="dot" w:pos="9026"/>
            </w:tabs>
            <w:spacing w:before="120" w:after="60"/>
          </w:pPr>
          <w:hyperlink w:anchor="_Toc100043" w:history="1">
            <w:r>
              <w:rPr>
                <w:rStyle w:val="Hyperlink"/>
              </w:rPr>
              <w:t>8.6 Lien avec l'Univers 3</w:t>
            </w:r>
            <w:r>
              <w:tab/>
            </w:r>
            <w:r>
              <w:fldChar w:fldCharType="begin"/>
            </w:r>
            <w:r>
              <w:instrText xml:space="preserve"> PAGEREF _Toc100043 \h </w:instrText>
            </w:r>
            <w:r>
              <w:fldChar w:fldCharType="separate"/>
            </w:r>
            <w:r>
              <w:t>26</w:t>
            </w:r>
            <w:r>
              <w:fldChar w:fldCharType="end"/>
            </w:r>
          </w:hyperlink>
        </w:p>
        <w:p>
          <w:pPr>
            <w:pStyle w:val="9"/>
            <w:tabs>
              <w:tab w:val="right" w:leader="dot" w:pos="9026"/>
            </w:tabs>
            <w:spacing w:before="120" w:after="60"/>
          </w:pPr>
          <w:hyperlink w:anchor="_Toc100044" w:history="1">
            <w:r>
              <w:rPr>
                <w:rStyle w:val="Hyperlink"/>
              </w:rPr>
              <w:t>9. Module 4.6 — Audit et contrôles</w:t>
            </w:r>
            <w:r>
              <w:tab/>
            </w:r>
            <w:r>
              <w:fldChar w:fldCharType="begin"/>
            </w:r>
            <w:r>
              <w:instrText xml:space="preserve"> PAGEREF _Toc100044 \h </w:instrText>
            </w:r>
            <w:r>
              <w:fldChar w:fldCharType="separate"/>
            </w:r>
            <w:r>
              <w:t>26</w:t>
            </w:r>
            <w:r>
              <w:fldChar w:fldCharType="end"/>
            </w:r>
          </w:hyperlink>
        </w:p>
        <w:p>
          <w:pPr>
            <w:pStyle w:val="11"/>
            <w:ind w:left="360"/>
            <w:tabs>
              <w:tab w:val="right" w:leader="dot" w:pos="9026"/>
            </w:tabs>
            <w:spacing w:before="120" w:after="60"/>
          </w:pPr>
          <w:hyperlink w:anchor="_Toc100045" w:history="1">
            <w:r>
              <w:rPr>
                <w:rStyle w:val="Hyperlink"/>
              </w:rPr>
              <w:t>9.1 Description</w:t>
            </w:r>
            <w:r>
              <w:tab/>
            </w:r>
            <w:r>
              <w:fldChar w:fldCharType="begin"/>
            </w:r>
            <w:r>
              <w:instrText xml:space="preserve"> PAGEREF _Toc100045 \h </w:instrText>
            </w:r>
            <w:r>
              <w:fldChar w:fldCharType="separate"/>
            </w:r>
            <w:r>
              <w:t>26</w:t>
            </w:r>
            <w:r>
              <w:fldChar w:fldCharType="end"/>
            </w:r>
          </w:hyperlink>
        </w:p>
        <w:p>
          <w:pPr>
            <w:pStyle w:val="11"/>
            <w:ind w:left="360"/>
            <w:tabs>
              <w:tab w:val="right" w:leader="dot" w:pos="9026"/>
            </w:tabs>
            <w:spacing w:before="120" w:after="60"/>
          </w:pPr>
          <w:hyperlink w:anchor="_Toc100046" w:history="1">
            <w:r>
              <w:rPr>
                <w:rStyle w:val="Hyperlink"/>
              </w:rPr>
              <w:t>9.2 Journal immutable des écritures</w:t>
            </w:r>
            <w:r>
              <w:tab/>
            </w:r>
            <w:r>
              <w:fldChar w:fldCharType="begin"/>
            </w:r>
            <w:r>
              <w:instrText xml:space="preserve"> PAGEREF _Toc100046 \h </w:instrText>
            </w:r>
            <w:r>
              <w:fldChar w:fldCharType="separate"/>
            </w:r>
            <w:r>
              <w:t>27</w:t>
            </w:r>
            <w:r>
              <w:fldChar w:fldCharType="end"/>
            </w:r>
          </w:hyperlink>
        </w:p>
        <w:p>
          <w:pPr>
            <w:pStyle w:val="11"/>
            <w:ind w:left="360"/>
            <w:tabs>
              <w:tab w:val="right" w:leader="dot" w:pos="9026"/>
            </w:tabs>
            <w:spacing w:before="120" w:after="60"/>
          </w:pPr>
          <w:hyperlink w:anchor="_Toc100047" w:history="1">
            <w:r>
              <w:rPr>
                <w:rStyle w:val="Hyperlink"/>
              </w:rPr>
              <w:t>9.3 Double validation des dépenses</w:t>
            </w:r>
            <w:r>
              <w:tab/>
            </w:r>
            <w:r>
              <w:fldChar w:fldCharType="begin"/>
            </w:r>
            <w:r>
              <w:instrText xml:space="preserve"> PAGEREF _Toc100047 \h </w:instrText>
            </w:r>
            <w:r>
              <w:fldChar w:fldCharType="separate"/>
            </w:r>
            <w:r>
              <w:t>27</w:t>
            </w:r>
            <w:r>
              <w:fldChar w:fldCharType="end"/>
            </w:r>
          </w:hyperlink>
        </w:p>
        <w:p>
          <w:pPr>
            <w:pStyle w:val="11"/>
            <w:ind w:left="360"/>
            <w:tabs>
              <w:tab w:val="right" w:leader="dot" w:pos="9026"/>
            </w:tabs>
            <w:spacing w:before="120" w:after="60"/>
          </w:pPr>
          <w:hyperlink w:anchor="_Toc100048" w:history="1">
            <w:r>
              <w:rPr>
                <w:rStyle w:val="Hyperlink"/>
              </w:rPr>
              <w:t>9.4 Justificatifs obligatoires</w:t>
            </w:r>
            <w:r>
              <w:tab/>
            </w:r>
            <w:r>
              <w:fldChar w:fldCharType="begin"/>
            </w:r>
            <w:r>
              <w:instrText xml:space="preserve"> PAGEREF _Toc100048 \h </w:instrText>
            </w:r>
            <w:r>
              <w:fldChar w:fldCharType="separate"/>
            </w:r>
            <w:r>
              <w:t>28</w:t>
            </w:r>
            <w:r>
              <w:fldChar w:fldCharType="end"/>
            </w:r>
          </w:hyperlink>
        </w:p>
        <w:p>
          <w:pPr>
            <w:pStyle w:val="11"/>
            <w:ind w:left="360"/>
            <w:tabs>
              <w:tab w:val="right" w:leader="dot" w:pos="9026"/>
            </w:tabs>
            <w:spacing w:before="120" w:after="60"/>
          </w:pPr>
          <w:hyperlink w:anchor="_Toc100049" w:history="1">
            <w:r>
              <w:rPr>
                <w:rStyle w:val="Hyperlink"/>
              </w:rPr>
              <w:t>9.5 Rapprochement bancaire</w:t>
            </w:r>
            <w:r>
              <w:tab/>
            </w:r>
            <w:r>
              <w:fldChar w:fldCharType="begin"/>
            </w:r>
            <w:r>
              <w:instrText xml:space="preserve"> PAGEREF _Toc100049 \h </w:instrText>
            </w:r>
            <w:r>
              <w:fldChar w:fldCharType="separate"/>
            </w:r>
            <w:r>
              <w:t>28</w:t>
            </w:r>
            <w:r>
              <w:fldChar w:fldCharType="end"/>
            </w:r>
          </w:hyperlink>
        </w:p>
        <w:p>
          <w:pPr>
            <w:pStyle w:val="11"/>
            <w:ind w:left="360"/>
            <w:tabs>
              <w:tab w:val="right" w:leader="dot" w:pos="9026"/>
            </w:tabs>
            <w:spacing w:before="120" w:after="60"/>
          </w:pPr>
          <w:hyperlink w:anchor="_Toc100050" w:history="1">
            <w:r>
              <w:rPr>
                <w:rStyle w:val="Hyperlink"/>
              </w:rPr>
              <w:t>9.6 Audit aléatoire</w:t>
            </w:r>
            <w:r>
              <w:tab/>
            </w:r>
            <w:r>
              <w:fldChar w:fldCharType="begin"/>
            </w:r>
            <w:r>
              <w:instrText xml:space="preserve"> PAGEREF _Toc100050 \h </w:instrText>
            </w:r>
            <w:r>
              <w:fldChar w:fldCharType="separate"/>
            </w:r>
            <w:r>
              <w:t>28</w:t>
            </w:r>
            <w:r>
              <w:fldChar w:fldCharType="end"/>
            </w:r>
          </w:hyperlink>
        </w:p>
        <w:p>
          <w:pPr>
            <w:pStyle w:val="11"/>
            <w:ind w:left="360"/>
            <w:tabs>
              <w:tab w:val="right" w:leader="dot" w:pos="9026"/>
            </w:tabs>
            <w:spacing w:before="120" w:after="60"/>
          </w:pPr>
          <w:hyperlink w:anchor="_Toc100051" w:history="1">
            <w:r>
              <w:rPr>
                <w:rStyle w:val="Hyperlink"/>
              </w:rPr>
              <w:t>9.7 Audit externe annuel</w:t>
            </w:r>
            <w:r>
              <w:tab/>
            </w:r>
            <w:r>
              <w:fldChar w:fldCharType="begin"/>
            </w:r>
            <w:r>
              <w:instrText xml:space="preserve"> PAGEREF _Toc100051 \h </w:instrText>
            </w:r>
            <w:r>
              <w:fldChar w:fldCharType="separate"/>
            </w:r>
            <w:r>
              <w:t>28</w:t>
            </w:r>
            <w:r>
              <w:fldChar w:fldCharType="end"/>
            </w:r>
          </w:hyperlink>
        </w:p>
        <w:p>
          <w:pPr>
            <w:pStyle w:val="11"/>
            <w:ind w:left="360"/>
            <w:tabs>
              <w:tab w:val="right" w:leader="dot" w:pos="9026"/>
            </w:tabs>
            <w:spacing w:before="120" w:after="60"/>
          </w:pPr>
          <w:hyperlink w:anchor="_Toc100052" w:history="1">
            <w:r>
              <w:rPr>
                <w:rStyle w:val="Hyperlink"/>
              </w:rPr>
              <w:t>9.8 Mode audit</w:t>
            </w:r>
            <w:r>
              <w:tab/>
            </w:r>
            <w:r>
              <w:fldChar w:fldCharType="begin"/>
            </w:r>
            <w:r>
              <w:instrText xml:space="preserve"> PAGEREF _Toc100052 \h </w:instrText>
            </w:r>
            <w:r>
              <w:fldChar w:fldCharType="separate"/>
            </w:r>
            <w:r>
              <w:t>29</w:t>
            </w:r>
            <w:r>
              <w:fldChar w:fldCharType="end"/>
            </w:r>
          </w:hyperlink>
        </w:p>
        <w:p>
          <w:pPr>
            <w:pStyle w:val="9"/>
            <w:tabs>
              <w:tab w:val="right" w:leader="dot" w:pos="9026"/>
            </w:tabs>
            <w:spacing w:before="120" w:after="60"/>
          </w:pPr>
          <w:hyperlink w:anchor="_Toc100053" w:history="1">
            <w:r>
              <w:rPr>
                <w:rStyle w:val="Hyperlink"/>
              </w:rPr>
              <w:t>10. Module 4.7 — Reporting et transparence</w:t>
            </w:r>
            <w:r>
              <w:tab/>
            </w:r>
            <w:r>
              <w:fldChar w:fldCharType="begin"/>
            </w:r>
            <w:r>
              <w:instrText xml:space="preserve"> PAGEREF _Toc100053 \h </w:instrText>
            </w:r>
            <w:r>
              <w:fldChar w:fldCharType="separate"/>
            </w:r>
            <w:r>
              <w:t>30</w:t>
            </w:r>
            <w:r>
              <w:fldChar w:fldCharType="end"/>
            </w:r>
          </w:hyperlink>
        </w:p>
        <w:p>
          <w:pPr>
            <w:pStyle w:val="11"/>
            <w:ind w:left="360"/>
            <w:tabs>
              <w:tab w:val="right" w:leader="dot" w:pos="9026"/>
            </w:tabs>
            <w:spacing w:before="120" w:after="60"/>
          </w:pPr>
          <w:hyperlink w:anchor="_Toc100054" w:history="1">
            <w:r>
              <w:rPr>
                <w:rStyle w:val="Hyperlink"/>
              </w:rPr>
              <w:t>10.1 Description</w:t>
            </w:r>
            <w:r>
              <w:tab/>
            </w:r>
            <w:r>
              <w:fldChar w:fldCharType="begin"/>
            </w:r>
            <w:r>
              <w:instrText xml:space="preserve"> PAGEREF _Toc100054 \h </w:instrText>
            </w:r>
            <w:r>
              <w:fldChar w:fldCharType="separate"/>
            </w:r>
            <w:r>
              <w:t>30</w:t>
            </w:r>
            <w:r>
              <w:fldChar w:fldCharType="end"/>
            </w:r>
          </w:hyperlink>
        </w:p>
        <w:p>
          <w:pPr>
            <w:pStyle w:val="11"/>
            <w:ind w:left="360"/>
            <w:tabs>
              <w:tab w:val="right" w:leader="dot" w:pos="9026"/>
            </w:tabs>
            <w:spacing w:before="120" w:after="60"/>
          </w:pPr>
          <w:hyperlink w:anchor="_Toc100055" w:history="1">
            <w:r>
              <w:rPr>
                <w:rStyle w:val="Hyperlink"/>
              </w:rPr>
              <w:t>10.2 Rapport mensuel automatique</w:t>
            </w:r>
            <w:r>
              <w:tab/>
            </w:r>
            <w:r>
              <w:fldChar w:fldCharType="begin"/>
            </w:r>
            <w:r>
              <w:instrText xml:space="preserve"> PAGEREF _Toc100055 \h </w:instrText>
            </w:r>
            <w:r>
              <w:fldChar w:fldCharType="separate"/>
            </w:r>
            <w:r>
              <w:t>30</w:t>
            </w:r>
            <w:r>
              <w:fldChar w:fldCharType="end"/>
            </w:r>
          </w:hyperlink>
        </w:p>
        <w:p>
          <w:pPr>
            <w:pStyle w:val="11"/>
            <w:ind w:left="360"/>
            <w:tabs>
              <w:tab w:val="right" w:leader="dot" w:pos="9026"/>
            </w:tabs>
            <w:spacing w:before="120" w:after="60"/>
          </w:pPr>
          <w:hyperlink w:anchor="_Toc100056" w:history="1">
            <w:r>
              <w:rPr>
                <w:rStyle w:val="Hyperlink"/>
              </w:rPr>
              <w:t>10.3 Bilan annuel</w:t>
            </w:r>
            <w:r>
              <w:tab/>
            </w:r>
            <w:r>
              <w:fldChar w:fldCharType="begin"/>
            </w:r>
            <w:r>
              <w:instrText xml:space="preserve"> PAGEREF _Toc100056 \h </w:instrText>
            </w:r>
            <w:r>
              <w:fldChar w:fldCharType="separate"/>
            </w:r>
            <w:r>
              <w:t>31</w:t>
            </w:r>
            <w:r>
              <w:fldChar w:fldCharType="end"/>
            </w:r>
          </w:hyperlink>
        </w:p>
        <w:p>
          <w:pPr>
            <w:pStyle w:val="11"/>
            <w:ind w:left="360"/>
            <w:tabs>
              <w:tab w:val="right" w:leader="dot" w:pos="9026"/>
            </w:tabs>
            <w:spacing w:before="120" w:after="60"/>
          </w:pPr>
          <w:hyperlink w:anchor="_Toc100057" w:history="1">
            <w:r>
              <w:rPr>
                <w:rStyle w:val="Hyperlink"/>
              </w:rPr>
              <w:t>10.4 Niveaux de détail par rôle</w:t>
            </w:r>
            <w:r>
              <w:tab/>
            </w:r>
            <w:r>
              <w:fldChar w:fldCharType="begin"/>
            </w:r>
            <w:r>
              <w:instrText xml:space="preserve"> PAGEREF _Toc100057 \h </w:instrText>
            </w:r>
            <w:r>
              <w:fldChar w:fldCharType="separate"/>
            </w:r>
            <w:r>
              <w:t>32</w:t>
            </w:r>
            <w:r>
              <w:fldChar w:fldCharType="end"/>
            </w:r>
          </w:hyperlink>
        </w:p>
        <w:p>
          <w:pPr>
            <w:pStyle w:val="11"/>
            <w:ind w:left="360"/>
            <w:tabs>
              <w:tab w:val="right" w:leader="dot" w:pos="9026"/>
            </w:tabs>
            <w:spacing w:before="120" w:after="60"/>
          </w:pPr>
          <w:hyperlink w:anchor="_Toc100058" w:history="1">
            <w:r>
              <w:rPr>
                <w:rStyle w:val="Hyperlink"/>
              </w:rPr>
              <w:t>10.5 Exports PDF et Excel</w:t>
            </w:r>
            <w:r>
              <w:tab/>
            </w:r>
            <w:r>
              <w:fldChar w:fldCharType="begin"/>
            </w:r>
            <w:r>
              <w:instrText xml:space="preserve"> PAGEREF _Toc100058 \h </w:instrText>
            </w:r>
            <w:r>
              <w:fldChar w:fldCharType="separate"/>
            </w:r>
            <w:r>
              <w:t>33</w:t>
            </w:r>
            <w:r>
              <w:fldChar w:fldCharType="end"/>
            </w:r>
          </w:hyperlink>
        </w:p>
        <w:p>
          <w:pPr>
            <w:pStyle w:val="11"/>
            <w:ind w:left="360"/>
            <w:tabs>
              <w:tab w:val="right" w:leader="dot" w:pos="9026"/>
            </w:tabs>
            <w:spacing w:before="120" w:after="60"/>
          </w:pPr>
          <w:hyperlink w:anchor="_Toc100059" w:history="1">
            <w:r>
              <w:rPr>
                <w:rStyle w:val="Hyperlink"/>
              </w:rPr>
              <w:t>10.6 Tableau de bord financier en temps réel</w:t>
            </w:r>
            <w:r>
              <w:tab/>
            </w:r>
            <w:r>
              <w:fldChar w:fldCharType="begin"/>
            </w:r>
            <w:r>
              <w:instrText xml:space="preserve"> PAGEREF _Toc100059 \h </w:instrText>
            </w:r>
            <w:r>
              <w:fldChar w:fldCharType="separate"/>
            </w:r>
            <w:r>
              <w:t>33</w:t>
            </w:r>
            <w:r>
              <w:fldChar w:fldCharType="end"/>
            </w:r>
          </w:hyperlink>
        </w:p>
        <w:p>
          <w:pPr>
            <w:pStyle w:val="9"/>
            <w:tabs>
              <w:tab w:val="right" w:leader="dot" w:pos="9026"/>
            </w:tabs>
            <w:spacing w:before="120" w:after="60"/>
          </w:pPr>
          <w:hyperlink w:anchor="_Toc100060" w:history="1">
            <w:r>
              <w:rPr>
                <w:rStyle w:val="Hyperlink"/>
              </w:rPr>
              <w:t>11. Modèle de données conceptuel</w:t>
            </w:r>
            <w:r>
              <w:tab/>
            </w:r>
            <w:r>
              <w:fldChar w:fldCharType="begin"/>
            </w:r>
            <w:r>
              <w:instrText xml:space="preserve"> PAGEREF _Toc100060 \h </w:instrText>
            </w:r>
            <w:r>
              <w:fldChar w:fldCharType="separate"/>
            </w:r>
            <w:r>
              <w:t>34</w:t>
            </w:r>
            <w:r>
              <w:fldChar w:fldCharType="end"/>
            </w:r>
          </w:hyperlink>
        </w:p>
        <w:p>
          <w:pPr>
            <w:pStyle w:val="11"/>
            <w:ind w:left="360"/>
            <w:tabs>
              <w:tab w:val="right" w:leader="dot" w:pos="9026"/>
            </w:tabs>
            <w:spacing w:before="120" w:after="60"/>
          </w:pPr>
          <w:hyperlink w:anchor="_Toc100061" w:history="1">
            <w:r>
              <w:rPr>
                <w:rStyle w:val="Hyperlink"/>
              </w:rPr>
              <w:t>11.1 Relations principales</w:t>
            </w:r>
            <w:r>
              <w:tab/>
            </w:r>
            <w:r>
              <w:fldChar w:fldCharType="begin"/>
            </w:r>
            <w:r>
              <w:instrText xml:space="preserve"> PAGEREF _Toc100061 \h </w:instrText>
            </w:r>
            <w:r>
              <w:fldChar w:fldCharType="separate"/>
            </w:r>
            <w:r>
              <w:t>34</w:t>
            </w:r>
            <w:r>
              <w:fldChar w:fldCharType="end"/>
            </w:r>
          </w:hyperlink>
        </w:p>
        <w:p>
          <w:pPr>
            <w:pStyle w:val="11"/>
            <w:ind w:left="360"/>
            <w:tabs>
              <w:tab w:val="right" w:leader="dot" w:pos="9026"/>
            </w:tabs>
            <w:spacing w:before="120" w:after="60"/>
          </w:pPr>
          <w:hyperlink w:anchor="_Toc100062" w:history="1">
            <w:r>
              <w:rPr>
                <w:rStyle w:val="Hyperlink"/>
              </w:rPr>
              <w:t>11.2 Règles d'intégrité</w:t>
            </w:r>
            <w:r>
              <w:tab/>
            </w:r>
            <w:r>
              <w:fldChar w:fldCharType="begin"/>
            </w:r>
            <w:r>
              <w:instrText xml:space="preserve"> PAGEREF _Toc100062 \h </w:instrText>
            </w:r>
            <w:r>
              <w:fldChar w:fldCharType="separate"/>
            </w:r>
            <w:r>
              <w:t>35</w:t>
            </w:r>
            <w:r>
              <w:fldChar w:fldCharType="end"/>
            </w:r>
          </w:hyperlink>
        </w:p>
        <w:p>
          <w:pPr>
            <w:pStyle w:val="9"/>
            <w:tabs>
              <w:tab w:val="right" w:leader="dot" w:pos="9026"/>
            </w:tabs>
            <w:spacing w:before="120" w:after="60"/>
          </w:pPr>
          <w:hyperlink w:anchor="_Toc100063" w:history="1">
            <w:r>
              <w:rPr>
                <w:rStyle w:val="Hyperlink"/>
              </w:rPr>
              <w:t>12. Règles de gestion essentielles</w:t>
            </w:r>
            <w:r>
              <w:tab/>
            </w:r>
            <w:r>
              <w:fldChar w:fldCharType="begin"/>
            </w:r>
            <w:r>
              <w:instrText xml:space="preserve"> PAGEREF _Toc100063 \h </w:instrText>
            </w:r>
            <w:r>
              <w:fldChar w:fldCharType="separate"/>
            </w:r>
            <w:r>
              <w:t>36</w:t>
            </w:r>
            <w:r>
              <w:fldChar w:fldCharType="end"/>
            </w:r>
          </w:hyperlink>
        </w:p>
        <w:p>
          <w:pPr>
            <w:pStyle w:val="9"/>
            <w:tabs>
              <w:tab w:val="right" w:leader="dot" w:pos="9026"/>
            </w:tabs>
            <w:spacing w:before="120" w:after="60"/>
          </w:pPr>
          <w:hyperlink w:anchor="_Toc100064" w:history="1">
            <w:r>
              <w:rPr>
                <w:rStyle w:val="Hyperlink"/>
              </w:rPr>
              <w:t>13. Cas limites et situations sensibles</w:t>
            </w:r>
            <w:r>
              <w:tab/>
            </w:r>
            <w:r>
              <w:fldChar w:fldCharType="begin"/>
            </w:r>
            <w:r>
              <w:instrText xml:space="preserve"> PAGEREF _Toc100064 \h </w:instrText>
            </w:r>
            <w:r>
              <w:fldChar w:fldCharType="separate"/>
            </w:r>
            <w:r>
              <w:t>36</w:t>
            </w:r>
            <w:r>
              <w:fldChar w:fldCharType="end"/>
            </w:r>
          </w:hyperlink>
        </w:p>
        <w:p>
          <w:pPr>
            <w:pStyle w:val="11"/>
            <w:ind w:left="360"/>
            <w:tabs>
              <w:tab w:val="right" w:leader="dot" w:pos="9026"/>
            </w:tabs>
            <w:spacing w:before="120" w:after="60"/>
          </w:pPr>
          <w:hyperlink w:anchor="_Toc100065" w:history="1">
            <w:r>
              <w:rPr>
                <w:rStyle w:val="Hyperlink"/>
              </w:rPr>
              <w:t>13.1 Décès ou indisponibilité du trésorier</w:t>
            </w:r>
            <w:r>
              <w:tab/>
            </w:r>
            <w:r>
              <w:fldChar w:fldCharType="begin"/>
            </w:r>
            <w:r>
              <w:instrText xml:space="preserve"> PAGEREF _Toc100065 \h </w:instrText>
            </w:r>
            <w:r>
              <w:fldChar w:fldCharType="separate"/>
            </w:r>
            <w:r>
              <w:t>36</w:t>
            </w:r>
            <w:r>
              <w:fldChar w:fldCharType="end"/>
            </w:r>
          </w:hyperlink>
        </w:p>
        <w:p>
          <w:pPr>
            <w:pStyle w:val="11"/>
            <w:ind w:left="360"/>
            <w:tabs>
              <w:tab w:val="right" w:leader="dot" w:pos="9026"/>
            </w:tabs>
            <w:spacing w:before="120" w:after="60"/>
          </w:pPr>
          <w:hyperlink w:anchor="_Toc100066" w:history="1">
            <w:r>
              <w:rPr>
                <w:rStyle w:val="Hyperlink"/>
              </w:rPr>
              <w:t>13.2 Caisse en déficit</w:t>
            </w:r>
            <w:r>
              <w:tab/>
            </w:r>
            <w:r>
              <w:fldChar w:fldCharType="begin"/>
            </w:r>
            <w:r>
              <w:instrText xml:space="preserve"> PAGEREF _Toc100066 \h </w:instrText>
            </w:r>
            <w:r>
              <w:fldChar w:fldCharType="separate"/>
            </w:r>
            <w:r>
              <w:t>37</w:t>
            </w:r>
            <w:r>
              <w:fldChar w:fldCharType="end"/>
            </w:r>
          </w:hyperlink>
        </w:p>
        <w:p>
          <w:pPr>
            <w:pStyle w:val="11"/>
            <w:ind w:left="360"/>
            <w:tabs>
              <w:tab w:val="right" w:leader="dot" w:pos="9026"/>
            </w:tabs>
            <w:spacing w:before="120" w:after="60"/>
          </w:pPr>
          <w:hyperlink w:anchor="_Toc100067" w:history="1">
            <w:r>
              <w:rPr>
                <w:rStyle w:val="Hyperlink"/>
              </w:rPr>
              <w:t>13.3 Fraude suspectée</w:t>
            </w:r>
            <w:r>
              <w:tab/>
            </w:r>
            <w:r>
              <w:fldChar w:fldCharType="begin"/>
            </w:r>
            <w:r>
              <w:instrText xml:space="preserve"> PAGEREF _Toc100067 \h </w:instrText>
            </w:r>
            <w:r>
              <w:fldChar w:fldCharType="separate"/>
            </w:r>
            <w:r>
              <w:t>38</w:t>
            </w:r>
            <w:r>
              <w:fldChar w:fldCharType="end"/>
            </w:r>
          </w:hyperlink>
        </w:p>
        <w:p>
          <w:pPr>
            <w:pStyle w:val="11"/>
            <w:ind w:left="360"/>
            <w:tabs>
              <w:tab w:val="right" w:leader="dot" w:pos="9026"/>
            </w:tabs>
            <w:spacing w:before="120" w:after="60"/>
          </w:pPr>
          <w:hyperlink w:anchor="_Toc100068" w:history="1">
            <w:r>
              <w:rPr>
                <w:rStyle w:val="Hyperlink"/>
              </w:rPr>
              <w:t>13.4 Devise étrangère (diaspora)</w:t>
            </w:r>
            <w:r>
              <w:tab/>
            </w:r>
            <w:r>
              <w:fldChar w:fldCharType="begin"/>
            </w:r>
            <w:r>
              <w:instrText xml:space="preserve"> PAGEREF _Toc100068 \h </w:instrText>
            </w:r>
            <w:r>
              <w:fldChar w:fldCharType="separate"/>
            </w:r>
            <w:r>
              <w:t>39</w:t>
            </w:r>
            <w:r>
              <w:fldChar w:fldCharType="end"/>
            </w:r>
          </w:hyperlink>
        </w:p>
        <w:p>
          <w:pPr>
            <w:pStyle w:val="11"/>
            <w:ind w:left="360"/>
            <w:tabs>
              <w:tab w:val="right" w:leader="dot" w:pos="9026"/>
            </w:tabs>
            <w:spacing w:before="120" w:after="60"/>
          </w:pPr>
          <w:hyperlink w:anchor="_Toc100069" w:history="1">
            <w:r>
              <w:rPr>
                <w:rStyle w:val="Hyperlink"/>
              </w:rPr>
              <w:t>13.5 Membre sans Mobile Money</w:t>
            </w:r>
            <w:r>
              <w:tab/>
            </w:r>
            <w:r>
              <w:fldChar w:fldCharType="begin"/>
            </w:r>
            <w:r>
              <w:instrText xml:space="preserve"> PAGEREF _Toc100069 \h </w:instrText>
            </w:r>
            <w:r>
              <w:fldChar w:fldCharType="separate"/>
            </w:r>
            <w:r>
              <w:t>39</w:t>
            </w:r>
            <w:r>
              <w:fldChar w:fldCharType="end"/>
            </w:r>
          </w:hyperlink>
        </w:p>
        <w:p>
          <w:pPr>
            <w:pStyle w:val="11"/>
            <w:ind w:left="360"/>
            <w:tabs>
              <w:tab w:val="right" w:leader="dot" w:pos="9026"/>
            </w:tabs>
            <w:spacing w:before="120" w:after="60"/>
          </w:pPr>
          <w:hyperlink w:anchor="_Toc100070" w:history="1">
            <w:r>
              <w:rPr>
                <w:rStyle w:val="Hyperlink"/>
              </w:rPr>
              <w:t>13.6 Transition de pouvoir</w:t>
            </w:r>
            <w:r>
              <w:tab/>
            </w:r>
            <w:r>
              <w:fldChar w:fldCharType="begin"/>
            </w:r>
            <w:r>
              <w:instrText xml:space="preserve"> PAGEREF _Toc100070 \h </w:instrText>
            </w:r>
            <w:r>
              <w:fldChar w:fldCharType="separate"/>
            </w:r>
            <w:r>
              <w:t>40</w:t>
            </w:r>
            <w:r>
              <w:fldChar w:fldCharType="end"/>
            </w:r>
          </w:hyperlink>
        </w:p>
        <w:p>
          <w:pPr>
            <w:pStyle w:val="11"/>
            <w:ind w:left="360"/>
            <w:tabs>
              <w:tab w:val="right" w:leader="dot" w:pos="9026"/>
            </w:tabs>
            <w:spacing w:before="120" w:after="60"/>
          </w:pPr>
          <w:hyperlink w:anchor="_Toc100071" w:history="1">
            <w:r>
              <w:rPr>
                <w:rStyle w:val="Hyperlink"/>
              </w:rPr>
              <w:t>13.7 Audit qui révèle des anomalies</w:t>
            </w:r>
            <w:r>
              <w:tab/>
            </w:r>
            <w:r>
              <w:fldChar w:fldCharType="begin"/>
            </w:r>
            <w:r>
              <w:instrText xml:space="preserve"> PAGEREF _Toc100071 \h </w:instrText>
            </w:r>
            <w:r>
              <w:fldChar w:fldCharType="separate"/>
            </w:r>
            <w:r>
              <w:t>41</w:t>
            </w:r>
            <w:r>
              <w:fldChar w:fldCharType="end"/>
            </w:r>
          </w:hyperlink>
        </w:p>
        <w:p>
          <w:pPr>
            <w:pStyle w:val="11"/>
            <w:ind w:left="360"/>
            <w:tabs>
              <w:tab w:val="right" w:leader="dot" w:pos="9026"/>
            </w:tabs>
            <w:spacing w:before="120" w:after="60"/>
          </w:pPr>
          <w:hyperlink w:anchor="_Toc100072" w:history="1">
            <w:r>
              <w:rPr>
                <w:rStyle w:val="Hyperlink"/>
              </w:rPr>
              <w:t>13.8 Cotisation non reçue mais réclamée</w:t>
            </w:r>
            <w:r>
              <w:tab/>
            </w:r>
            <w:r>
              <w:fldChar w:fldCharType="begin"/>
            </w:r>
            <w:r>
              <w:instrText xml:space="preserve"> PAGEREF _Toc100072 \h </w:instrText>
            </w:r>
            <w:r>
              <w:fldChar w:fldCharType="separate"/>
            </w:r>
            <w:r>
              <w:t>41</w:t>
            </w:r>
            <w:r>
              <w:fldChar w:fldCharType="end"/>
            </w:r>
          </w:hyperlink>
        </w:p>
        <w:p>
          <w:pPr>
            <w:pStyle w:val="9"/>
            <w:tabs>
              <w:tab w:val="right" w:leader="dot" w:pos="9026"/>
            </w:tabs>
            <w:spacing w:before="120" w:after="60"/>
          </w:pPr>
          <w:hyperlink w:anchor="_Toc100073" w:history="1">
            <w:r>
              <w:rPr>
                <w:rStyle w:val="Hyperlink"/>
              </w:rPr>
              <w:t>14. Wireframes textuels des écrans clés</w:t>
            </w:r>
            <w:r>
              <w:tab/>
            </w:r>
            <w:r>
              <w:fldChar w:fldCharType="begin"/>
            </w:r>
            <w:r>
              <w:instrText xml:space="preserve"> PAGEREF _Toc100073 \h </w:instrText>
            </w:r>
            <w:r>
              <w:fldChar w:fldCharType="separate"/>
            </w:r>
            <w:r>
              <w:t>42</w:t>
            </w:r>
            <w:r>
              <w:fldChar w:fldCharType="end"/>
            </w:r>
          </w:hyperlink>
        </w:p>
        <w:p>
          <w:pPr>
            <w:pStyle w:val="11"/>
            <w:ind w:left="360"/>
            <w:tabs>
              <w:tab w:val="right" w:leader="dot" w:pos="9026"/>
            </w:tabs>
            <w:spacing w:before="120" w:after="60"/>
          </w:pPr>
          <w:hyperlink w:anchor="_Toc100074" w:history="1">
            <w:r>
              <w:rPr>
                <w:rStyle w:val="Hyperlink"/>
              </w:rPr>
              <w:t>14.1 Tableau de bord financier</w:t>
            </w:r>
            <w:r>
              <w:tab/>
            </w:r>
            <w:r>
              <w:fldChar w:fldCharType="begin"/>
            </w:r>
            <w:r>
              <w:instrText xml:space="preserve"> PAGEREF _Toc100074 \h </w:instrText>
            </w:r>
            <w:r>
              <w:fldChar w:fldCharType="separate"/>
            </w:r>
            <w:r>
              <w:t>43</w:t>
            </w:r>
            <w:r>
              <w:fldChar w:fldCharType="end"/>
            </w:r>
          </w:hyperlink>
        </w:p>
        <w:p>
          <w:pPr>
            <w:pStyle w:val="11"/>
            <w:ind w:left="360"/>
            <w:tabs>
              <w:tab w:val="right" w:leader="dot" w:pos="9026"/>
            </w:tabs>
            <w:spacing w:before="120" w:after="60"/>
          </w:pPr>
          <w:hyperlink w:anchor="_Toc100075" w:history="1">
            <w:r>
              <w:rPr>
                <w:rStyle w:val="Hyperlink"/>
              </w:rPr>
              <w:t>14.2 Cotisation mensuelle (vue membre)</w:t>
            </w:r>
            <w:r>
              <w:tab/>
            </w:r>
            <w:r>
              <w:fldChar w:fldCharType="begin"/>
            </w:r>
            <w:r>
              <w:instrText xml:space="preserve"> PAGEREF _Toc100075 \h </w:instrText>
            </w:r>
            <w:r>
              <w:fldChar w:fldCharType="separate"/>
            </w:r>
            <w:r>
              <w:t>47</w:t>
            </w:r>
            <w:r>
              <w:fldChar w:fldCharType="end"/>
            </w:r>
          </w:hyperlink>
        </w:p>
        <w:p>
          <w:pPr>
            <w:pStyle w:val="11"/>
            <w:ind w:left="360"/>
            <w:tabs>
              <w:tab w:val="right" w:leader="dot" w:pos="9026"/>
            </w:tabs>
            <w:spacing w:before="120" w:after="60"/>
          </w:pPr>
          <w:hyperlink w:anchor="_Toc100076" w:history="1">
            <w:r>
              <w:rPr>
                <w:rStyle w:val="Hyperlink"/>
              </w:rPr>
              <w:t>14.3 Paiement Mobile Money</w:t>
            </w:r>
            <w:r>
              <w:tab/>
            </w:r>
            <w:r>
              <w:fldChar w:fldCharType="begin"/>
            </w:r>
            <w:r>
              <w:instrText xml:space="preserve"> PAGEREF _Toc100076 \h </w:instrText>
            </w:r>
            <w:r>
              <w:fldChar w:fldCharType="separate"/>
            </w:r>
            <w:r>
              <w:t>50</w:t>
            </w:r>
            <w:r>
              <w:fldChar w:fldCharType="end"/>
            </w:r>
          </w:hyperlink>
        </w:p>
        <w:p>
          <w:pPr>
            <w:pStyle w:val="11"/>
            <w:ind w:left="360"/>
            <w:tabs>
              <w:tab w:val="right" w:leader="dot" w:pos="9026"/>
            </w:tabs>
            <w:spacing w:before="120" w:after="60"/>
          </w:pPr>
          <w:hyperlink w:anchor="_Toc100077" w:history="1">
            <w:r>
              <w:rPr>
                <w:rStyle w:val="Hyperlink"/>
              </w:rPr>
              <w:t>14.4 Journal comptable (vue trésorier)</w:t>
            </w:r>
            <w:r>
              <w:tab/>
            </w:r>
            <w:r>
              <w:fldChar w:fldCharType="begin"/>
            </w:r>
            <w:r>
              <w:instrText xml:space="preserve"> PAGEREF _Toc100077 \h </w:instrText>
            </w:r>
            <w:r>
              <w:fldChar w:fldCharType="separate"/>
            </w:r>
            <w:r>
              <w:t>53</w:t>
            </w:r>
            <w:r>
              <w:fldChar w:fldCharType="end"/>
            </w:r>
          </w:hyperlink>
        </w:p>
        <w:p>
          <w:pPr>
            <w:pStyle w:val="11"/>
            <w:ind w:left="360"/>
            <w:tabs>
              <w:tab w:val="right" w:leader="dot" w:pos="9026"/>
            </w:tabs>
            <w:spacing w:before="120" w:after="60"/>
          </w:pPr>
          <w:hyperlink w:anchor="_Toc100078" w:history="1">
            <w:r>
              <w:rPr>
                <w:rStyle w:val="Hyperlink"/>
              </w:rPr>
              <w:t>14.5 Rapport mensuel (extrait)</w:t>
            </w:r>
            <w:r>
              <w:tab/>
            </w:r>
            <w:r>
              <w:fldChar w:fldCharType="begin"/>
            </w:r>
            <w:r>
              <w:instrText xml:space="preserve"> PAGEREF _Toc100078 \h </w:instrText>
            </w:r>
            <w:r>
              <w:fldChar w:fldCharType="separate"/>
            </w:r>
            <w:r>
              <w:t>57</w:t>
            </w:r>
            <w:r>
              <w:fldChar w:fldCharType="end"/>
            </w:r>
          </w:hyperlink>
        </w:p>
        <w:p>
          <w:pPr>
            <w:pStyle w:val="9"/>
            <w:tabs>
              <w:tab w:val="right" w:leader="dot" w:pos="9026"/>
            </w:tabs>
            <w:spacing w:before="120" w:after="60"/>
          </w:pPr>
          <w:hyperlink w:anchor="_Toc100079" w:history="1">
            <w:r>
              <w:rPr>
                <w:rStyle w:val="Hyperlink"/>
              </w:rPr>
              <w:t>15. Roadmap MVP et séquençage</w:t>
            </w:r>
            <w:r>
              <w:tab/>
            </w:r>
            <w:r>
              <w:fldChar w:fldCharType="begin"/>
            </w:r>
            <w:r>
              <w:instrText xml:space="preserve"> PAGEREF _Toc100079 \h </w:instrText>
            </w:r>
            <w:r>
              <w:fldChar w:fldCharType="separate"/>
            </w:r>
            <w:r>
              <w:t>61</w:t>
            </w:r>
            <w:r>
              <w:fldChar w:fldCharType="end"/>
            </w:r>
          </w:hyperlink>
        </w:p>
        <w:p>
          <w:pPr>
            <w:pStyle w:val="11"/>
            <w:ind w:left="360"/>
            <w:tabs>
              <w:tab w:val="right" w:leader="dot" w:pos="9026"/>
            </w:tabs>
            <w:spacing w:before="120" w:after="60"/>
          </w:pPr>
          <w:hyperlink w:anchor="_Toc100080" w:history="1">
            <w:r>
              <w:rPr>
                <w:rStyle w:val="Hyperlink"/>
              </w:rPr>
              <w:t>15.1 Phase 1 — MVP (mois 4 à 9)</w:t>
            </w:r>
            <w:r>
              <w:tab/>
            </w:r>
            <w:r>
              <w:fldChar w:fldCharType="begin"/>
            </w:r>
            <w:r>
              <w:instrText xml:space="preserve"> PAGEREF _Toc100080 \h </w:instrText>
            </w:r>
            <w:r>
              <w:fldChar w:fldCharType="separate"/>
            </w:r>
            <w:r>
              <w:t>61</w:t>
            </w:r>
            <w:r>
              <w:fldChar w:fldCharType="end"/>
            </w:r>
          </w:hyperlink>
        </w:p>
        <w:p>
          <w:pPr>
            <w:pStyle w:val="11"/>
            <w:ind w:left="360"/>
            <w:tabs>
              <w:tab w:val="right" w:leader="dot" w:pos="9026"/>
            </w:tabs>
            <w:spacing w:before="120" w:after="60"/>
          </w:pPr>
          <w:hyperlink w:anchor="_Toc100081" w:history="1">
            <w:r>
              <w:rPr>
                <w:rStyle w:val="Hyperlink"/>
              </w:rPr>
              <w:t>15.2 Phase 2 — Enrichissement (mois 10 à 14)</w:t>
            </w:r>
            <w:r>
              <w:tab/>
            </w:r>
            <w:r>
              <w:fldChar w:fldCharType="begin"/>
            </w:r>
            <w:r>
              <w:instrText xml:space="preserve"> PAGEREF _Toc100081 \h </w:instrText>
            </w:r>
            <w:r>
              <w:fldChar w:fldCharType="separate"/>
            </w:r>
            <w:r>
              <w:t>62</w:t>
            </w:r>
            <w:r>
              <w:fldChar w:fldCharType="end"/>
            </w:r>
          </w:hyperlink>
        </w:p>
        <w:p>
          <w:pPr>
            <w:pStyle w:val="11"/>
            <w:ind w:left="360"/>
            <w:tabs>
              <w:tab w:val="right" w:leader="dot" w:pos="9026"/>
            </w:tabs>
            <w:spacing w:before="120" w:after="60"/>
          </w:pPr>
          <w:hyperlink w:anchor="_Toc100082" w:history="1">
            <w:r>
              <w:rPr>
                <w:rStyle w:val="Hyperlink"/>
              </w:rPr>
              <w:t>15.3 Phase 3 — Maturité (mois 15 à 20)</w:t>
            </w:r>
            <w:r>
              <w:tab/>
            </w:r>
            <w:r>
              <w:fldChar w:fldCharType="begin"/>
            </w:r>
            <w:r>
              <w:instrText xml:space="preserve"> PAGEREF _Toc100082 \h </w:instrText>
            </w:r>
            <w:r>
              <w:fldChar w:fldCharType="separate"/>
            </w:r>
            <w:r>
              <w:t>62</w:t>
            </w:r>
            <w:r>
              <w:fldChar w:fldCharType="end"/>
            </w:r>
          </w:hyperlink>
        </w:p>
        <w:p>
          <w:pPr>
            <w:pStyle w:val="9"/>
            <w:tabs>
              <w:tab w:val="right" w:leader="dot" w:pos="9026"/>
            </w:tabs>
            <w:spacing w:before="120" w:after="60"/>
          </w:pPr>
          <w:hyperlink w:anchor="_Toc100083" w:history="1">
            <w:r>
              <w:rPr>
                <w:rStyle w:val="Hyperlink"/>
              </w:rPr>
              <w:t>16. Risques et points d'attention</w:t>
            </w:r>
            <w:r>
              <w:tab/>
            </w:r>
            <w:r>
              <w:fldChar w:fldCharType="begin"/>
            </w:r>
            <w:r>
              <w:instrText xml:space="preserve"> PAGEREF _Toc100083 \h </w:instrText>
            </w:r>
            <w:r>
              <w:fldChar w:fldCharType="separate"/>
            </w:r>
            <w:r>
              <w:t>63</w:t>
            </w:r>
            <w:r>
              <w:fldChar w:fldCharType="end"/>
            </w:r>
          </w:hyperlink>
        </w:p>
        <w:p>
          <w:pPr>
            <w:pStyle w:val="11"/>
            <w:ind w:left="360"/>
            <w:tabs>
              <w:tab w:val="right" w:leader="dot" w:pos="9026"/>
            </w:tabs>
            <w:spacing w:before="120" w:after="60"/>
          </w:pPr>
          <w:hyperlink w:anchor="_Toc100084" w:history="1">
            <w:r>
              <w:rPr>
                <w:rStyle w:val="Hyperlink"/>
              </w:rPr>
              <w:t>16.1 Fraude</w:t>
            </w:r>
            <w:r>
              <w:tab/>
            </w:r>
            <w:r>
              <w:fldChar w:fldCharType="begin"/>
            </w:r>
            <w:r>
              <w:instrText xml:space="preserve"> PAGEREF _Toc100084 \h </w:instrText>
            </w:r>
            <w:r>
              <w:fldChar w:fldCharType="separate"/>
            </w:r>
            <w:r>
              <w:t>63</w:t>
            </w:r>
            <w:r>
              <w:fldChar w:fldCharType="end"/>
            </w:r>
          </w:hyperlink>
        </w:p>
        <w:p>
          <w:pPr>
            <w:pStyle w:val="11"/>
            <w:ind w:left="360"/>
            <w:tabs>
              <w:tab w:val="right" w:leader="dot" w:pos="9026"/>
            </w:tabs>
            <w:spacing w:before="120" w:after="60"/>
          </w:pPr>
          <w:hyperlink w:anchor="_Toc100085" w:history="1">
            <w:r>
              <w:rPr>
                <w:rStyle w:val="Hyperlink"/>
              </w:rPr>
              <w:t>16.2 Erreurs de saisie</w:t>
            </w:r>
            <w:r>
              <w:tab/>
            </w:r>
            <w:r>
              <w:fldChar w:fldCharType="begin"/>
            </w:r>
            <w:r>
              <w:instrText xml:space="preserve"> PAGEREF _Toc100085 \h </w:instrText>
            </w:r>
            <w:r>
              <w:fldChar w:fldCharType="separate"/>
            </w:r>
            <w:r>
              <w:t>63</w:t>
            </w:r>
            <w:r>
              <w:fldChar w:fldCharType="end"/>
            </w:r>
          </w:hyperlink>
        </w:p>
        <w:p>
          <w:pPr>
            <w:pStyle w:val="11"/>
            <w:ind w:left="360"/>
            <w:tabs>
              <w:tab w:val="right" w:leader="dot" w:pos="9026"/>
            </w:tabs>
            <w:spacing w:before="120" w:after="60"/>
          </w:pPr>
          <w:hyperlink w:anchor="_Toc100086" w:history="1">
            <w:r>
              <w:rPr>
                <w:rStyle w:val="Hyperlink"/>
              </w:rPr>
              <w:t>16.3 Indisponibilité Mobile Money</w:t>
            </w:r>
            <w:r>
              <w:tab/>
            </w:r>
            <w:r>
              <w:fldChar w:fldCharType="begin"/>
            </w:r>
            <w:r>
              <w:instrText xml:space="preserve"> PAGEREF _Toc100086 \h </w:instrText>
            </w:r>
            <w:r>
              <w:fldChar w:fldCharType="separate"/>
            </w:r>
            <w:r>
              <w:t>63</w:t>
            </w:r>
            <w:r>
              <w:fldChar w:fldCharType="end"/>
            </w:r>
          </w:hyperlink>
        </w:p>
        <w:p>
          <w:pPr>
            <w:pStyle w:val="11"/>
            <w:ind w:left="360"/>
            <w:tabs>
              <w:tab w:val="right" w:leader="dot" w:pos="9026"/>
            </w:tabs>
            <w:spacing w:before="120" w:after="60"/>
          </w:pPr>
          <w:hyperlink w:anchor="_Toc100087" w:history="1">
            <w:r>
              <w:rPr>
                <w:rStyle w:val="Hyperlink"/>
              </w:rPr>
              <w:t>16.4 Tensions sur les dépenses</w:t>
            </w:r>
            <w:r>
              <w:tab/>
            </w:r>
            <w:r>
              <w:fldChar w:fldCharType="begin"/>
            </w:r>
            <w:r>
              <w:instrText xml:space="preserve"> PAGEREF _Toc100087 \h </w:instrText>
            </w:r>
            <w:r>
              <w:fldChar w:fldCharType="separate"/>
            </w:r>
            <w:r>
              <w:t>64</w:t>
            </w:r>
            <w:r>
              <w:fldChar w:fldCharType="end"/>
            </w:r>
          </w:hyperlink>
        </w:p>
        <w:p>
          <w:pPr>
            <w:pStyle w:val="11"/>
            <w:ind w:left="360"/>
            <w:tabs>
              <w:tab w:val="right" w:leader="dot" w:pos="9026"/>
            </w:tabs>
            <w:spacing w:before="120" w:after="60"/>
          </w:pPr>
          <w:hyperlink w:anchor="_Toc100088" w:history="1">
            <w:r>
              <w:rPr>
                <w:rStyle w:val="Hyperlink"/>
              </w:rPr>
              <w:t>16.5 Confidentialité des montants</w:t>
            </w:r>
            <w:r>
              <w:tab/>
            </w:r>
            <w:r>
              <w:fldChar w:fldCharType="begin"/>
            </w:r>
            <w:r>
              <w:instrText xml:space="preserve"> PAGEREF _Toc100088 \h </w:instrText>
            </w:r>
            <w:r>
              <w:fldChar w:fldCharType="separate"/>
            </w:r>
            <w:r>
              <w:t>64</w:t>
            </w:r>
            <w:r>
              <w:fldChar w:fldCharType="end"/>
            </w:r>
          </w:hyperlink>
        </w:p>
        <w:p>
          <w:pPr>
            <w:pStyle w:val="11"/>
            <w:ind w:left="360"/>
            <w:tabs>
              <w:tab w:val="right" w:leader="dot" w:pos="9026"/>
            </w:tabs>
            <w:spacing w:before="120" w:after="60"/>
          </w:pPr>
          <w:hyperlink w:anchor="_Toc100089" w:history="1">
            <w:r>
              <w:rPr>
                <w:rStyle w:val="Hyperlink"/>
              </w:rPr>
              <w:t>16.6 Dépendance aux opérateurs</w:t>
            </w:r>
            <w:r>
              <w:tab/>
            </w:r>
            <w:r>
              <w:fldChar w:fldCharType="begin"/>
            </w:r>
            <w:r>
              <w:instrText xml:space="preserve"> PAGEREF _Toc100089 \h </w:instrText>
            </w:r>
            <w:r>
              <w:fldChar w:fldCharType="separate"/>
            </w:r>
            <w:r>
              <w:t>64</w:t>
            </w:r>
            <w:r>
              <w:fldChar w:fldCharType="end"/>
            </w:r>
          </w:hyperlink>
        </w:p>
        <w:p>
          <w:pPr>
            <w:pStyle w:val="11"/>
            <w:ind w:left="360"/>
            <w:tabs>
              <w:tab w:val="right" w:leader="dot" w:pos="9026"/>
            </w:tabs>
            <w:spacing w:before="120" w:after="60"/>
          </w:pPr>
          <w:hyperlink w:anchor="_Toc100090" w:history="1">
            <w:r>
              <w:rPr>
                <w:rStyle w:val="Hyperlink"/>
              </w:rPr>
              <w:t>16.7 Surcharge du trésorier</w:t>
            </w:r>
            <w:r>
              <w:tab/>
            </w:r>
            <w:r>
              <w:fldChar w:fldCharType="begin"/>
            </w:r>
            <w:r>
              <w:instrText xml:space="preserve"> PAGEREF _Toc100090 \h </w:instrText>
            </w:r>
            <w:r>
              <w:fldChar w:fldCharType="separate"/>
            </w:r>
            <w:r>
              <w:t>65</w:t>
            </w:r>
            <w:r>
              <w:fldChar w:fldCharType="end"/>
            </w:r>
          </w:hyperlink>
        </w:p>
        <w:p>
          <w:pPr>
            <w:pStyle w:val="9"/>
            <w:tabs>
              <w:tab w:val="right" w:leader="dot" w:pos="9026"/>
            </w:tabs>
            <w:spacing w:before="120" w:after="60"/>
          </w:pPr>
          <w:hyperlink w:anchor="_Toc100091" w:history="1">
            <w:r>
              <w:rPr>
                <w:rStyle w:val="Hyperlink"/>
              </w:rPr>
              <w:t>17. Indicateurs de succès</w:t>
            </w:r>
            <w:r>
              <w:tab/>
            </w:r>
            <w:r>
              <w:fldChar w:fldCharType="begin"/>
            </w:r>
            <w:r>
              <w:instrText xml:space="preserve"> PAGEREF _Toc100091 \h </w:instrText>
            </w:r>
            <w:r>
              <w:fldChar w:fldCharType="separate"/>
            </w:r>
            <w:r>
              <w:t>65</w:t>
            </w:r>
            <w:r>
              <w:fldChar w:fldCharType="end"/>
            </w:r>
          </w:hyperlink>
        </w:p>
        <w:p>
          <w:pPr>
            <w:pStyle w:val="9"/>
            <w:tabs>
              <w:tab w:val="right" w:leader="dot" w:pos="9026"/>
            </w:tabs>
            <w:spacing w:before="120" w:after="60"/>
          </w:pPr>
          <w:hyperlink w:anchor="_Toc100092" w:history="1">
            <w:r>
              <w:rPr>
                <w:rStyle w:val="Hyperlink"/>
              </w:rPr>
              <w:t>18. Conclusion</w:t>
            </w:r>
            <w:r>
              <w:tab/>
            </w:r>
            <w:r>
              <w:fldChar w:fldCharType="begin"/>
            </w:r>
            <w:r>
              <w:instrText xml:space="preserve"> PAGEREF _Toc100092 \h </w:instrText>
            </w:r>
            <w:r>
              <w:fldChar w:fldCharType="separate"/>
            </w:r>
            <w:r>
              <w:t>65</w:t>
            </w:r>
            <w:r>
              <w:fldChar w:fldCharType="end"/>
            </w:r>
          </w:hyperlink>
        </w:p>
        <w:p>
          <w:pPr>
            <w:pStyle w:val="11"/>
            <w:ind w:left="360"/>
            <w:tabs>
              <w:tab w:val="right" w:leader="dot" w:pos="9026"/>
            </w:tabs>
            <w:spacing w:before="120" w:after="60"/>
          </w:pPr>
          <w:hyperlink w:anchor="_Toc100093" w:history="1">
            <w:r>
              <w:rPr>
                <w:rStyle w:val="Hyperlink"/>
              </w:rPr>
              <w:t>Prochaines étapes recommandées</w:t>
            </w:r>
            <w:r>
              <w:tab/>
            </w:r>
            <w:r>
              <w:fldChar w:fldCharType="begin"/>
            </w:r>
            <w:r>
              <w:instrText xml:space="preserve"> PAGEREF _Toc100093 \h </w:instrText>
            </w:r>
            <w:r>
              <w:fldChar w:fldCharType="separate"/>
            </w:r>
            <w:r>
              <w:t>66</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L'Univers 4, intitulé « Les Finances », est le poumon technique de l'application. Sans lui, aucun versement n'est possible, aucune cotisation n'est traçable, aucune solidarité ne peut être concrétisée. Plus encore que l'Univers 3, qui traite des situations de solidarité, l'Univers 4 gère l'infrastructure financière qui sous-tend toute la vie familiale : la caisse, les cotisations régulières, les paiements Mobile Money, la comptabilité, le budget, l'audit et la transparence. C'est le module où une faille technique ou une perte de confiance peut discréditer définitivement l'ensemble du système.</w:t>
      </w:r>
    </w:p>
    <w:p>
      <w:pPr>
        <w:spacing w:after="160" w:line="312"/>
        <w:ind w:firstLine="360"/>
        <w:jc w:val="left"/>
      </w:pPr>
      <w:r>
        <w:rPr>
          <w:rFonts w:ascii="Calibri" w:eastAsia="Calibri"/>
          <w:color w:val="1A1A1A"/>
          <w:sz w:val="22"/>
          <w:szCs w:val="22"/>
        </w:rPr>
        <w:t xml:space="preserve">La proposition centrale de l'Univers 4 est de remplacer la gestion opaque d'aujourd'hui — cahiers du trésorier, transferts WhatsApp non tracés, cotisations en espèces sans reçu, rapports annuels approximatifs — par une infrastructure financière numérique transparente, traçable et auditable. Chaque FCFA qui entre ou sort de la caisse familiale est enregistré dans un journal immutable, rapproché avec un paiement Mobile Money ou un justificatif, validé selon des règles de gouvernance, et consultable par les autorités familiales. Le système ne supprime pas le trésorier : il le dote d'outils professionnels et le protège des soupçons.</w:t>
      </w:r>
    </w:p>
    <w:p>
      <w:pPr>
        <w:spacing w:after="160" w:line="312"/>
        <w:ind w:firstLine="360"/>
        <w:jc w:val="left"/>
      </w:pPr>
      <w:r>
        <w:rPr>
          <w:rFonts w:ascii="Calibri" w:eastAsia="Calibri"/>
          <w:color w:val="1A1A1A"/>
          <w:sz w:val="22"/>
          <w:szCs w:val="22"/>
        </w:rPr>
        <w:t xml:space="preserve">Le présent document définit le rôle, les objectifs, l'architecture en sept modules, le modèle de données, les règles de gestion, les cas limites et la roadmap de l'Univers 4. Il s'appuie sur l'Univers 1 (membres, branches, rôles) pour identifier les ayants droit et les responsables, sur l'Univers 2 (événements) pour le déclenchement des budgets et des paiements, et sur l'Univers 3 (solidarité) pour les collectes ciblées. L'Univers 4 est conçu pour transformer un sujet explosif en une discipline partagée, sans alourdir la charge des trésoriers bénévoles qui assurent ce service essentiel.</w:t>
      </w:r>
    </w:p>
    <w:p>
      <w:pPr>
        <w:pStyle w:val="Heading1"/>
        <w:spacing w:after="240" w:before="480" w:line="360"/>
      </w:pPr>
      <w:bookmarkStart w:id="100001" w:name="_Toc100001"/>
      <w:r>
        <w:rPr>
          <w:rFonts w:ascii="Calibri" w:eastAsia="Calibri"/>
          <w:b/>
          <w:bCs/>
          <w:color w:val="2A4A3A"/>
          <w:sz w:val="32"/>
          <w:szCs w:val="32"/>
        </w:rPr>
        <w:t xml:space="preserve">1. Rôle et finalité de l'Univers 4</w:t>
      </w:r>
      <w:bookmarkEnd w:id="100001"/>
    </w:p>
    <w:p>
      <w:pPr>
        <w:pStyle w:val="Heading2"/>
        <w:spacing w:after="160" w:before="320" w:line="340"/>
      </w:pPr>
      <w:bookmarkStart w:id="100002" w:name="_Toc100002"/>
      <w:r>
        <w:rPr>
          <w:rFonts w:ascii="Calibri" w:eastAsia="Calibri"/>
          <w:b/>
          <w:bCs/>
          <w:color w:val="2A4A3A"/>
          <w:sz w:val="28"/>
          <w:szCs w:val="28"/>
        </w:rPr>
        <w:t xml:space="preserve">1.1 Rôle stratégique</w:t>
      </w:r>
      <w:bookmarkEnd w:id="100002"/>
    </w:p>
    <w:p>
      <w:pPr>
        <w:spacing w:after="160" w:line="312"/>
        <w:ind w:firstLine="360"/>
        <w:jc w:val="left"/>
      </w:pPr>
      <w:r>
        <w:rPr>
          <w:rFonts w:ascii="Calibri" w:eastAsia="Calibri"/>
          <w:color w:val="1A1A1A"/>
          <w:sz w:val="22"/>
          <w:szCs w:val="22"/>
        </w:rPr>
        <w:t xml:space="preserve">L'Univers 4 joue quatre rôles stratégiques imbriqués qui en font le poumon technique de l'application.</w:t>
      </w:r>
    </w:p>
    <w:p>
      <w:pPr>
        <w:spacing w:after="160" w:line="312"/>
        <w:ind w:firstLine="360"/>
        <w:jc w:val="left"/>
      </w:pPr>
      <w:r>
        <w:rPr>
          <w:rFonts w:ascii="Calibri" w:eastAsia="Calibri"/>
          <w:color w:val="1A1A1A"/>
          <w:sz w:val="22"/>
          <w:szCs w:val="22"/>
        </w:rPr>
        <w:t xml:space="preserve">Premièrement, il est l'infrastructure de paiement de toute la famille. Chaque FCFA qui transite par la famille — cotisation mensuelle, contribution à un décès, versement d'une bourse scolaire, paiement d'un fournisseur pour un congrès — passe par l'Univers 4. Celui-ci intègre les opérateurs Mobile Money du Cameroun (MTN MoMo, Orange Money), les virements bancaires pour la diaspora, la gestion des espèces pour les membres sans accès numérique, et la prise en charge des devises étrangères. Sans cette infrastructure, l'Univers 3 (Solidarité) ne pourrait pas exécuter ses collectes, et les Univers 2 et 5 ne pourraient pas organiser leurs événements et votes impliquant des contributions.</w:t>
      </w:r>
    </w:p>
    <w:p>
      <w:pPr>
        <w:spacing w:after="160" w:line="312"/>
        <w:ind w:firstLine="360"/>
        <w:jc w:val="left"/>
      </w:pPr>
      <w:r>
        <w:rPr>
          <w:rFonts w:ascii="Calibri" w:eastAsia="Calibri"/>
          <w:color w:val="1A1A1A"/>
          <w:sz w:val="22"/>
          <w:szCs w:val="22"/>
        </w:rPr>
        <w:t xml:space="preserve">Deuxièmement, il est le garant de la transparence financière. Dans les grandes familles africaines, l'argent est la source numéro un des conflits. Les rumeurs de détournement, les soupçons sur les montants réellement collectés, les frustrations sur les dépenses non justifiées : tout cela déchire les familles plus souvent qu'on ne le pense. L'Univers 4 impose la discipline radicale déjà évoquée dans l'Univers 3, mais étendue à l'ensemble des flux financiers : chaque entrée et chaque sortie sont enregistrées dans un journal immutable, rapprochées avec un justificatif, validées selon des règles de gouvernance, et publiées dans des rapports automatiques. La transparence n'est plus une option negociable : elle est inscrite dans le système.</w:t>
      </w:r>
    </w:p>
    <w:p>
      <w:pPr>
        <w:spacing w:after="160" w:line="312"/>
        <w:ind w:firstLine="360"/>
        <w:jc w:val="left"/>
      </w:pPr>
      <w:r>
        <w:rPr>
          <w:rFonts w:ascii="Calibri" w:eastAsia="Calibri"/>
          <w:color w:val="1A1A1A"/>
          <w:sz w:val="22"/>
          <w:szCs w:val="22"/>
        </w:rPr>
        <w:t xml:space="preserve">Troisièmement, il est le cadre de la planification budgétaire. Une grande famille dépense chaque année plusieurs millions de FCFA : congrès biennal, aides sociales récurrentes, frais de fonctionnement (communications, déplacements des représentants), investissements exceptionnels (achat d'un terrain familial, construction d'une case de passage). Sans planification, ces dépenses se font au fil de l'eau, sous la pression des événements, et aboutissent à des déficits ou à des cotisations exceptionnelles mal reçues. L'Univers 4 propose un cadre budgétaire annuel, voté par le conseil, suivi mensuellement, avec alertes en cas de dérive. C'est la fin de l'improvisation financière.</w:t>
      </w:r>
    </w:p>
    <w:p>
      <w:pPr>
        <w:spacing w:after="160" w:line="312"/>
        <w:ind w:firstLine="360"/>
        <w:jc w:val="left"/>
      </w:pPr>
      <w:r>
        <w:rPr>
          <w:rFonts w:ascii="Calibri" w:eastAsia="Calibri"/>
          <w:color w:val="1A1A1A"/>
          <w:sz w:val="22"/>
          <w:szCs w:val="22"/>
        </w:rPr>
        <w:t xml:space="preserve">Quatrièmement, il est la mémoire comptable de la famille. Chaque exercice annuel est clôturé, archivé, et consultable. Les descendants peuvent, dans vingt ou cinquante ans, voir comment la famille gérait ses finances, quelles étaient les priorités de dépense, comment les cotisations évoluaient. Cette mémoire est précieuse pour la transmission institutionnelle et pour la prévention des conflits : en cas de contestation, même des années plus tard, les archives comptables tranchent.</w:t>
      </w:r>
    </w:p>
    <w:p>
      <w:pPr>
        <w:pStyle w:val="Heading2"/>
        <w:spacing w:after="160" w:before="320" w:line="340"/>
      </w:pPr>
      <w:bookmarkStart w:id="100003" w:name="_Toc100003"/>
      <w:r>
        <w:rPr>
          <w:rFonts w:ascii="Calibri" w:eastAsia="Calibri"/>
          <w:b/>
          <w:bCs/>
          <w:color w:val="2A4A3A"/>
          <w:sz w:val="28"/>
          <w:szCs w:val="28"/>
        </w:rPr>
        <w:t xml:space="preserve">1.2 Finalité opérationnelle</w:t>
      </w:r>
      <w:bookmarkEnd w:id="100003"/>
    </w:p>
    <w:p>
      <w:pPr>
        <w:spacing w:after="160" w:line="312"/>
        <w:ind w:firstLine="360"/>
        <w:jc w:val="left"/>
      </w:pPr>
      <w:r>
        <w:rPr>
          <w:rFonts w:ascii="Calibri" w:eastAsia="Calibri"/>
          <w:color w:val="1A1A1A"/>
          <w:sz w:val="22"/>
          <w:szCs w:val="22"/>
        </w:rPr>
        <w:t xml:space="preserve">Sur le plan opérationnel, l'Univers 4 poursuit une finalité claire : qu'à tout moment, tout membre autorisé puisse répondre à six questions fondamentales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 est le solde actuel de la caisse familiale, et sa décomposition par caisse (principale, branches, solidarité)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Suis-je à jour de mes cotisations, et quel est mon historique de contribution sur les 12 derniers mois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Comment puis-je effectuer un paiement (cotisation, contribution à un événement), et par quel canal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sont les dépenses du mois, et avec quels justificatifs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 est le budget annuel en cours, et où en est l'exécution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question ou de contestation, à qui m'adresser, et quel est le processus d'audit ?</w:t>
      </w:r>
    </w:p>
    <w:p>
      <w:pPr>
        <w:spacing w:after="160" w:line="312"/>
        <w:ind w:firstLine="360"/>
        <w:jc w:val="left"/>
      </w:pPr>
      <w:r>
        <w:rPr>
          <w:rFonts w:ascii="Calibri" w:eastAsia="Calibri"/>
          <w:color w:val="1A1A1A"/>
          <w:sz w:val="22"/>
          <w:szCs w:val="22"/>
        </w:rPr>
        <w:t xml:space="preserve">Si ces six questions trouvent une réponse immédiate et fiable, l'Univers 4 remplit sa mission. La finance cesse d'être un sujet d'inquiétude pour devenir un fonctionnement maîtrisé.</w:t>
      </w:r>
    </w:p>
    <w:p>
      <w:pPr>
        <w:pStyle w:val="Heading2"/>
        <w:spacing w:after="160" w:before="320" w:line="340"/>
      </w:pPr>
      <w:bookmarkStart w:id="100004" w:name="_Toc100004"/>
      <w:r>
        <w:rPr>
          <w:rFonts w:ascii="Calibri" w:eastAsia="Calibri"/>
          <w:b/>
          <w:bCs/>
          <w:color w:val="2A4A3A"/>
          <w:sz w:val="28"/>
          <w:szCs w:val="28"/>
        </w:rPr>
        <w:t xml:space="preserve">1.3 Trois piliers de la confiance financière</w:t>
      </w:r>
      <w:bookmarkEnd w:id="100004"/>
    </w:p>
    <w:p>
      <w:pPr>
        <w:spacing w:after="160" w:line="312"/>
        <w:ind w:firstLine="360"/>
        <w:jc w:val="left"/>
      </w:pPr>
      <w:r>
        <w:rPr>
          <w:rFonts w:ascii="Calibri" w:eastAsia="Calibri"/>
          <w:color w:val="1A1A1A"/>
          <w:sz w:val="22"/>
          <w:szCs w:val="22"/>
        </w:rPr>
        <w:t xml:space="preserve">L'Univers 4 distinguera systématiquement trois piliers qui structurent toute la conception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 pilier opérationnel —</w:t>
      </w:r>
      <w:r>
        <w:rPr>
          <w:rFonts w:ascii="Calibri" w:eastAsia="Calibri"/>
          <w:color w:val="1A1A1A"/>
          <w:sz w:val="22"/>
          <w:szCs w:val="22"/>
        </w:rPr>
        <w:t xml:space="preserve"> les outils du quotidien : caisse, cotisations, paiements, Mobile Money. Leur qualité conditionne l'adoption par les trésoriers et les membres.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 pilier comptable —</w:t>
      </w:r>
      <w:r>
        <w:rPr>
          <w:rFonts w:ascii="Calibri" w:eastAsia="Calibri"/>
          <w:color w:val="1A1A1A"/>
          <w:sz w:val="22"/>
          <w:szCs w:val="22"/>
        </w:rPr>
        <w:t xml:space="preserve"> la rigueur de la trace : journal, plan comptable, balance, états financiers, clôture annuelle. Leur qualité conditionne la confiance et la résilience aux contestations.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 pilier de gouvernance —</w:t>
      </w:r>
      <w:r>
        <w:rPr>
          <w:rFonts w:ascii="Calibri" w:eastAsia="Calibri"/>
          <w:color w:val="1A1A1A"/>
          <w:sz w:val="22"/>
          <w:szCs w:val="22"/>
        </w:rPr>
        <w:t xml:space="preserve"> les règles du contrôle : double validation, justificatifs, audit, transparence. Leur qualité conditionne la prévention des fraudes et des erreurs.</w:t>
      </w:r>
    </w:p>
    <w:p>
      <w:pPr>
        <w:spacing w:after="160" w:line="312"/>
        <w:ind w:firstLine="360"/>
        <w:jc w:val="left"/>
      </w:pPr>
      <w:r>
        <w:rPr>
          <w:rFonts w:ascii="Calibri" w:eastAsia="Calibri"/>
          <w:color w:val="1A1A1A"/>
          <w:sz w:val="22"/>
          <w:szCs w:val="22"/>
        </w:rPr>
        <w:t xml:space="preserve">Ces trois piliers sont indissociables. Un système opérationnel sans rigueur comptable finit dans le chaos ; un système comptable sans outils opérationnels est contourné ; un système avec contrôles sans infrastructure de paiement est inutile. L'Univers 4 les traite conjointement.</w:t>
      </w:r>
    </w:p>
    <w:p>
      <w:pPr>
        <w:pStyle w:val="Heading1"/>
        <w:spacing w:after="240" w:before="480" w:line="360"/>
      </w:pPr>
      <w:bookmarkStart w:id="100005" w:name="_Toc100005"/>
      <w:r>
        <w:rPr>
          <w:rFonts w:ascii="Calibri" w:eastAsia="Calibri"/>
          <w:b/>
          <w:bCs/>
          <w:color w:val="2A4A3A"/>
          <w:sz w:val="32"/>
          <w:szCs w:val="32"/>
        </w:rPr>
        <w:t xml:space="preserve">2. Objectifs mesurables</w:t>
      </w:r>
      <w:bookmarkEnd w:id="100005"/>
    </w:p>
    <w:p>
      <w:pPr>
        <w:spacing w:after="160" w:line="312"/>
        <w:ind w:firstLine="360"/>
        <w:jc w:val="left"/>
      </w:pPr>
      <w:r>
        <w:rPr>
          <w:rFonts w:ascii="Calibri" w:eastAsia="Calibri"/>
          <w:color w:val="1A1A1A"/>
          <w:sz w:val="22"/>
          <w:szCs w:val="22"/>
        </w:rPr>
        <w:t xml:space="preserve">L'Univers 4 doit être évalué sur des indicateurs concrets. Les objectifs ci-dessous sont proposés pour la première année d'exploitation, sur une famille pilote de 150 à 300 membres.</w:t>
      </w:r>
    </w:p>
    <w:p>
      <w:pPr>
        <w:keepNext/>
        <w:spacing w:after="120" w:before="240"/>
        <w:jc w:val="left"/>
      </w:pPr>
      <w:r>
        <w:rPr>
          <w:rFonts w:ascii="Calibri" w:eastAsia="Calibri"/>
          <w:b/>
          <w:bCs/>
          <w:color w:val="2A4A3A"/>
          <w:sz w:val="20"/>
          <w:szCs w:val="20"/>
        </w:rPr>
        <w:t xml:space="preserve">Tableau 1 — Objectifs mesurables de l'Univers 4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 année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cotisation à jour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ayant réglé la cotisation du trimestre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versement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échéance → réception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Rapprochement Mobile Money</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Paiements automatiquement rapprochés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95 %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justificatifs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Dépenses &gt; 10 000 FCFA justifiées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validation des dépenses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Proposition → validation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 jours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Précision budgétaire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Écart prévisionnel / réel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15 %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clôture annuelle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Fin d'exercice → clôture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jours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trésorier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Note donnée par le trésorier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sur la transparence financière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Indisponibilité du service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Temps cumulé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60 minutes</w:t>
            </w:r>
          </w:p>
        </w:tc>
      </w:tr>
    </w:tbl>
    <w:p>
      <w:pPr>
        <w:pStyle w:val="Heading1"/>
        <w:spacing w:after="240" w:before="480" w:line="360"/>
      </w:pPr>
      <w:bookmarkStart w:id="100006" w:name="_Toc100006"/>
      <w:r>
        <w:rPr>
          <w:rFonts w:ascii="Calibri" w:eastAsia="Calibri"/>
          <w:b/>
          <w:bCs/>
          <w:color w:val="2A4A3A"/>
          <w:sz w:val="32"/>
          <w:szCs w:val="32"/>
        </w:rPr>
        <w:t xml:space="preserve">3. Architecture fonctionnelle</w:t>
      </w:r>
      <w:bookmarkEnd w:id="100006"/>
    </w:p>
    <w:p>
      <w:pPr>
        <w:spacing w:after="160" w:line="312"/>
        <w:ind w:firstLine="360"/>
        <w:jc w:val="left"/>
      </w:pPr>
      <w:r>
        <w:rPr>
          <w:rFonts w:ascii="Calibri" w:eastAsia="Calibri"/>
          <w:color w:val="1A1A1A"/>
          <w:sz w:val="22"/>
          <w:szCs w:val="22"/>
        </w:rPr>
        <w:t xml:space="preserve">L'Univers 4 est composé de sept modules fonctionnels qui s'articulent autour d'un cœur commun : la caisse familiale. Les cotisations, paiements, budget, comptabilité, audit et reporting sont autant de dimensions complémentaires de la gestion financière.</w:t>
      </w:r>
    </w:p>
    <w:p>
      <w:pPr>
        <w:pStyle w:val="Heading2"/>
        <w:spacing w:after="160" w:before="320" w:line="340"/>
      </w:pPr>
      <w:bookmarkStart w:id="100007" w:name="_Toc100007"/>
      <w:r>
        <w:rPr>
          <w:rFonts w:ascii="Calibri" w:eastAsia="Calibri"/>
          <w:b/>
          <w:bCs/>
          <w:color w:val="2A4A3A"/>
          <w:sz w:val="28"/>
          <w:szCs w:val="28"/>
        </w:rPr>
        <w:t xml:space="preserve">3.1 Vue d'ensemble des modules</w:t>
      </w:r>
      <w:bookmarkEnd w:id="10000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UNIVERS 4 — LES FINANCES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CŒUR : Caisse familiale multi-niveaux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Cotisations Mobile     Budget &amp;   Comptabilité Audit &amp;  Re- │</w:t>
      </w:r>
    </w:p>
    <w:p>
      <w:pPr>
        <w:spacing w:after="0" w:line="240"/>
        <w:ind w:left="240"/>
        <w:jc w:val="left"/>
      </w:pPr>
      <w:r>
        <w:rPr>
          <w:rFonts w:ascii="Consolas" w:eastAsia="Consolas"/>
          <w:color w:val="1A1A1A"/>
          <w:sz w:val="18"/>
          <w:szCs w:val="18"/>
        </w:rPr>
        <w:t xml:space="preserve">│  &amp; contri-   Money &amp;    prévisions &amp; journal    contrôles  porting</w:t>
      </w:r>
    </w:p>
    <w:p>
      <w:pPr>
        <w:spacing w:after="0" w:line="240"/>
        <w:ind w:left="240"/>
        <w:jc w:val="left"/>
      </w:pPr>
      <w:r>
        <w:rPr>
          <w:rFonts w:ascii="Consolas" w:eastAsia="Consolas"/>
          <w:color w:val="1A1A1A"/>
          <w:sz w:val="18"/>
          <w:szCs w:val="18"/>
        </w:rPr>
        <w:t xml:space="preserve">│  butions     paiements                              &amp; trans- │</w:t>
      </w:r>
    </w:p>
    <w:p>
      <w:pPr>
        <w:spacing w:after="0" w:line="240"/>
        <w:ind w:left="240"/>
        <w:jc w:val="left"/>
      </w:pPr>
      <w:r>
        <w:rPr>
          <w:rFonts w:ascii="Consolas" w:eastAsia="Consolas"/>
          <w:color w:val="1A1A1A"/>
          <w:sz w:val="18"/>
          <w:szCs w:val="18"/>
        </w:rPr>
        <w:t xml:space="preserve">│                                                       paren- │</w:t>
      </w:r>
    </w:p>
    <w:p>
      <w:pPr>
        <w:spacing w:after="0" w:line="240"/>
        <w:ind w:left="240"/>
        <w:jc w:val="left"/>
      </w:pPr>
      <w:r>
        <w:rPr>
          <w:rFonts w:ascii="Consolas" w:eastAsia="Consolas"/>
          <w:color w:val="1A1A1A"/>
          <w:sz w:val="18"/>
          <w:szCs w:val="18"/>
        </w:rPr>
        <w:t xml:space="preserve">│                                                       ce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fonctionnelle de l'Univers 4</w:t>
      </w:r>
    </w:p>
    <w:p>
      <w:pPr>
        <w:pStyle w:val="Heading2"/>
        <w:spacing w:after="160" w:before="320" w:line="340"/>
      </w:pPr>
      <w:bookmarkStart w:id="100008" w:name="_Toc100008"/>
      <w:r>
        <w:rPr>
          <w:rFonts w:ascii="Calibri" w:eastAsia="Calibri"/>
          <w:b/>
          <w:bCs/>
          <w:color w:val="2A4A3A"/>
          <w:sz w:val="28"/>
          <w:szCs w:val="28"/>
        </w:rPr>
        <w:t xml:space="preserve">3.2 Navigation principale</w:t>
      </w:r>
      <w:bookmarkEnd w:id="100008"/>
    </w:p>
    <w:p>
      <w:pPr>
        <w:spacing w:after="160" w:line="312"/>
        <w:ind w:firstLine="360"/>
        <w:jc w:val="left"/>
      </w:pPr>
      <w:r>
        <w:rPr>
          <w:rFonts w:ascii="Calibri" w:eastAsia="Calibri"/>
          <w:color w:val="1A1A1A"/>
          <w:sz w:val="22"/>
          <w:szCs w:val="22"/>
        </w:rPr>
        <w:t xml:space="preserve">L'organisation de l'application reflète cette architecture : un tableau de bord financier affiche le solde global, l'état des cotisations du trimestre, les dépenses du mois, et l'avancement du budget. Les membres consultent leur propre situation (cotisations, contributions, reçus). Le trésorier et le conseil accèdent aux vues de gestion (journal, balance, audit, reporting).</w:t>
      </w:r>
    </w:p>
    <w:p>
      <w:pPr>
        <w:spacing w:after="160" w:line="312"/>
        <w:ind w:firstLine="360"/>
        <w:jc w:val="left"/>
      </w:pPr>
      <w:r>
        <w:rPr>
          <w:rFonts w:ascii="Calibri" w:eastAsia="Calibri"/>
          <w:color w:val="1A1A1A"/>
          <w:sz w:val="22"/>
          <w:szCs w:val="22"/>
        </w:rPr>
        <w:t xml:space="preserve">La navigation de l'Univers 4 s'organise autour de cinq entrées principales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Caisse —</w:t>
      </w:r>
      <w:r>
        <w:rPr>
          <w:rFonts w:ascii="Calibri" w:eastAsia="Calibri"/>
          <w:color w:val="1A1A1A"/>
          <w:sz w:val="22"/>
          <w:szCs w:val="22"/>
        </w:rPr>
        <w:t xml:space="preserve"> solde global, décomposition par caisse, mouvements récents.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Mes cotisations —</w:t>
      </w:r>
      <w:r>
        <w:rPr>
          <w:rFonts w:ascii="Calibri" w:eastAsia="Calibri"/>
          <w:color w:val="1A1A1A"/>
          <w:sz w:val="22"/>
          <w:szCs w:val="22"/>
        </w:rPr>
        <w:t xml:space="preserve"> échéances, statut, historique, reçus.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Payer —</w:t>
      </w:r>
      <w:r>
        <w:rPr>
          <w:rFonts w:ascii="Calibri" w:eastAsia="Calibri"/>
          <w:color w:val="1A1A1A"/>
          <w:sz w:val="22"/>
          <w:szCs w:val="22"/>
        </w:rPr>
        <w:t xml:space="preserve"> assistant de paiement (cotisation, contribution à un événement, don).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Budget —</w:t>
      </w:r>
      <w:r>
        <w:rPr>
          <w:rFonts w:ascii="Calibri" w:eastAsia="Calibri"/>
          <w:color w:val="1A1A1A"/>
          <w:sz w:val="22"/>
          <w:szCs w:val="22"/>
        </w:rPr>
        <w:t xml:space="preserve"> budget annuel en cours, exécution par poste.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Rapports —</w:t>
      </w:r>
      <w:r>
        <w:rPr>
          <w:rFonts w:ascii="Calibri" w:eastAsia="Calibri"/>
          <w:color w:val="1A1A1A"/>
          <w:sz w:val="22"/>
          <w:szCs w:val="22"/>
        </w:rPr>
        <w:t xml:space="preserve"> rapports mensuels, bilan annuel, exports.</w:t>
      </w:r>
    </w:p>
    <w:p>
      <w:pPr>
        <w:spacing w:after="160" w:line="312"/>
        <w:ind w:firstLine="360"/>
        <w:jc w:val="left"/>
      </w:pPr>
      <w:r>
        <w:rPr>
          <w:rFonts w:ascii="Calibri" w:eastAsia="Calibri"/>
          <w:color w:val="1A1A1A"/>
          <w:sz w:val="22"/>
          <w:szCs w:val="22"/>
        </w:rPr>
        <w:t xml:space="preserve">Le trésorier et le conseil disposent en plus d'une entrée Comptabilité (journal, balance, rapprochement, audit) accessible uniquement aux rôles autorisés.</w:t>
      </w:r>
    </w:p>
    <w:p>
      <w:pPr>
        <w:pStyle w:val="Heading1"/>
        <w:spacing w:after="240" w:before="480" w:line="360"/>
      </w:pPr>
      <w:bookmarkStart w:id="100009" w:name="_Toc100009"/>
      <w:r>
        <w:rPr>
          <w:rFonts w:ascii="Calibri" w:eastAsia="Calibri"/>
          <w:b/>
          <w:bCs/>
          <w:color w:val="2A4A3A"/>
          <w:sz w:val="32"/>
          <w:szCs w:val="32"/>
        </w:rPr>
        <w:t xml:space="preserve">4. Module 4.1 — La caisse familiale multi-niveaux</w:t>
      </w:r>
      <w:bookmarkEnd w:id="100009"/>
    </w:p>
    <w:p>
      <w:pPr>
        <w:pStyle w:val="Heading2"/>
        <w:spacing w:after="160" w:before="320" w:line="340"/>
      </w:pPr>
      <w:bookmarkStart w:id="100010" w:name="_Toc100010"/>
      <w:r>
        <w:rPr>
          <w:rFonts w:ascii="Calibri" w:eastAsia="Calibri"/>
          <w:b/>
          <w:bCs/>
          <w:color w:val="2A4A3A"/>
          <w:sz w:val="28"/>
          <w:szCs w:val="28"/>
        </w:rPr>
        <w:t xml:space="preserve">4.1.1 Description</w:t>
      </w:r>
      <w:bookmarkEnd w:id="100010"/>
    </w:p>
    <w:p>
      <w:pPr>
        <w:spacing w:after="160" w:line="312"/>
        <w:ind w:firstLine="360"/>
        <w:jc w:val="left"/>
      </w:pPr>
      <w:r>
        <w:rPr>
          <w:rFonts w:ascii="Calibri" w:eastAsia="Calibri"/>
          <w:color w:val="1A1A1A"/>
          <w:sz w:val="22"/>
          <w:szCs w:val="22"/>
        </w:rPr>
        <w:t xml:space="preserve">La caisse familiale n'est pas un compte unique : c'est un ensemble de caisses distinctes, chacune avec son objet, son solde, ses règles de gestion. Cette structure multi-niveaux est essentielle pour refléter la réalité des grandes familles, où coexistent une caisse principale pour le fonctionnement, des caisses de branches pour les dépenses locales, des caisses de solidarité pour les situations difficiles, et des caisses d'événement pour les congrès et mariages.</w:t>
      </w:r>
    </w:p>
    <w:p>
      <w:pPr>
        <w:pStyle w:val="Heading2"/>
        <w:spacing w:after="160" w:before="320" w:line="340"/>
      </w:pPr>
      <w:bookmarkStart w:id="100011" w:name="_Toc100011"/>
      <w:r>
        <w:rPr>
          <w:rFonts w:ascii="Calibri" w:eastAsia="Calibri"/>
          <w:b/>
          <w:bCs/>
          <w:color w:val="2A4A3A"/>
          <w:sz w:val="28"/>
          <w:szCs w:val="28"/>
        </w:rPr>
        <w:t xml:space="preserve">4.1.2 Types de caisses</w:t>
      </w:r>
      <w:bookmarkEnd w:id="100011"/>
    </w:p>
    <w:p>
      <w:pPr>
        <w:keepNext/>
        <w:spacing w:after="120" w:before="240"/>
        <w:jc w:val="left"/>
      </w:pPr>
      <w:r>
        <w:rPr>
          <w:rFonts w:ascii="Calibri" w:eastAsia="Calibri"/>
          <w:b/>
          <w:bCs/>
          <w:color w:val="2A4A3A"/>
          <w:sz w:val="20"/>
          <w:szCs w:val="20"/>
        </w:rPr>
        <w:t xml:space="preserve">Tableau 2 — Types de caisses du système multi-niveaux</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Solde 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Gestionnaire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 principale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Fonctionnement général de la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Selon budget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 conseil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Caisse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Dépenses de la branche (réunions, déplacements)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Selon budget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de branche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 de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Versements d'aides sociales récurrentes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 mois d'aides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 médiation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Caisse d'événement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Collecte et dépenses d'un événement spécifique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Selon budget événement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Référent événement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 de réserve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Épargne de précaution, placements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Selon politique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 conseil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Caisse d'investissement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Projets long terme (terrain, construction)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Selon projet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 comité ad hoc</w:t>
            </w:r>
          </w:p>
        </w:tc>
      </w:tr>
    </w:tbl>
    <w:p>
      <w:pPr>
        <w:pStyle w:val="Heading2"/>
        <w:spacing w:after="160" w:before="320" w:line="340"/>
      </w:pPr>
      <w:bookmarkStart w:id="100012" w:name="_Toc100012"/>
      <w:r>
        <w:rPr>
          <w:rFonts w:ascii="Calibri" w:eastAsia="Calibri"/>
          <w:b/>
          <w:bCs/>
          <w:color w:val="2A4A3A"/>
          <w:sz w:val="28"/>
          <w:szCs w:val="28"/>
        </w:rPr>
        <w:t xml:space="preserve">4.1.3 Virements inter-caisses</w:t>
      </w:r>
      <w:bookmarkEnd w:id="100012"/>
    </w:p>
    <w:p>
      <w:pPr>
        <w:spacing w:after="160" w:line="312"/>
        <w:ind w:firstLine="360"/>
        <w:jc w:val="left"/>
      </w:pPr>
      <w:r>
        <w:rPr>
          <w:rFonts w:ascii="Calibri" w:eastAsia="Calibri"/>
          <w:color w:val="1A1A1A"/>
          <w:sz w:val="22"/>
          <w:szCs w:val="22"/>
        </w:rPr>
        <w:t xml:space="preserve">Les virements entre caisses sont possibles, mais soumis à des règles strictes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virement depuis la caisse principale vers une caisse de branche est validé par le trésorier seul.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virement depuis la caisse de réserve vers la caisse principale est validé par le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virement depuis la caisse de solidarité vers une autre caisse est exceptionnel et validé par le conseil et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 virement est tracé dans le journal immutable avec motif, validateur, et date.</w:t>
      </w:r>
    </w:p>
    <w:p>
      <w:pPr>
        <w:pStyle w:val="Heading2"/>
        <w:spacing w:after="160" w:before="320" w:line="340"/>
      </w:pPr>
      <w:bookmarkStart w:id="100013" w:name="_Toc100013"/>
      <w:r>
        <w:rPr>
          <w:rFonts w:ascii="Calibri" w:eastAsia="Calibri"/>
          <w:b/>
          <w:bCs/>
          <w:color w:val="2A4A3A"/>
          <w:sz w:val="28"/>
          <w:szCs w:val="28"/>
        </w:rPr>
        <w:t xml:space="preserve">4.1.4 Soldes et plafonds</w:t>
      </w:r>
      <w:bookmarkEnd w:id="100013"/>
    </w:p>
    <w:p>
      <w:pPr>
        <w:spacing w:after="160" w:line="312"/>
        <w:ind w:firstLine="360"/>
        <w:jc w:val="left"/>
      </w:pPr>
      <w:r>
        <w:rPr>
          <w:rFonts w:ascii="Calibri" w:eastAsia="Calibri"/>
          <w:color w:val="1A1A1A"/>
          <w:sz w:val="22"/>
          <w:szCs w:val="22"/>
        </w:rPr>
        <w:t xml:space="preserve">Chaque caisse possède des règles de solde et de plafond, configurables par le conseil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Solde minimum —</w:t>
      </w:r>
      <w:r>
        <w:rPr>
          <w:rFonts w:ascii="Calibri" w:eastAsia="Calibri"/>
          <w:color w:val="1A1A1A"/>
          <w:sz w:val="22"/>
          <w:szCs w:val="22"/>
        </w:rPr>
        <w:t xml:space="preserve"> en dessous duquel une alerte est émise (par exemple, caisse de solidarité ne doit jamais descendre sous 3 mois d'aides sociales).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Solde cible —</w:t>
      </w:r>
      <w:r>
        <w:rPr>
          <w:rFonts w:ascii="Calibri" w:eastAsia="Calibri"/>
          <w:color w:val="1A1A1A"/>
          <w:sz w:val="22"/>
          <w:szCs w:val="22"/>
        </w:rPr>
        <w:t xml:space="preserve"> niveau optimal pour le fonctionnement.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Plafond —</w:t>
      </w:r>
      <w:r>
        <w:rPr>
          <w:rFonts w:ascii="Calibri" w:eastAsia="Calibri"/>
          <w:color w:val="1A1A1A"/>
          <w:sz w:val="22"/>
          <w:szCs w:val="22"/>
        </w:rPr>
        <w:t xml:space="preserve"> au-delà duquel un excédent est transféré vers la caisse de réserve.</w:t>
      </w:r>
    </w:p>
    <w:p>
      <w:pPr>
        <w:spacing w:after="160" w:line="312"/>
        <w:ind w:firstLine="360"/>
        <w:jc w:val="left"/>
      </w:pPr>
      <w:r>
        <w:rPr>
          <w:rFonts w:ascii="Calibri" w:eastAsia="Calibri"/>
          <w:color w:val="1A1A1A"/>
          <w:sz w:val="22"/>
          <w:szCs w:val="22"/>
        </w:rPr>
        <w:t xml:space="preserve">Ces règles préviennent les déséquilibres (caisse principale trop faible, caisse de réserve trop abondante au détriment du fonctionnement) et assurent une discipline financière de long terme.</w:t>
      </w:r>
    </w:p>
    <w:p>
      <w:pPr>
        <w:pStyle w:val="Heading2"/>
        <w:spacing w:after="160" w:before="320" w:line="340"/>
      </w:pPr>
      <w:bookmarkStart w:id="100014" w:name="_Toc100014"/>
      <w:r>
        <w:rPr>
          <w:rFonts w:ascii="Calibri" w:eastAsia="Calibri"/>
          <w:b/>
          <w:bCs/>
          <w:color w:val="2A4A3A"/>
          <w:sz w:val="28"/>
          <w:szCs w:val="28"/>
        </w:rPr>
        <w:t xml:space="preserve">4.1.5 Comptes bancaires et comptes Mobile Money</w:t>
      </w:r>
      <w:bookmarkEnd w:id="100014"/>
    </w:p>
    <w:p>
      <w:pPr>
        <w:spacing w:after="160" w:line="312"/>
        <w:ind w:firstLine="360"/>
        <w:jc w:val="left"/>
      </w:pPr>
      <w:r>
        <w:rPr>
          <w:rFonts w:ascii="Calibri" w:eastAsia="Calibri"/>
          <w:color w:val="1A1A1A"/>
          <w:sz w:val="22"/>
          <w:szCs w:val="22"/>
        </w:rPr>
        <w:t xml:space="preserve">Chaque caisse est rattachée à un ou plusieurs comptes externes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Compte bancaire (pour les montants importants et la diaspora).</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Compte Mobile Money (pour les cotisations et petites dépenses).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Compte espèces (pour les paiements en espèces, gérés par le trésorier).</w:t>
      </w:r>
    </w:p>
    <w:p>
      <w:pPr>
        <w:spacing w:after="160" w:line="312"/>
        <w:ind w:firstLine="360"/>
        <w:jc w:val="left"/>
      </w:pPr>
      <w:r>
        <w:rPr>
          <w:rFonts w:ascii="Calibri" w:eastAsia="Calibri"/>
          <w:color w:val="1A1A1A"/>
          <w:sz w:val="22"/>
          <w:szCs w:val="22"/>
        </w:rPr>
        <w:t xml:space="preserve">Le rapprochement entre les soldes internes (caisse) et les soldes externes (banque, Mobile Money) est effectué automatiquement par le système, à partir des relevés et des webhooks des opérateurs. Tout écart est signalé et doit être justifié.</w:t>
      </w:r>
    </w:p>
    <w:p>
      <w:pPr>
        <w:pStyle w:val="Heading2"/>
        <w:spacing w:after="160" w:before="320" w:line="340"/>
      </w:pPr>
      <w:bookmarkStart w:id="100015" w:name="_Toc100015"/>
      <w:r>
        <w:rPr>
          <w:rFonts w:ascii="Calibri" w:eastAsia="Calibri"/>
          <w:b/>
          <w:bCs/>
          <w:color w:val="2A4A3A"/>
          <w:sz w:val="28"/>
          <w:szCs w:val="28"/>
        </w:rPr>
        <w:t xml:space="preserve">4.1.6 Cas limite — caisse en déficit</w:t>
      </w:r>
      <w:bookmarkEnd w:id="100015"/>
    </w:p>
    <w:p>
      <w:pPr>
        <w:spacing w:after="160" w:line="312"/>
        <w:ind w:firstLine="360"/>
        <w:jc w:val="left"/>
      </w:pPr>
      <w:r>
        <w:rPr>
          <w:rFonts w:ascii="Calibri" w:eastAsia="Calibri"/>
          <w:color w:val="1A1A1A"/>
          <w:sz w:val="22"/>
          <w:szCs w:val="22"/>
        </w:rPr>
        <w:t xml:space="preserve">Si une caisse passe en solde négatif (par exemple, dépenses engagées avant réception des cotisations), le système alerte immédiatement le trésorier et le conseil. Le déficit est couvert soit par un virement depuis la caisse de réserve, soit par une cotisation exceptionnelle, soit par un prêt familial interne (voir Univers 3). La situation ne peut pas durer plus de 30 jours sans plan de redressement validé par le conseil.</w:t>
      </w:r>
    </w:p>
    <w:p>
      <w:pPr>
        <w:pStyle w:val="Heading1"/>
        <w:spacing w:after="240" w:before="480" w:line="360"/>
      </w:pPr>
      <w:bookmarkStart w:id="100016" w:name="_Toc100016"/>
      <w:r>
        <w:rPr>
          <w:rFonts w:ascii="Calibri" w:eastAsia="Calibri"/>
          <w:b/>
          <w:bCs/>
          <w:color w:val="2A4A3A"/>
          <w:sz w:val="32"/>
          <w:szCs w:val="32"/>
        </w:rPr>
        <w:t xml:space="preserve">5. Module 4.2 — Cotisations et contributions</w:t>
      </w:r>
      <w:bookmarkEnd w:id="100016"/>
    </w:p>
    <w:p>
      <w:pPr>
        <w:pStyle w:val="Heading2"/>
        <w:spacing w:after="160" w:before="320" w:line="340"/>
      </w:pPr>
      <w:bookmarkStart w:id="100017" w:name="_Toc100017"/>
      <w:r>
        <w:rPr>
          <w:rFonts w:ascii="Calibri" w:eastAsia="Calibri"/>
          <w:b/>
          <w:bCs/>
          <w:color w:val="2A4A3A"/>
          <w:sz w:val="28"/>
          <w:szCs w:val="28"/>
        </w:rPr>
        <w:t xml:space="preserve">5.1 Description</w:t>
      </w:r>
      <w:bookmarkEnd w:id="100017"/>
    </w:p>
    <w:p>
      <w:pPr>
        <w:spacing w:after="160" w:line="312"/>
        <w:ind w:firstLine="360"/>
        <w:jc w:val="left"/>
      </w:pPr>
      <w:r>
        <w:rPr>
          <w:rFonts w:ascii="Calibri" w:eastAsia="Calibri"/>
          <w:color w:val="1A1A1A"/>
          <w:sz w:val="22"/>
          <w:szCs w:val="22"/>
        </w:rPr>
        <w:t xml:space="preserve">Les cotisations régulières sont la ressource principale de la caisse familiale. Leur perception fiable et leur suivi transparent sont les conditions de la santé financière de la famille. Aujourd'hui, ce suivi repose sur des appels WhatsApp, des cahiers et des promesses non tenues. L'Univers 4 propose un système structuré, automatisé et transparent.</w:t>
      </w:r>
    </w:p>
    <w:p>
      <w:pPr>
        <w:pStyle w:val="Heading2"/>
        <w:spacing w:after="160" w:before="320" w:line="340"/>
      </w:pPr>
      <w:bookmarkStart w:id="100018" w:name="_Toc100018"/>
      <w:r>
        <w:rPr>
          <w:rFonts w:ascii="Calibri" w:eastAsia="Calibri"/>
          <w:b/>
          <w:bCs/>
          <w:color w:val="2A4A3A"/>
          <w:sz w:val="28"/>
          <w:szCs w:val="28"/>
        </w:rPr>
        <w:t xml:space="preserve">5.2 Types de cotisations</w:t>
      </w:r>
      <w:bookmarkEnd w:id="100018"/>
    </w:p>
    <w:p>
      <w:pPr>
        <w:keepNext/>
        <w:spacing w:after="120" w:before="240"/>
        <w:jc w:val="left"/>
      </w:pPr>
      <w:r>
        <w:rPr>
          <w:rFonts w:ascii="Calibri" w:eastAsia="Calibri"/>
          <w:b/>
          <w:bCs/>
          <w:color w:val="2A4A3A"/>
          <w:sz w:val="20"/>
          <w:szCs w:val="20"/>
        </w:rPr>
        <w:t xml:space="preserve">Tableau 3 — Types de cotisations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Barème par défaut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 mensuelle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Fonctionnement courant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5 000 FCFA / adulte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 trimestrielle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Alternative pour diaspora</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15 000 FCFA</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 annuelle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 principale, votée au congrès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50 000 FCFA</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 exceptionnelle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 ou projet spécifique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Ponctuelle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Variable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Fonctionnement de la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Variable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Selon budget branche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Contribution à événement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Mariage, décès, congrès (lien U2, U3)</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Ponctuelle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Variable</w:t>
            </w:r>
          </w:p>
        </w:tc>
      </w:tr>
    </w:tbl>
    <w:p>
      <w:pPr>
        <w:spacing w:after="160" w:line="312"/>
        <w:ind w:firstLine="360"/>
        <w:jc w:val="left"/>
      </w:pPr>
      <w:r>
        <w:rPr>
          <w:rFonts w:ascii="Calibri" w:eastAsia="Calibri"/>
          <w:color w:val="1A1A1A"/>
          <w:sz w:val="22"/>
          <w:szCs w:val="22"/>
        </w:rPr>
        <w:t xml:space="preserve">Les barèmes par défaut sont indicatifs et configurables par le conseil. Le barème gradué décrit dans l'Univers 3 (module 4.5) s'applique aux cotisations exceptionnelles et aux grandes contributions.</w:t>
      </w:r>
    </w:p>
    <w:p>
      <w:pPr>
        <w:pStyle w:val="Heading2"/>
        <w:spacing w:after="160" w:before="320" w:line="340"/>
      </w:pPr>
      <w:bookmarkStart w:id="100019" w:name="_Toc100019"/>
      <w:r>
        <w:rPr>
          <w:rFonts w:ascii="Calibri" w:eastAsia="Calibri"/>
          <w:b/>
          <w:bCs/>
          <w:color w:val="2A4A3A"/>
          <w:sz w:val="28"/>
          <w:szCs w:val="28"/>
        </w:rPr>
        <w:t xml:space="preserve">5.3 Calendrier et échéances</w:t>
      </w:r>
      <w:bookmarkEnd w:id="100019"/>
    </w:p>
    <w:p>
      <w:pPr>
        <w:spacing w:after="160" w:line="312"/>
        <w:ind w:firstLine="360"/>
        <w:jc w:val="left"/>
      </w:pPr>
      <w:r>
        <w:rPr>
          <w:rFonts w:ascii="Calibri" w:eastAsia="Calibri"/>
          <w:color w:val="1A1A1A"/>
          <w:sz w:val="22"/>
          <w:szCs w:val="22"/>
        </w:rPr>
        <w:t xml:space="preserve">Chaque cotisation possède un calendrier d'échéance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Cotisation mensuelle : le 5 de chaque mois.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Cotisation trimestrielle : le 5 des mois de janvier, avril, juillet, octobre.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Cotisation annuelle : le 31 mars, après vote au congrès de décembre.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Cotisation exceptionnelle : date fixée par le conseil lors du vote.</w:t>
      </w:r>
    </w:p>
    <w:p>
      <w:pPr>
        <w:spacing w:after="160" w:line="312"/>
        <w:ind w:firstLine="360"/>
        <w:jc w:val="left"/>
      </w:pPr>
      <w:r>
        <w:rPr>
          <w:rFonts w:ascii="Calibri" w:eastAsia="Calibri"/>
          <w:color w:val="1A1A1A"/>
          <w:sz w:val="22"/>
          <w:szCs w:val="22"/>
        </w:rPr>
        <w:t xml:space="preserve">Le calendrier est publié à tous les membres, et intégré au calendrier familial (Univers 2). Les rappels automatiques sont envoyés à J-7, J-1, J+3, J+10. Au-delà de J+15, le membre est marqué « en retard » et le chef de branche est notifié.</w:t>
      </w:r>
    </w:p>
    <w:p>
      <w:pPr>
        <w:pStyle w:val="Heading2"/>
        <w:spacing w:after="160" w:before="320" w:line="340"/>
      </w:pPr>
      <w:bookmarkStart w:id="100020" w:name="_Toc100020"/>
      <w:r>
        <w:rPr>
          <w:rFonts w:ascii="Calibri" w:eastAsia="Calibri"/>
          <w:b/>
          <w:bCs/>
          <w:color w:val="2A4A3A"/>
          <w:sz w:val="28"/>
          <w:szCs w:val="28"/>
        </w:rPr>
        <w:t xml:space="preserve">5.4 Suivi individuel</w:t>
      </w:r>
      <w:bookmarkEnd w:id="100020"/>
    </w:p>
    <w:p>
      <w:pPr>
        <w:spacing w:after="160" w:line="312"/>
        <w:ind w:firstLine="360"/>
        <w:jc w:val="left"/>
      </w:pPr>
      <w:r>
        <w:rPr>
          <w:rFonts w:ascii="Calibri" w:eastAsia="Calibri"/>
          <w:color w:val="1A1A1A"/>
          <w:sz w:val="22"/>
          <w:szCs w:val="22"/>
        </w:rPr>
        <w:t xml:space="preserve">Chaque membre dispose d'un suivi individuel de ses cotisations, visible dans son profil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Échéances à venir.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Statut de chaque échéance (à jour, en retard, exonéré).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Historique des 24 derniers mois.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Reçus téléchargeables (PDF).</w:t>
      </w:r>
    </w:p>
    <w:p>
      <w:pPr>
        <w:spacing w:after="160" w:line="312"/>
        <w:ind w:firstLine="360"/>
        <w:jc w:val="left"/>
      </w:pPr>
      <w:r>
        <w:rPr>
          <w:rFonts w:ascii="Calibri" w:eastAsia="Calibri"/>
          <w:color w:val="1A1A1A"/>
          <w:sz w:val="22"/>
          <w:szCs w:val="22"/>
        </w:rPr>
        <w:t xml:space="preserve">Le suivi individuel est confidentiel : seul le membre, son chef de branche, le trésorier et le conseil y ont accès. La publication des « retardataires » est strictement interdite par les règles de gouvernance.</w:t>
      </w:r>
    </w:p>
    <w:p>
      <w:pPr>
        <w:pStyle w:val="Heading2"/>
        <w:spacing w:after="160" w:before="320" w:line="340"/>
      </w:pPr>
      <w:bookmarkStart w:id="100021" w:name="_Toc100021"/>
      <w:r>
        <w:rPr>
          <w:rFonts w:ascii="Calibri" w:eastAsia="Calibri"/>
          <w:b/>
          <w:bCs/>
          <w:color w:val="2A4A3A"/>
          <w:sz w:val="28"/>
          <w:szCs w:val="28"/>
        </w:rPr>
        <w:t xml:space="preserve">5.5 Exonérations</w:t>
      </w:r>
      <w:bookmarkEnd w:id="100021"/>
    </w:p>
    <w:p>
      <w:pPr>
        <w:spacing w:after="160" w:line="312"/>
        <w:ind w:firstLine="360"/>
        <w:jc w:val="left"/>
      </w:pPr>
      <w:r>
        <w:rPr>
          <w:rFonts w:ascii="Calibri" w:eastAsia="Calibri"/>
          <w:color w:val="1A1A1A"/>
          <w:sz w:val="22"/>
          <w:szCs w:val="22"/>
        </w:rPr>
        <w:t xml:space="preserve">Les exonérations, déjà décrites dans l'Univers 3 (module 4.5), s'appliquent aux cotisations régulières. Un membre en précarité peut être exonéré totalement ou partiellement, sur décision confidentielle du comité médiation. Le membre exonéré apparaît comme « à jour » dans le suivi individuel, sans mention de l'exonération, ce qui préserve sa dignité.</w:t>
      </w:r>
    </w:p>
    <w:p>
      <w:pPr>
        <w:pStyle w:val="Heading2"/>
        <w:spacing w:after="160" w:before="320" w:line="340"/>
      </w:pPr>
      <w:bookmarkStart w:id="100022" w:name="_Toc100022"/>
      <w:r>
        <w:rPr>
          <w:rFonts w:ascii="Calibri" w:eastAsia="Calibri"/>
          <w:b/>
          <w:bCs/>
          <w:color w:val="2A4A3A"/>
          <w:sz w:val="28"/>
          <w:szCs w:val="28"/>
        </w:rPr>
        <w:t xml:space="preserve">5.6 Relances automatiques</w:t>
      </w:r>
      <w:bookmarkEnd w:id="100022"/>
    </w:p>
    <w:p>
      <w:pPr>
        <w:spacing w:after="160" w:line="312"/>
        <w:ind w:firstLine="360"/>
        <w:jc w:val="left"/>
      </w:pPr>
      <w:r>
        <w:rPr>
          <w:rFonts w:ascii="Calibri" w:eastAsia="Calibri"/>
          <w:color w:val="1A1A1A"/>
          <w:sz w:val="22"/>
          <w:szCs w:val="22"/>
        </w:rPr>
        <w:t xml:space="preserve">Les relances sont automatiques et mesurées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Rappel J-7 —</w:t>
      </w:r>
      <w:r>
        <w:rPr>
          <w:rFonts w:ascii="Calibri" w:eastAsia="Calibri"/>
          <w:color w:val="1A1A1A"/>
          <w:sz w:val="22"/>
          <w:szCs w:val="22"/>
        </w:rPr>
        <w:t xml:space="preserve"> message poli, anticipant l'échéance.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Rappel J+3 —</w:t>
      </w:r>
      <w:r>
        <w:rPr>
          <w:rFonts w:ascii="Calibri" w:eastAsia="Calibri"/>
          <w:color w:val="1A1A1A"/>
          <w:sz w:val="22"/>
          <w:szCs w:val="22"/>
        </w:rPr>
        <w:t xml:space="preserve"> message indiquant le retard et le mode de paiement.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Rappel J+10 —</w:t>
      </w:r>
      <w:r>
        <w:rPr>
          <w:rFonts w:ascii="Calibri" w:eastAsia="Calibri"/>
          <w:color w:val="1A1A1A"/>
          <w:sz w:val="22"/>
          <w:szCs w:val="22"/>
        </w:rPr>
        <w:t xml:space="preserve"> message plus explicite, avec lien direct vers le paiement.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Notification chef de branche J+15 —</w:t>
      </w:r>
      <w:r>
        <w:rPr>
          <w:rFonts w:ascii="Calibri" w:eastAsia="Calibri"/>
          <w:color w:val="1A1A1A"/>
          <w:sz w:val="22"/>
          <w:szCs w:val="22"/>
        </w:rPr>
        <w:t xml:space="preserve"> le chef de branche est informé, sans détail du montant.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Action conseil J+30 —</w:t>
      </w:r>
      <w:r>
        <w:rPr>
          <w:rFonts w:ascii="Calibri" w:eastAsia="Calibri"/>
          <w:color w:val="1A1A1A"/>
          <w:sz w:val="22"/>
          <w:szCs w:val="22"/>
        </w:rPr>
        <w:t xml:space="preserve"> le conseil est saisi, une procédure de médiation peut être ouverte.</w:t>
      </w:r>
    </w:p>
    <w:p>
      <w:pPr>
        <w:spacing w:after="160" w:line="312"/>
        <w:ind w:firstLine="360"/>
        <w:jc w:val="left"/>
      </w:pPr>
      <w:r>
        <w:rPr>
          <w:rFonts w:ascii="Calibri" w:eastAsia="Calibri"/>
          <w:color w:val="1A1A1A"/>
          <w:sz w:val="22"/>
          <w:szCs w:val="22"/>
        </w:rPr>
        <w:t xml:space="preserve">Les relances respectent les fuseaux horaires et les préférences de canal. Un membre exonéré ne reçoit aucune relance.</w:t>
      </w:r>
    </w:p>
    <w:p>
      <w:pPr>
        <w:pStyle w:val="Heading1"/>
        <w:spacing w:after="240" w:before="480" w:line="360"/>
      </w:pPr>
      <w:bookmarkStart w:id="100023" w:name="_Toc100023"/>
      <w:r>
        <w:rPr>
          <w:rFonts w:ascii="Calibri" w:eastAsia="Calibri"/>
          <w:b/>
          <w:bCs/>
          <w:color w:val="2A4A3A"/>
          <w:sz w:val="32"/>
          <w:szCs w:val="32"/>
        </w:rPr>
        <w:t xml:space="preserve">6. Module 4.3 — Mobile Money et paiements</w:t>
      </w:r>
      <w:bookmarkEnd w:id="100023"/>
    </w:p>
    <w:p>
      <w:pPr>
        <w:pStyle w:val="Heading2"/>
        <w:spacing w:after="160" w:before="320" w:line="340"/>
      </w:pPr>
      <w:bookmarkStart w:id="100024" w:name="_Toc100024"/>
      <w:r>
        <w:rPr>
          <w:rFonts w:ascii="Calibri" w:eastAsia="Calibri"/>
          <w:b/>
          <w:bCs/>
          <w:color w:val="2A4A3A"/>
          <w:sz w:val="28"/>
          <w:szCs w:val="28"/>
        </w:rPr>
        <w:t xml:space="preserve">6.1 Description</w:t>
      </w:r>
      <w:bookmarkEnd w:id="100024"/>
    </w:p>
    <w:p>
      <w:pPr>
        <w:spacing w:after="160" w:line="312"/>
        <w:ind w:firstLine="360"/>
        <w:jc w:val="left"/>
      </w:pPr>
      <w:r>
        <w:rPr>
          <w:rFonts w:ascii="Calibri" w:eastAsia="Calibri"/>
          <w:color w:val="1A1A1A"/>
          <w:sz w:val="22"/>
          <w:szCs w:val="22"/>
        </w:rPr>
        <w:t xml:space="preserve">L'intégration Mobile Money est la clé de voûte de l'Univers 4. Au Cameroun et en zone CEMAC, la majorité des transactions familiales se font via MTN MoMo ou Orange Money. Sans intégration native, l'application contraindrait les membres à des manipulations manuelles (envoyer la preuve de paiement par WhatsApp, saisie par le trésorier), ce qui recréerait l'opacité que l'application vise à éliminer.</w:t>
      </w:r>
    </w:p>
    <w:p>
      <w:pPr>
        <w:pStyle w:val="Heading2"/>
        <w:spacing w:after="160" w:before="320" w:line="340"/>
      </w:pPr>
      <w:bookmarkStart w:id="100025" w:name="_Toc100025"/>
      <w:r>
        <w:rPr>
          <w:rFonts w:ascii="Calibri" w:eastAsia="Calibri"/>
          <w:b/>
          <w:bCs/>
          <w:color w:val="2A4A3A"/>
          <w:sz w:val="28"/>
          <w:szCs w:val="28"/>
        </w:rPr>
        <w:t xml:space="preserve">6.2 Intégration MTN MoMo et Orange Money</w:t>
      </w:r>
      <w:bookmarkEnd w:id="100025"/>
    </w:p>
    <w:p>
      <w:pPr>
        <w:spacing w:after="160" w:line="312"/>
        <w:ind w:firstLine="360"/>
        <w:jc w:val="left"/>
      </w:pPr>
      <w:r>
        <w:rPr>
          <w:rFonts w:ascii="Calibri" w:eastAsia="Calibri"/>
          <w:color w:val="1A1A1A"/>
          <w:sz w:val="22"/>
          <w:szCs w:val="22"/>
        </w:rPr>
        <w:t xml:space="preserve">L'Univers 4 intègre les API officielles de MTN MoMo (MoMo API) et Orange Money (Orange Money Web Payment), avec les fonctionnalités suivantes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Paiement entrant —</w:t>
      </w:r>
      <w:r>
        <w:rPr>
          <w:rFonts w:ascii="Calibri" w:eastAsia="Calibri"/>
          <w:color w:val="1A1A1A"/>
          <w:sz w:val="22"/>
          <w:szCs w:val="22"/>
        </w:rPr>
        <w:t xml:space="preserve"> un membre paie sa cotisation ou contribution via Mobile Money, depuis l'application. Le paiement est déclenché par un bouton « Payer », qui ouvre l'interface de l'opérateur (USSD, application mobile, ou popup selon le contexte).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Webhook de confirmation —</w:t>
      </w:r>
      <w:r>
        <w:rPr>
          <w:rFonts w:ascii="Calibri" w:eastAsia="Calibri"/>
          <w:color w:val="1A1A1A"/>
          <w:sz w:val="22"/>
          <w:szCs w:val="22"/>
        </w:rPr>
        <w:t xml:space="preserve"> l'opérateur notifie l'application en temps réel du succès du paiement. L'application enregistre automatiquement l'écriture comptable et envoie un reçu au membre.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Rapprochement automatique —</w:t>
      </w:r>
      <w:r>
        <w:rPr>
          <w:rFonts w:ascii="Calibri" w:eastAsia="Calibri"/>
          <w:color w:val="1A1A1A"/>
          <w:sz w:val="22"/>
          <w:szCs w:val="22"/>
        </w:rPr>
        <w:t xml:space="preserve"> chaque paiement Mobile Money est rapproché avec une écriture comptable. En cas de paiement sans écriture correspondante (par exemple, un membre a payé sans passer par l'app), le système détecte l'écart et propose une régularisation.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Paiement sortant —</w:t>
      </w:r>
      <w:r>
        <w:rPr>
          <w:rFonts w:ascii="Calibri" w:eastAsia="Calibri"/>
          <w:color w:val="1A1A1A"/>
          <w:sz w:val="22"/>
          <w:szCs w:val="22"/>
        </w:rPr>
        <w:t xml:space="preserve"> pour les dépenses validées (aides sociales, factures), le trésorier peut effectuer un paiement Mobile Money directement depuis l'application, avec traçabilité complète.</w:t>
      </w:r>
    </w:p>
    <w:p>
      <w:pPr>
        <w:pStyle w:val="Heading2"/>
        <w:spacing w:after="160" w:before="320" w:line="340"/>
      </w:pPr>
      <w:bookmarkStart w:id="100026" w:name="_Toc100026"/>
      <w:r>
        <w:rPr>
          <w:rFonts w:ascii="Calibri" w:eastAsia="Calibri"/>
          <w:b/>
          <w:bCs/>
          <w:color w:val="2A4A3A"/>
          <w:sz w:val="28"/>
          <w:szCs w:val="28"/>
        </w:rPr>
        <w:t xml:space="preserve">6.3 Autres canaux de paiement</w:t>
      </w:r>
      <w:bookmarkEnd w:id="100026"/>
    </w:p>
    <w:p>
      <w:pPr>
        <w:keepNext/>
        <w:spacing w:after="120" w:before="240"/>
        <w:jc w:val="left"/>
      </w:pPr>
      <w:r>
        <w:rPr>
          <w:rFonts w:ascii="Calibri" w:eastAsia="Calibri"/>
          <w:b/>
          <w:bCs/>
          <w:color w:val="2A4A3A"/>
          <w:sz w:val="20"/>
          <w:szCs w:val="20"/>
        </w:rPr>
        <w:t xml:space="preserve">Tableau 4 — Canaux de paiement</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Canal</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Usage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Traçabilité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Mobile Money (MTN, Orange)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Cotisations, contributions, petites dépenses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Automatique via API</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Virement bancaire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Cotisations diaspora, gros montants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Semi-automatique (relevé)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Carte bancaire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Diaspora hors zone CEMAC</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Via passerelle de paiement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Espèces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sans Mobile Money, événements présentiel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Saisie manuelle trésorier, avec reçu</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PayPal / Wise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Diaspora internationale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Semi-automatique, avec justificatif</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Crypto (optionnel)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Diaspora dans certains pays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À l'étude, non prioritaire</w:t>
            </w:r>
          </w:p>
        </w:tc>
      </w:tr>
    </w:tbl>
    <w:p>
      <w:pPr>
        <w:pStyle w:val="Heading2"/>
        <w:spacing w:after="160" w:before="320" w:line="340"/>
      </w:pPr>
      <w:bookmarkStart w:id="100027" w:name="_Toc100027"/>
      <w:r>
        <w:rPr>
          <w:rFonts w:ascii="Calibri" w:eastAsia="Calibri"/>
          <w:b/>
          <w:bCs/>
          <w:color w:val="2A4A3A"/>
          <w:sz w:val="28"/>
          <w:szCs w:val="28"/>
        </w:rPr>
        <w:t xml:space="preserve">6.4 Cas hors-ligne</w:t>
      </w:r>
      <w:bookmarkEnd w:id="100027"/>
    </w:p>
    <w:p>
      <w:pPr>
        <w:spacing w:after="160" w:line="312"/>
        <w:ind w:firstLine="360"/>
        <w:jc w:val="left"/>
      </w:pPr>
      <w:r>
        <w:rPr>
          <w:rFonts w:ascii="Calibri" w:eastAsia="Calibri"/>
          <w:color w:val="1A1A1A"/>
          <w:sz w:val="22"/>
          <w:szCs w:val="22"/>
        </w:rPr>
        <w:t xml:space="preserve">La connexion Internet n'est pas garantie dans les zones rurales du Cameroun. Le système prévoit un mode hors-ligne pour les opérations critiques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Saisie d'un paiement en espèces hors-ligne, avec synchronisation au retour de connexion.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Consultation des soldes hors-ligne (dernière valeur connue).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Émission d'un reçu PDF hors-ligne, avec identifiant unique.</w:t>
      </w:r>
    </w:p>
    <w:p>
      <w:pPr>
        <w:spacing w:after="160" w:line="312"/>
        <w:ind w:firstLine="360"/>
        <w:jc w:val="left"/>
      </w:pPr>
      <w:r>
        <w:rPr>
          <w:rFonts w:ascii="Calibri" w:eastAsia="Calibri"/>
          <w:color w:val="1A1A1A"/>
          <w:sz w:val="22"/>
          <w:szCs w:val="22"/>
        </w:rPr>
        <w:t xml:space="preserve">Ce mode hors-ligne est essentiel pour les congrès en zone rurale et pour les membres en mobilité.</w:t>
      </w:r>
    </w:p>
    <w:p>
      <w:pPr>
        <w:pStyle w:val="Heading2"/>
        <w:spacing w:after="160" w:before="320" w:line="340"/>
      </w:pPr>
      <w:bookmarkStart w:id="100028" w:name="_Toc100028"/>
      <w:r>
        <w:rPr>
          <w:rFonts w:ascii="Calibri" w:eastAsia="Calibri"/>
          <w:b/>
          <w:bCs/>
          <w:color w:val="2A4A3A"/>
          <w:sz w:val="28"/>
          <w:szCs w:val="28"/>
        </w:rPr>
        <w:t xml:space="preserve">6.5 Reçus et justificatifs</w:t>
      </w:r>
      <w:bookmarkEnd w:id="100028"/>
    </w:p>
    <w:p>
      <w:pPr>
        <w:spacing w:after="160" w:line="312"/>
        <w:ind w:firstLine="360"/>
        <w:jc w:val="left"/>
      </w:pPr>
      <w:r>
        <w:rPr>
          <w:rFonts w:ascii="Calibri" w:eastAsia="Calibri"/>
          <w:color w:val="1A1A1A"/>
          <w:sz w:val="22"/>
          <w:szCs w:val="22"/>
        </w:rPr>
        <w:t xml:space="preserve">Chaque paiement génère automatiquement un reçu PDF, avec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Identifiant unique du reçu.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Date et heure.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Montant et devise.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Canal de paiement.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Émetteur et bénéficiaire (caisse).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Motif (cotisation, contribution, don).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Référence de transaction opérateur.</w:t>
      </w:r>
    </w:p>
    <w:p>
      <w:pPr>
        <w:spacing w:after="160" w:line="312"/>
        <w:ind w:firstLine="360"/>
        <w:jc w:val="left"/>
      </w:pPr>
      <w:r>
        <w:rPr>
          <w:rFonts w:ascii="Calibri" w:eastAsia="Calibri"/>
          <w:color w:val="1A1A1A"/>
          <w:sz w:val="22"/>
          <w:szCs w:val="22"/>
        </w:rPr>
        <w:t xml:space="preserve">Le reçu est téléchargeable par le membre, archivé dans son historique, et joignable à toute contestation éventuelle.</w:t>
      </w:r>
    </w:p>
    <w:p>
      <w:pPr>
        <w:pStyle w:val="Heading2"/>
        <w:spacing w:after="160" w:before="320" w:line="340"/>
      </w:pPr>
      <w:bookmarkStart w:id="100029" w:name="_Toc100029"/>
      <w:r>
        <w:rPr>
          <w:rFonts w:ascii="Calibri" w:eastAsia="Calibri"/>
          <w:b/>
          <w:bCs/>
          <w:color w:val="2A4A3A"/>
          <w:sz w:val="28"/>
          <w:szCs w:val="28"/>
        </w:rPr>
        <w:t xml:space="preserve">6.6 Sécurité des paiements</w:t>
      </w:r>
      <w:bookmarkEnd w:id="100029"/>
    </w:p>
    <w:p>
      <w:pPr>
        <w:spacing w:after="160" w:line="312"/>
        <w:ind w:firstLine="360"/>
        <w:jc w:val="left"/>
      </w:pPr>
      <w:r>
        <w:rPr>
          <w:rFonts w:ascii="Calibri" w:eastAsia="Calibri"/>
          <w:color w:val="1A1A1A"/>
          <w:sz w:val="22"/>
          <w:szCs w:val="22"/>
        </w:rPr>
        <w:t xml:space="preserve">Les paiements sont soumis à des règles de sécurité strictes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Authentification à deux facteurs pour toute opération supérieure à 50 000 FCFA.</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Plafond quotidien configurable (par défaut 200 000 FCFA par membre).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Détection automatique des paiements anormaux (montant inhabituel, fréquence suspecte).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Journalisation de toute tentative de paiement, réussie ou échouée.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Conformité aux exigences réglementaires de la BEAC et de l'COBAC.</w:t>
      </w:r>
    </w:p>
    <w:p>
      <w:pPr>
        <w:pStyle w:val="Heading1"/>
        <w:spacing w:after="240" w:before="480" w:line="360"/>
      </w:pPr>
      <w:bookmarkStart w:id="100030" w:name="_Toc100030"/>
      <w:r>
        <w:rPr>
          <w:rFonts w:ascii="Calibri" w:eastAsia="Calibri"/>
          <w:b/>
          <w:bCs/>
          <w:color w:val="2A4A3A"/>
          <w:sz w:val="32"/>
          <w:szCs w:val="32"/>
        </w:rPr>
        <w:t xml:space="preserve">7. Module 4.4 — Budget et prévisions</w:t>
      </w:r>
      <w:bookmarkEnd w:id="100030"/>
    </w:p>
    <w:p>
      <w:pPr>
        <w:pStyle w:val="Heading2"/>
        <w:spacing w:after="160" w:before="320" w:line="340"/>
      </w:pPr>
      <w:bookmarkStart w:id="100031" w:name="_Toc100031"/>
      <w:r>
        <w:rPr>
          <w:rFonts w:ascii="Calibri" w:eastAsia="Calibri"/>
          <w:b/>
          <w:bCs/>
          <w:color w:val="2A4A3A"/>
          <w:sz w:val="28"/>
          <w:szCs w:val="28"/>
        </w:rPr>
        <w:t xml:space="preserve">7.1 Description</w:t>
      </w:r>
      <w:bookmarkEnd w:id="100031"/>
    </w:p>
    <w:p>
      <w:pPr>
        <w:spacing w:after="160" w:line="312"/>
        <w:ind w:firstLine="360"/>
        <w:jc w:val="left"/>
      </w:pPr>
      <w:r>
        <w:rPr>
          <w:rFonts w:ascii="Calibri" w:eastAsia="Calibri"/>
          <w:color w:val="1A1A1A"/>
          <w:sz w:val="22"/>
          <w:szCs w:val="22"/>
        </w:rPr>
        <w:t xml:space="preserve">Le budget est l'instrument de planification financière de la famille. Sans budget, les dépenses se font au fil de l'eau, sous la pression des événements, et aboutissent à des déficits ou à des cotisations exceptionnelles mal reçues. L'Univers 4 propose un cadre budgétaire annuel, voté par le conseil, suivi mensuellement, avec alertes en cas de dérive.</w:t>
      </w:r>
    </w:p>
    <w:p>
      <w:pPr>
        <w:pStyle w:val="Heading2"/>
        <w:spacing w:after="160" w:before="320" w:line="340"/>
      </w:pPr>
      <w:bookmarkStart w:id="100032" w:name="_Toc100032"/>
      <w:r>
        <w:rPr>
          <w:rFonts w:ascii="Calibri" w:eastAsia="Calibri"/>
          <w:b/>
          <w:bCs/>
          <w:color w:val="2A4A3A"/>
          <w:sz w:val="28"/>
          <w:szCs w:val="28"/>
        </w:rPr>
        <w:t xml:space="preserve">7.2 Cycle budgétaire annuel</w:t>
      </w:r>
      <w:bookmarkEnd w:id="100032"/>
    </w:p>
    <w:p>
      <w:pPr>
        <w:spacing w:after="160" w:line="312"/>
        <w:ind w:firstLine="360"/>
        <w:jc w:val="left"/>
      </w:pPr>
      <w:r>
        <w:rPr>
          <w:rFonts w:ascii="Calibri" w:eastAsia="Calibri"/>
          <w:color w:val="1A1A1A"/>
          <w:sz w:val="22"/>
          <w:szCs w:val="22"/>
        </w:rPr>
        <w:t xml:space="preserve">Le cycle budgétaire suit le calendrier suivant :</w:t>
      </w:r>
    </w:p>
    <w:p>
      <w:pPr>
        <w:keepNext/>
        <w:spacing w:after="120" w:before="240"/>
        <w:jc w:val="left"/>
      </w:pPr>
      <w:r>
        <w:rPr>
          <w:rFonts w:ascii="Calibri" w:eastAsia="Calibri"/>
          <w:b/>
          <w:bCs/>
          <w:color w:val="2A4A3A"/>
          <w:sz w:val="20"/>
          <w:szCs w:val="20"/>
        </w:rPr>
        <w:t xml:space="preserve">Tableau 5 — Cycle budgétaire annuel</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Mois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Étape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Septembre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Préparation du projet de budget par le trésorier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Octobre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Consultation des chefs de branche et des comités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Novembre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Finalisation et arbitrage par le conseil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Décembre (congrès)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 du budget par l'assemblée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Janvier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Démarrage de l'exercice, ouverture des caisses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Mars, juin, septembre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Revues trimestrielles d'exécution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Décembre (congrès suivant)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Bilan de l'exercice, clôture</w:t>
            </w:r>
          </w:p>
        </w:tc>
      </w:tr>
    </w:tbl>
    <w:p>
      <w:pPr>
        <w:pStyle w:val="Heading2"/>
        <w:spacing w:after="160" w:before="320" w:line="340"/>
      </w:pPr>
      <w:bookmarkStart w:id="100033" w:name="_Toc100033"/>
      <w:r>
        <w:rPr>
          <w:rFonts w:ascii="Calibri" w:eastAsia="Calibri"/>
          <w:b/>
          <w:bCs/>
          <w:color w:val="2A4A3A"/>
          <w:sz w:val="28"/>
          <w:szCs w:val="28"/>
        </w:rPr>
        <w:t xml:space="preserve">7.3 Structure du budget</w:t>
      </w:r>
      <w:bookmarkEnd w:id="100033"/>
    </w:p>
    <w:p>
      <w:pPr>
        <w:spacing w:after="160" w:line="312"/>
        <w:ind w:firstLine="360"/>
        <w:jc w:val="left"/>
      </w:pPr>
      <w:r>
        <w:rPr>
          <w:rFonts w:ascii="Calibri" w:eastAsia="Calibri"/>
          <w:color w:val="1A1A1A"/>
          <w:sz w:val="22"/>
          <w:szCs w:val="22"/>
        </w:rPr>
        <w:t xml:space="preserve">Le budget est organisé en postes, eux-mêmes regroupés en grandes catégories :</w:t>
      </w:r>
    </w:p>
    <w:p>
      <w:pPr>
        <w:keepNext/>
        <w:spacing w:after="120" w:before="240"/>
        <w:jc w:val="left"/>
      </w:pPr>
      <w:r>
        <w:rPr>
          <w:rFonts w:ascii="Calibri" w:eastAsia="Calibri"/>
          <w:b/>
          <w:bCs/>
          <w:color w:val="2A4A3A"/>
          <w:sz w:val="20"/>
          <w:szCs w:val="20"/>
        </w:rPr>
        <w:t xml:space="preserve">Tableau 6 — Structure du budget annuel</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Catégorie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Postes typiques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Fonctionnement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Communications, déplacements des représentants, frais administratifs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Congrès biennal, assemblée générale, journées familiales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Aides sociales récurrentes, secours exceptionnels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Investissement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Terrain familial, construction, équipements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Réserve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Alimentation de la caisse de réserve</w:t>
            </w:r>
          </w:p>
        </w:tc>
      </w:tr>
    </w:tbl>
    <w:p>
      <w:pPr>
        <w:spacing w:after="160" w:line="312"/>
        <w:ind w:firstLine="360"/>
        <w:jc w:val="left"/>
      </w:pPr>
      <w:r>
        <w:rPr>
          <w:rFonts w:ascii="Calibri" w:eastAsia="Calibri"/>
          <w:color w:val="1A1A1A"/>
          <w:sz w:val="22"/>
          <w:szCs w:val="22"/>
        </w:rPr>
        <w:t xml:space="preserve">Chaque poste possède un montant prévisionnel, un responsable, et un calendrier de dépense. Le suivi mensuel compare le prévisionnel au réel, et signale les écarts supérieurs à un seuil (par défaut 15 %).</w:t>
      </w:r>
    </w:p>
    <w:p>
      <w:pPr>
        <w:pStyle w:val="Heading2"/>
        <w:spacing w:after="160" w:before="320" w:line="340"/>
      </w:pPr>
      <w:bookmarkStart w:id="100034" w:name="_Toc100034"/>
      <w:r>
        <w:rPr>
          <w:rFonts w:ascii="Calibri" w:eastAsia="Calibri"/>
          <w:b/>
          <w:bCs/>
          <w:color w:val="2A4A3A"/>
          <w:sz w:val="28"/>
          <w:szCs w:val="28"/>
        </w:rPr>
        <w:t xml:space="preserve">7.4 Budget par événement</w:t>
      </w:r>
      <w:bookmarkEnd w:id="100034"/>
    </w:p>
    <w:p>
      <w:pPr>
        <w:spacing w:after="160" w:line="312"/>
        <w:ind w:firstLine="360"/>
        <w:jc w:val="left"/>
      </w:pPr>
      <w:r>
        <w:rPr>
          <w:rFonts w:ascii="Calibri" w:eastAsia="Calibri"/>
          <w:color w:val="1A1A1A"/>
          <w:sz w:val="22"/>
          <w:szCs w:val="22"/>
        </w:rPr>
        <w:t xml:space="preserve">Chaque événement de l'Univers 2 (congrès, mariage, funérailles) possède son propre budget, rattaché au budget annuel global. Le budget d'événement suit le même cycle (préparation, validation, exécution, clôture), mais sur une durée plus courte. La clôture de l'événement (Univers 2) déclenche la clôture budgétaire, avec bilan transmis au conseil.</w:t>
      </w:r>
    </w:p>
    <w:p>
      <w:pPr>
        <w:pStyle w:val="Heading2"/>
        <w:spacing w:after="160" w:before="320" w:line="340"/>
      </w:pPr>
      <w:bookmarkStart w:id="100035" w:name="_Toc100035"/>
      <w:r>
        <w:rPr>
          <w:rFonts w:ascii="Calibri" w:eastAsia="Calibri"/>
          <w:b/>
          <w:bCs/>
          <w:color w:val="2A4A3A"/>
          <w:sz w:val="28"/>
          <w:szCs w:val="28"/>
        </w:rPr>
        <w:t xml:space="preserve">7.5 Budget par branche</w:t>
      </w:r>
      <w:bookmarkEnd w:id="100035"/>
    </w:p>
    <w:p>
      <w:pPr>
        <w:spacing w:after="160" w:line="312"/>
        <w:ind w:firstLine="360"/>
        <w:jc w:val="left"/>
      </w:pPr>
      <w:r>
        <w:rPr>
          <w:rFonts w:ascii="Calibri" w:eastAsia="Calibri"/>
          <w:color w:val="1A1A1A"/>
          <w:sz w:val="22"/>
          <w:szCs w:val="22"/>
        </w:rPr>
        <w:t xml:space="preserve">Chaque branche peut disposer de son propre budget de fonctionnement, financé par une cotisation de branche ou par une dotation de la caisse principale. Le trésorier de branche gère ce budget, avec les mêmes outils que le trésorier principal (suivi mensuel, justificatifs, clôture). Cette décentralisation reflète la réalité des grandes familles, où les branches ont une autonomie de fonctionnement significative.</w:t>
      </w:r>
    </w:p>
    <w:p>
      <w:pPr>
        <w:pStyle w:val="Heading2"/>
        <w:spacing w:after="160" w:before="320" w:line="340"/>
      </w:pPr>
      <w:bookmarkStart w:id="100036" w:name="_Toc100036"/>
      <w:r>
        <w:rPr>
          <w:rFonts w:ascii="Calibri" w:eastAsia="Calibri"/>
          <w:b/>
          <w:bCs/>
          <w:color w:val="2A4A3A"/>
          <w:sz w:val="28"/>
          <w:szCs w:val="28"/>
        </w:rPr>
        <w:t xml:space="preserve">7.6 Ajustements en cours d'exercice</w:t>
      </w:r>
      <w:bookmarkEnd w:id="100036"/>
    </w:p>
    <w:p>
      <w:pPr>
        <w:spacing w:after="160" w:line="312"/>
        <w:ind w:firstLine="360"/>
        <w:jc w:val="left"/>
      </w:pPr>
      <w:r>
        <w:rPr>
          <w:rFonts w:ascii="Calibri" w:eastAsia="Calibri"/>
          <w:color w:val="1A1A1A"/>
          <w:sz w:val="22"/>
          <w:szCs w:val="22"/>
        </w:rPr>
        <w:t xml:space="preserve">Le budget voté n'est pas figé. En cours d'exercice, des ajustements sont possibles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Virement de poste —</w:t>
      </w:r>
      <w:r>
        <w:rPr>
          <w:rFonts w:ascii="Calibri" w:eastAsia="Calibri"/>
          <w:color w:val="1A1A1A"/>
          <w:sz w:val="22"/>
          <w:szCs w:val="22"/>
        </w:rPr>
        <w:t xml:space="preserve"> transfert d'un poste à un autre, dans la limite de 10 % du poste source, validé par le trésorier seul.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Virement significatif —</w:t>
      </w:r>
      <w:r>
        <w:rPr>
          <w:rFonts w:ascii="Calibri" w:eastAsia="Calibri"/>
          <w:color w:val="1A1A1A"/>
          <w:sz w:val="22"/>
          <w:szCs w:val="22"/>
        </w:rPr>
        <w:t xml:space="preserve"> au-delà de 10 %, validation du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Budget additionnel —</w:t>
      </w:r>
      <w:r>
        <w:rPr>
          <w:rFonts w:ascii="Calibri" w:eastAsia="Calibri"/>
          <w:color w:val="1A1A1A"/>
          <w:sz w:val="22"/>
          <w:szCs w:val="22"/>
        </w:rPr>
        <w:t xml:space="preserve"> en cas d'événement imprévu, le conseil peut voter un budget additionnel financé par la réserve ou par une cotisation exceptionnelle.</w:t>
      </w:r>
    </w:p>
    <w:p>
      <w:pPr>
        <w:spacing w:after="160" w:line="312"/>
        <w:ind w:firstLine="360"/>
        <w:jc w:val="left"/>
      </w:pPr>
      <w:r>
        <w:rPr>
          <w:rFonts w:ascii="Calibri" w:eastAsia="Calibri"/>
          <w:color w:val="1A1A1A"/>
          <w:sz w:val="22"/>
          <w:szCs w:val="22"/>
        </w:rPr>
        <w:t xml:space="preserve">Tout ajustement est tracé dans le journal et publié dans le rapport mensuel suivant.</w:t>
      </w:r>
    </w:p>
    <w:p>
      <w:pPr>
        <w:pStyle w:val="Heading1"/>
        <w:spacing w:after="240" w:before="480" w:line="360"/>
      </w:pPr>
      <w:bookmarkStart w:id="100037" w:name="_Toc100037"/>
      <w:r>
        <w:rPr>
          <w:rFonts w:ascii="Calibri" w:eastAsia="Calibri"/>
          <w:b/>
          <w:bCs/>
          <w:color w:val="2A4A3A"/>
          <w:sz w:val="32"/>
          <w:szCs w:val="32"/>
        </w:rPr>
        <w:t xml:space="preserve">8. Module 4.5 — Comptabilité et journal</w:t>
      </w:r>
      <w:bookmarkEnd w:id="100037"/>
    </w:p>
    <w:p>
      <w:pPr>
        <w:pStyle w:val="Heading2"/>
        <w:spacing w:after="160" w:before="320" w:line="340"/>
      </w:pPr>
      <w:bookmarkStart w:id="100038" w:name="_Toc100038"/>
      <w:r>
        <w:rPr>
          <w:rFonts w:ascii="Calibri" w:eastAsia="Calibri"/>
          <w:b/>
          <w:bCs/>
          <w:color w:val="2A4A3A"/>
          <w:sz w:val="28"/>
          <w:szCs w:val="28"/>
        </w:rPr>
        <w:t xml:space="preserve">8.1 Description</w:t>
      </w:r>
      <w:bookmarkEnd w:id="100038"/>
    </w:p>
    <w:p>
      <w:pPr>
        <w:spacing w:after="160" w:line="312"/>
        <w:ind w:firstLine="360"/>
        <w:jc w:val="left"/>
      </w:pPr>
      <w:r>
        <w:rPr>
          <w:rFonts w:ascii="Calibri" w:eastAsia="Calibri"/>
          <w:color w:val="1A1A1A"/>
          <w:sz w:val="22"/>
          <w:szCs w:val="22"/>
        </w:rPr>
        <w:t xml:space="preserve">La comptabilité est la mémoire rigoureuse de la famille. Elle transforme une collection de paiements et de dépenses en un système cohérent, auditable et consultable. L'Univers 4 propose une comptabilité simplifiée mais professionnelle, adaptée aux besoins des grandes familles et à la formation de trésoriers bénévoles.</w:t>
      </w:r>
    </w:p>
    <w:p>
      <w:pPr>
        <w:pStyle w:val="Heading2"/>
        <w:spacing w:after="160" w:before="320" w:line="340"/>
      </w:pPr>
      <w:bookmarkStart w:id="100039" w:name="_Toc100039"/>
      <w:r>
        <w:rPr>
          <w:rFonts w:ascii="Calibri" w:eastAsia="Calibri"/>
          <w:b/>
          <w:bCs/>
          <w:color w:val="2A4A3A"/>
          <w:sz w:val="28"/>
          <w:szCs w:val="28"/>
        </w:rPr>
        <w:t xml:space="preserve">8.2 Plan comptable simplifié</w:t>
      </w:r>
      <w:bookmarkEnd w:id="100039"/>
    </w:p>
    <w:p>
      <w:pPr>
        <w:spacing w:after="160" w:line="312"/>
        <w:ind w:firstLine="360"/>
        <w:jc w:val="left"/>
      </w:pPr>
      <w:r>
        <w:rPr>
          <w:rFonts w:ascii="Calibri" w:eastAsia="Calibri"/>
          <w:color w:val="1A1A1A"/>
          <w:sz w:val="22"/>
          <w:szCs w:val="22"/>
        </w:rPr>
        <w:t xml:space="preserve">Le plan comptable est inspiré du SYSCOHADA (système comptable OHADA applicable en zone CEMAC), mais simplifié pour rester accessible. Les principales classes sont :</w:t>
      </w:r>
    </w:p>
    <w:p>
      <w:pPr>
        <w:keepNext/>
        <w:spacing w:after="120" w:before="240"/>
        <w:jc w:val="left"/>
      </w:pPr>
      <w:r>
        <w:rPr>
          <w:rFonts w:ascii="Calibri" w:eastAsia="Calibri"/>
          <w:b/>
          <w:bCs/>
          <w:color w:val="2A4A3A"/>
          <w:sz w:val="20"/>
          <w:szCs w:val="20"/>
        </w:rPr>
        <w:t xml:space="preserve">Tableau 7 — Plan comptable simplifié (inspiré SYSCOHADA)</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Classe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Intitulé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Exemples de comptes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Comptes de capitaux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 principale, caisses de réserve, report à nouveau</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Comptes d'immobilisations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Terrain familial, constructions, matériel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4</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Comptes de tiers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Cotisants, fournisseurs, débiteurs divers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Comptes de trésorerie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Banque, Mobile Money, caisse espèces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6</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Comptes de charges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Fonctionnement, événements, solidarité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7</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Comptes de produits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Cotisations, dons, contributions</w:t>
            </w:r>
          </w:p>
        </w:tc>
      </w:tr>
    </w:tbl>
    <w:p>
      <w:pPr>
        <w:spacing w:after="160" w:line="312"/>
        <w:ind w:firstLine="360"/>
        <w:jc w:val="left"/>
      </w:pPr>
      <w:r>
        <w:rPr>
          <w:rFonts w:ascii="Calibri" w:eastAsia="Calibri"/>
          <w:color w:val="1A1A1A"/>
          <w:sz w:val="22"/>
          <w:szCs w:val="22"/>
        </w:rPr>
        <w:t xml:space="preserve">Chaque compte possède un code, un intitulé, et un solde. Le trésorier peut ajouter des sous-comptes pour affiner le suivi, dans la limite d'un nombre raisonnable (par défaut, 100 comptes maximum).</w:t>
      </w:r>
    </w:p>
    <w:p>
      <w:pPr>
        <w:pStyle w:val="Heading2"/>
        <w:spacing w:after="160" w:before="320" w:line="340"/>
      </w:pPr>
      <w:bookmarkStart w:id="100040" w:name="_Toc100040"/>
      <w:r>
        <w:rPr>
          <w:rFonts w:ascii="Calibri" w:eastAsia="Calibri"/>
          <w:b/>
          <w:bCs/>
          <w:color w:val="2A4A3A"/>
          <w:sz w:val="28"/>
          <w:szCs w:val="28"/>
        </w:rPr>
        <w:t xml:space="preserve">8.3 Journal des écritures</w:t>
      </w:r>
      <w:bookmarkEnd w:id="100040"/>
    </w:p>
    <w:p>
      <w:pPr>
        <w:spacing w:after="160" w:line="312"/>
        <w:ind w:firstLine="360"/>
        <w:jc w:val="left"/>
      </w:pPr>
      <w:r>
        <w:rPr>
          <w:rFonts w:ascii="Calibri" w:eastAsia="Calibri"/>
          <w:color w:val="1A1A1A"/>
          <w:sz w:val="22"/>
          <w:szCs w:val="22"/>
        </w:rPr>
        <w:t xml:space="preserve">Le journal est la chronologie de toutes les écritures comptables. Chaque écriture comporte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Numéro d'écriture (incrémental, non modifiable).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Date de l'écriture.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Compte débité et compte crédité.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Montant.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Motif (description libre).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Pièce justificative (lien vers le document).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Auteur de l'écriture.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Validateur (pour les dépenses soumises à double validation).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Statut (brouillon, validée, rapprochée, archivée).</w:t>
      </w:r>
    </w:p>
    <w:p>
      <w:pPr>
        <w:spacing w:after="160" w:line="312"/>
        <w:ind w:firstLine="360"/>
        <w:jc w:val="left"/>
      </w:pPr>
      <w:r>
        <w:rPr>
          <w:rFonts w:ascii="Calibri" w:eastAsia="Calibri"/>
          <w:color w:val="1A1A1A"/>
          <w:sz w:val="22"/>
          <w:szCs w:val="22"/>
        </w:rPr>
        <w:t xml:space="preserve">Le journal est immutable : aucune écriture ne peut être modifiée ou supprimée après validation. Toute correction se fait par écriture compensatoire (écriture inverse annulant l'écriture erronée, puis nouvelle écriture correcte). Cette immuabilité est la garantie fondamentale de l'auditabilité.</w:t>
      </w:r>
    </w:p>
    <w:p>
      <w:pPr>
        <w:pStyle w:val="Heading2"/>
        <w:spacing w:after="160" w:before="320" w:line="340"/>
      </w:pPr>
      <w:bookmarkStart w:id="100041" w:name="_Toc100041"/>
      <w:r>
        <w:rPr>
          <w:rFonts w:ascii="Calibri" w:eastAsia="Calibri"/>
          <w:b/>
          <w:bCs/>
          <w:color w:val="2A4A3A"/>
          <w:sz w:val="28"/>
          <w:szCs w:val="28"/>
        </w:rPr>
        <w:t xml:space="preserve">8.4 Balance et états financiers</w:t>
      </w:r>
      <w:bookmarkEnd w:id="100041"/>
    </w:p>
    <w:p>
      <w:pPr>
        <w:spacing w:after="160" w:line="312"/>
        <w:ind w:firstLine="360"/>
        <w:jc w:val="left"/>
      </w:pPr>
      <w:r>
        <w:rPr>
          <w:rFonts w:ascii="Calibri" w:eastAsia="Calibri"/>
          <w:color w:val="1A1A1A"/>
          <w:sz w:val="22"/>
          <w:szCs w:val="22"/>
        </w:rPr>
        <w:t xml:space="preserve">À partir du journal, le système génère automatiquement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balance générale —</w:t>
      </w:r>
      <w:r>
        <w:rPr>
          <w:rFonts w:ascii="Calibri" w:eastAsia="Calibri"/>
          <w:color w:val="1A1A1A"/>
          <w:sz w:val="22"/>
          <w:szCs w:val="22"/>
        </w:rPr>
        <w:t xml:space="preserve"> solde de chaque compte à une date donnée.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 compte de résultat —</w:t>
      </w:r>
      <w:r>
        <w:rPr>
          <w:rFonts w:ascii="Calibri" w:eastAsia="Calibri"/>
          <w:color w:val="1A1A1A"/>
          <w:sz w:val="22"/>
          <w:szCs w:val="22"/>
        </w:rPr>
        <w:t xml:space="preserve"> produits et charges de l'exercice, solde net.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 bilan —</w:t>
      </w:r>
      <w:r>
        <w:rPr>
          <w:rFonts w:ascii="Calibri" w:eastAsia="Calibri"/>
          <w:color w:val="1A1A1A"/>
          <w:sz w:val="22"/>
          <w:szCs w:val="22"/>
        </w:rPr>
        <w:t xml:space="preserve"> situation patrimoniale à la clôture.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balance âgée —</w:t>
      </w:r>
      <w:r>
        <w:rPr>
          <w:rFonts w:ascii="Calibri" w:eastAsia="Calibri"/>
          <w:color w:val="1A1A1A"/>
          <w:sz w:val="22"/>
          <w:szCs w:val="22"/>
        </w:rPr>
        <w:t xml:space="preserve"> détail des créances et dettes par ancienneté.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Les états de caisse —</w:t>
      </w:r>
      <w:r>
        <w:rPr>
          <w:rFonts w:ascii="Calibri" w:eastAsia="Calibri"/>
          <w:color w:val="1A1A1A"/>
          <w:sz w:val="22"/>
          <w:szCs w:val="22"/>
        </w:rPr>
        <w:t xml:space="preserve"> solde de chaque caisse, mouvements du mois.</w:t>
      </w:r>
    </w:p>
    <w:p>
      <w:pPr>
        <w:spacing w:after="160" w:line="312"/>
        <w:ind w:firstLine="360"/>
        <w:jc w:val="left"/>
      </w:pPr>
      <w:r>
        <w:rPr>
          <w:rFonts w:ascii="Calibri" w:eastAsia="Calibri"/>
          <w:color w:val="1A1A1A"/>
          <w:sz w:val="22"/>
          <w:szCs w:val="22"/>
        </w:rPr>
        <w:t xml:space="preserve">Ces états sont générés à la demande, et automatiquement à chaque clôture mensuelle et annuelle. Ils sont consultables par le trésorier et le conseil, et publiés dans le rapport mensuel (version agrégée, sans détail nominatif).</w:t>
      </w:r>
    </w:p>
    <w:p>
      <w:pPr>
        <w:pStyle w:val="Heading2"/>
        <w:spacing w:after="160" w:before="320" w:line="340"/>
      </w:pPr>
      <w:bookmarkStart w:id="100042" w:name="_Toc100042"/>
      <w:r>
        <w:rPr>
          <w:rFonts w:ascii="Calibri" w:eastAsia="Calibri"/>
          <w:b/>
          <w:bCs/>
          <w:color w:val="2A4A3A"/>
          <w:sz w:val="28"/>
          <w:szCs w:val="28"/>
        </w:rPr>
        <w:t xml:space="preserve">8.5 Exercice annuel et clôture</w:t>
      </w:r>
      <w:bookmarkEnd w:id="100042"/>
    </w:p>
    <w:p>
      <w:pPr>
        <w:spacing w:after="160" w:line="312"/>
        <w:ind w:firstLine="360"/>
        <w:jc w:val="left"/>
      </w:pPr>
      <w:r>
        <w:rPr>
          <w:rFonts w:ascii="Calibri" w:eastAsia="Calibri"/>
          <w:color w:val="1A1A1A"/>
          <w:sz w:val="22"/>
          <w:szCs w:val="22"/>
        </w:rPr>
        <w:t xml:space="preserve">L'exercice annuel suit l'année civile (1er janvier au 31 décembre). La clôture se déroule en trois étapes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Clôture provisoire (janvier) —</w:t>
      </w:r>
      <w:r>
        <w:rPr>
          <w:rFonts w:ascii="Calibri" w:eastAsia="Calibri"/>
          <w:color w:val="1A1A1A"/>
          <w:sz w:val="22"/>
          <w:szCs w:val="22"/>
        </w:rPr>
        <w:t xml:space="preserve"> par le trésorier, avec inventaire, régularisations, et arrêté des comptes.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Audit éventuel (février) —</w:t>
      </w:r>
      <w:r>
        <w:rPr>
          <w:rFonts w:ascii="Calibri" w:eastAsia="Calibri"/>
          <w:color w:val="1A1A1A"/>
          <w:sz w:val="22"/>
          <w:szCs w:val="22"/>
        </w:rPr>
        <w:t xml:space="preserve"> par un commissaire aux comptes externe, si la famille le souhaite ou si les statuts l'exigent.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Clôture définitive (mars) —</w:t>
      </w:r>
      <w:r>
        <w:rPr>
          <w:rFonts w:ascii="Calibri" w:eastAsia="Calibri"/>
          <w:color w:val="1A1A1A"/>
          <w:sz w:val="22"/>
          <w:szCs w:val="22"/>
        </w:rPr>
        <w:t xml:space="preserve"> validation par le conseil, présentation au congrès, archivage.</w:t>
      </w:r>
    </w:p>
    <w:p>
      <w:pPr>
        <w:spacing w:after="160" w:line="312"/>
        <w:ind w:firstLine="360"/>
        <w:jc w:val="left"/>
      </w:pPr>
      <w:r>
        <w:rPr>
          <w:rFonts w:ascii="Calibri" w:eastAsia="Calibri"/>
          <w:color w:val="1A1A1A"/>
          <w:sz w:val="22"/>
          <w:szCs w:val="22"/>
        </w:rPr>
        <w:t xml:space="preserve">La clôture est un moment important de la vie familiale. Elle donne lieu à un bilan annuel transmis à tous les membres, présenté au congrès, et archivé dans l'Univers 6 (Mémoire).</w:t>
      </w:r>
    </w:p>
    <w:p>
      <w:pPr>
        <w:pStyle w:val="Heading2"/>
        <w:spacing w:after="160" w:before="320" w:line="340"/>
      </w:pPr>
      <w:bookmarkStart w:id="100043" w:name="_Toc100043"/>
      <w:r>
        <w:rPr>
          <w:rFonts w:ascii="Calibri" w:eastAsia="Calibri"/>
          <w:b/>
          <w:bCs/>
          <w:color w:val="2A4A3A"/>
          <w:sz w:val="28"/>
          <w:szCs w:val="28"/>
        </w:rPr>
        <w:t xml:space="preserve">8.6 Lien avec l'Univers 3</w:t>
      </w:r>
      <w:bookmarkEnd w:id="100043"/>
    </w:p>
    <w:p>
      <w:pPr>
        <w:spacing w:after="160" w:line="312"/>
        <w:ind w:firstLine="360"/>
        <w:jc w:val="left"/>
      </w:pPr>
      <w:r>
        <w:rPr>
          <w:rFonts w:ascii="Calibri" w:eastAsia="Calibri"/>
          <w:color w:val="1A1A1A"/>
          <w:sz w:val="22"/>
          <w:szCs w:val="22"/>
        </w:rPr>
        <w:t xml:space="preserve">L'Univers 3 (Solidarité) utilise l'infrastructure comptable de l'Univers 4 pour enregistrer les collectes et les dépenses de solidarité. Chaque dossier de solidarité génère des écritures dans le journal U4, avec un code analytique spécifique permettant de les isoler. Le rapprochement entre U3 et U4 est automatique et garantit la cohérence entre le suivi opérationnel (U3) et la comptabilité (U4).</w:t>
      </w:r>
    </w:p>
    <w:p>
      <w:pPr>
        <w:pStyle w:val="Heading1"/>
        <w:spacing w:after="240" w:before="480" w:line="360"/>
      </w:pPr>
      <w:bookmarkStart w:id="100044" w:name="_Toc100044"/>
      <w:r>
        <w:rPr>
          <w:rFonts w:ascii="Calibri" w:eastAsia="Calibri"/>
          <w:b/>
          <w:bCs/>
          <w:color w:val="2A4A3A"/>
          <w:sz w:val="32"/>
          <w:szCs w:val="32"/>
        </w:rPr>
        <w:t xml:space="preserve">9. Module 4.6 — Audit et contrôles</w:t>
      </w:r>
      <w:bookmarkEnd w:id="100044"/>
    </w:p>
    <w:p>
      <w:pPr>
        <w:pStyle w:val="Heading2"/>
        <w:spacing w:after="160" w:before="320" w:line="340"/>
      </w:pPr>
      <w:bookmarkStart w:id="100045" w:name="_Toc100045"/>
      <w:r>
        <w:rPr>
          <w:rFonts w:ascii="Calibri" w:eastAsia="Calibri"/>
          <w:b/>
          <w:bCs/>
          <w:color w:val="2A4A3A"/>
          <w:sz w:val="28"/>
          <w:szCs w:val="28"/>
        </w:rPr>
        <w:t xml:space="preserve">9.1 Description</w:t>
      </w:r>
      <w:bookmarkEnd w:id="100045"/>
    </w:p>
    <w:p>
      <w:pPr>
        <w:spacing w:after="160" w:line="312"/>
        <w:ind w:firstLine="360"/>
        <w:jc w:val="left"/>
      </w:pPr>
      <w:r>
        <w:rPr>
          <w:rFonts w:ascii="Calibri" w:eastAsia="Calibri"/>
          <w:color w:val="1A1A1A"/>
          <w:sz w:val="22"/>
          <w:szCs w:val="22"/>
        </w:rPr>
        <w:t xml:space="preserve">L'audit est la garantie ultime de la confiance. Même avec un journal immutable et des justificatifs obligatoires, des contrôles périodiques sont nécessaires pour détecter les anomalies, les erreurs, et les tentatives de fraude. L'Univers 4 intègre plusieurs niveaux d'audit, complétant ceux déjà décrits dans l'Univers 3.</w:t>
      </w:r>
    </w:p>
    <w:p>
      <w:pPr>
        <w:pStyle w:val="Heading2"/>
        <w:spacing w:after="160" w:before="320" w:line="340"/>
      </w:pPr>
      <w:bookmarkStart w:id="100046" w:name="_Toc100046"/>
      <w:r>
        <w:rPr>
          <w:rFonts w:ascii="Calibri" w:eastAsia="Calibri"/>
          <w:b/>
          <w:bCs/>
          <w:color w:val="2A4A3A"/>
          <w:sz w:val="28"/>
          <w:szCs w:val="28"/>
        </w:rPr>
        <w:t xml:space="preserve">9.2 Journal immutable des écritures</w:t>
      </w:r>
      <w:bookmarkEnd w:id="100046"/>
    </w:p>
    <w:p>
      <w:pPr>
        <w:spacing w:after="160" w:line="312"/>
        <w:ind w:firstLine="360"/>
        <w:jc w:val="left"/>
      </w:pPr>
      <w:r>
        <w:rPr>
          <w:rFonts w:ascii="Calibri" w:eastAsia="Calibri"/>
          <w:color w:val="1A1A1A"/>
          <w:sz w:val="22"/>
          <w:szCs w:val="22"/>
        </w:rPr>
        <w:t xml:space="preserve">Déjà évoqué, ce journal est la pierre angulaire de l'audit. Toute écriture, une fois validée, ne peut plus être modifiée. Les corrections se font par écriture compensatoire, avec mention du motif et de l'auteur. Le journal est consultable par le conseil et le comité médiation, et exportable en mode audit.</w:t>
      </w:r>
    </w:p>
    <w:p>
      <w:pPr>
        <w:pStyle w:val="Heading2"/>
        <w:spacing w:after="160" w:before="320" w:line="340"/>
      </w:pPr>
      <w:bookmarkStart w:id="100047" w:name="_Toc100047"/>
      <w:r>
        <w:rPr>
          <w:rFonts w:ascii="Calibri" w:eastAsia="Calibri"/>
          <w:b/>
          <w:bCs/>
          <w:color w:val="2A4A3A"/>
          <w:sz w:val="28"/>
          <w:szCs w:val="28"/>
        </w:rPr>
        <w:t xml:space="preserve">9.3 Double validation des dépenses</w:t>
      </w:r>
      <w:bookmarkEnd w:id="100047"/>
    </w:p>
    <w:p>
      <w:pPr>
        <w:spacing w:after="160" w:line="312"/>
        <w:ind w:firstLine="360"/>
        <w:jc w:val="left"/>
      </w:pPr>
      <w:r>
        <w:rPr>
          <w:rFonts w:ascii="Calibri" w:eastAsia="Calibri"/>
          <w:color w:val="1A1A1A"/>
          <w:sz w:val="22"/>
          <w:szCs w:val="22"/>
        </w:rPr>
        <w:t xml:space="preserve">Toute dépense supérieure à un seuil configurable (par défaut 50 000 FCFA) est soumise à double validation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référent du dossier ou le trésorier propose la dépense (montant, bénéficiaire, motif, justificatif).</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second validateur (trésorier pour une dépense de branche, membre du conseil pour une dépense principale) valide.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paiement est alors effectué via l'Univers 4.</w:t>
      </w:r>
    </w:p>
    <w:p>
      <w:pPr>
        <w:spacing w:after="160" w:line="312"/>
        <w:ind w:firstLine="360"/>
        <w:jc w:val="left"/>
      </w:pPr>
      <w:r>
        <w:rPr>
          <w:rFonts w:ascii="Calibri" w:eastAsia="Calibri"/>
          <w:color w:val="1A1A1A"/>
          <w:sz w:val="22"/>
          <w:szCs w:val="22"/>
        </w:rPr>
        <w:t xml:space="preserve">Pour les dépenses supérieures à un second seuil (par défaut 500 000 FCFA), une triple validation est requise, incluant le patriarche ou le conseil au complet.</w:t>
      </w:r>
    </w:p>
    <w:p>
      <w:pPr>
        <w:pStyle w:val="Heading2"/>
        <w:spacing w:after="160" w:before="320" w:line="340"/>
      </w:pPr>
      <w:bookmarkStart w:id="100048" w:name="_Toc100048"/>
      <w:r>
        <w:rPr>
          <w:rFonts w:ascii="Calibri" w:eastAsia="Calibri"/>
          <w:b/>
          <w:bCs/>
          <w:color w:val="2A4A3A"/>
          <w:sz w:val="28"/>
          <w:szCs w:val="28"/>
        </w:rPr>
        <w:t xml:space="preserve">9.4 Justificatifs obligatoires</w:t>
      </w:r>
      <w:bookmarkEnd w:id="100048"/>
    </w:p>
    <w:p>
      <w:pPr>
        <w:spacing w:after="160" w:line="312"/>
        <w:ind w:firstLine="360"/>
        <w:jc w:val="left"/>
      </w:pPr>
      <w:r>
        <w:rPr>
          <w:rFonts w:ascii="Calibri" w:eastAsia="Calibri"/>
          <w:color w:val="1A1A1A"/>
          <w:sz w:val="22"/>
          <w:szCs w:val="22"/>
        </w:rPr>
        <w:t xml:space="preserve">Toute dépense supérieure à 10 000 FCFA doit être justifiée par une pièce jointe : facture, reçu, photo, contrat. Les justificatifs sont téléversés dans l'application, visibles par le conseil et le comité médiation, et archivés. En l'absence de justificatif, la dépense est signalée et doit être régularisée ou remboursée.</w:t>
      </w:r>
    </w:p>
    <w:p>
      <w:pPr>
        <w:pStyle w:val="Heading2"/>
        <w:spacing w:after="160" w:before="320" w:line="340"/>
      </w:pPr>
      <w:bookmarkStart w:id="100049" w:name="_Toc100049"/>
      <w:r>
        <w:rPr>
          <w:rFonts w:ascii="Calibri" w:eastAsia="Calibri"/>
          <w:b/>
          <w:bCs/>
          <w:color w:val="2A4A3A"/>
          <w:sz w:val="28"/>
          <w:szCs w:val="28"/>
        </w:rPr>
        <w:t xml:space="preserve">9.5 Rapprochement bancaire</w:t>
      </w:r>
      <w:bookmarkEnd w:id="100049"/>
    </w:p>
    <w:p>
      <w:pPr>
        <w:spacing w:after="160" w:line="312"/>
        <w:ind w:firstLine="360"/>
        <w:jc w:val="left"/>
      </w:pPr>
      <w:r>
        <w:rPr>
          <w:rFonts w:ascii="Calibri" w:eastAsia="Calibri"/>
          <w:color w:val="1A1A1A"/>
          <w:sz w:val="22"/>
          <w:szCs w:val="22"/>
        </w:rPr>
        <w:t xml:space="preserve">Le rapprochement entre les écritures comptables et les relevés externes (banque, Mobile Money) est effectué automatiquement par le système, à partir des relevés et des webhooks des opérateurs. Tout écart est signalé et doit être justifié par le trésorier. Le rapprochement est obligatoire mensuellement, et présenté dans le rapport mensuel.</w:t>
      </w:r>
    </w:p>
    <w:p>
      <w:pPr>
        <w:pStyle w:val="Heading2"/>
        <w:spacing w:after="160" w:before="320" w:line="340"/>
      </w:pPr>
      <w:bookmarkStart w:id="100050" w:name="_Toc100050"/>
      <w:r>
        <w:rPr>
          <w:rFonts w:ascii="Calibri" w:eastAsia="Calibri"/>
          <w:b/>
          <w:bCs/>
          <w:color w:val="2A4A3A"/>
          <w:sz w:val="28"/>
          <w:szCs w:val="28"/>
        </w:rPr>
        <w:t xml:space="preserve">9.6 Audit aléatoire</w:t>
      </w:r>
      <w:bookmarkEnd w:id="100050"/>
    </w:p>
    <w:p>
      <w:pPr>
        <w:spacing w:after="160" w:line="312"/>
        <w:ind w:firstLine="360"/>
        <w:jc w:val="left"/>
      </w:pPr>
      <w:r>
        <w:rPr>
          <w:rFonts w:ascii="Calibri" w:eastAsia="Calibri"/>
          <w:color w:val="1A1A1A"/>
          <w:sz w:val="22"/>
          <w:szCs w:val="22"/>
        </w:rPr>
        <w:t xml:space="preserve">Le comité médiation ou un commissaire aux comptes externe peut, à tout moment, déclencher un audit aléatoire sur un échantillon de dossiers ou d'écritures comptables. Le système génère un export complet (écritures, justificatifs, journaux d'accès) pour la période et le périmètre concernés. L'audit aléatoire est un facteur de dissuasion essentiel : savoir que tout peut être contrôlé à tout moment réduit considérablement les tentations.</w:t>
      </w:r>
    </w:p>
    <w:p>
      <w:pPr>
        <w:pStyle w:val="Heading2"/>
        <w:spacing w:after="160" w:before="320" w:line="340"/>
      </w:pPr>
      <w:bookmarkStart w:id="100051" w:name="_Toc100051"/>
      <w:r>
        <w:rPr>
          <w:rFonts w:ascii="Calibri" w:eastAsia="Calibri"/>
          <w:b/>
          <w:bCs/>
          <w:color w:val="2A4A3A"/>
          <w:sz w:val="28"/>
          <w:szCs w:val="28"/>
        </w:rPr>
        <w:t xml:space="preserve">9.7 Audit externe annuel</w:t>
      </w:r>
      <w:bookmarkEnd w:id="100051"/>
    </w:p>
    <w:p>
      <w:pPr>
        <w:spacing w:after="160" w:line="312"/>
        <w:ind w:firstLine="360"/>
        <w:jc w:val="left"/>
      </w:pPr>
      <w:r>
        <w:rPr>
          <w:rFonts w:ascii="Calibri" w:eastAsia="Calibri"/>
          <w:color w:val="1A1A1A"/>
          <w:sz w:val="22"/>
          <w:szCs w:val="22"/>
        </w:rPr>
        <w:t xml:space="preserve">Pour les familles qui le souhaitent, ou dont les statuts l'exigent, un audit externe annuel est organisé par un commissaire aux comptes indépendant. L'application fournit un export complet d'audit (écritures, justificatifs, journaux d'accès, rapprochements), permettant à l'auditeur de travailler sans avoir à demander des informations supplémentaires. Le rapport d'audit est archivé dans l'Univers 6.</w:t>
      </w:r>
    </w:p>
    <w:p>
      <w:pPr>
        <w:pStyle w:val="Heading2"/>
        <w:spacing w:after="160" w:before="320" w:line="340"/>
      </w:pPr>
      <w:bookmarkStart w:id="100052" w:name="_Toc100052"/>
      <w:r>
        <w:rPr>
          <w:rFonts w:ascii="Calibri" w:eastAsia="Calibri"/>
          <w:b/>
          <w:bCs/>
          <w:color w:val="2A4A3A"/>
          <w:sz w:val="28"/>
          <w:szCs w:val="28"/>
        </w:rPr>
        <w:t xml:space="preserve">9.8 Mode audit</w:t>
      </w:r>
      <w:bookmarkEnd w:id="100052"/>
    </w:p>
    <w:p>
      <w:pPr>
        <w:spacing w:after="160" w:line="312"/>
        <w:ind w:firstLine="360"/>
        <w:jc w:val="left"/>
      </w:pPr>
      <w:r>
        <w:rPr>
          <w:rFonts w:ascii="Calibri" w:eastAsia="Calibri"/>
          <w:color w:val="1A1A1A"/>
          <w:sz w:val="22"/>
          <w:szCs w:val="22"/>
        </w:rPr>
        <w:t xml:space="preserve">Sur décision du conseil, ou à l'occasion d'un changement de trésorier, le mode audit est activable. Il génère un export complet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Toutes les transactions sur une période donnée.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Tous les justificatifs.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Tous les bilans de dossiers.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journaux d'audit (qui a consulté quoi, quand, qui a validé quoi).</w:t>
      </w:r>
    </w:p>
    <w:p>
      <w:pPr>
        <w:spacing w:after="160" w:line="312"/>
        <w:ind w:firstLine="360"/>
        <w:jc w:val="left"/>
      </w:pPr>
      <w:r>
        <w:rPr>
          <w:rFonts w:ascii="Calibri" w:eastAsia="Calibri"/>
          <w:color w:val="1A1A1A"/>
          <w:sz w:val="22"/>
          <w:szCs w:val="22"/>
        </w:rPr>
        <w:t xml:space="preserve">Cet export est destiné à un comptable externe ou à un commissaire aux comptes, pour une vérification indépendante. Cette capacité d'audit est un gage de sérieux qui distingue l'application d'une simple cagnotte informelle.</w:t>
      </w:r>
    </w:p>
    <w:p>
      <w:pPr>
        <w:pStyle w:val="Heading1"/>
        <w:spacing w:after="240" w:before="480" w:line="360"/>
      </w:pPr>
      <w:bookmarkStart w:id="100053" w:name="_Toc100053"/>
      <w:r>
        <w:rPr>
          <w:rFonts w:ascii="Calibri" w:eastAsia="Calibri"/>
          <w:b/>
          <w:bCs/>
          <w:color w:val="2A4A3A"/>
          <w:sz w:val="32"/>
          <w:szCs w:val="32"/>
        </w:rPr>
        <w:t xml:space="preserve">10. Module 4.7 — Reporting et transparence</w:t>
      </w:r>
      <w:bookmarkEnd w:id="100053"/>
    </w:p>
    <w:p>
      <w:pPr>
        <w:pStyle w:val="Heading2"/>
        <w:spacing w:after="160" w:before="320" w:line="340"/>
      </w:pPr>
      <w:bookmarkStart w:id="100054" w:name="_Toc100054"/>
      <w:r>
        <w:rPr>
          <w:rFonts w:ascii="Calibri" w:eastAsia="Calibri"/>
          <w:b/>
          <w:bCs/>
          <w:color w:val="2A4A3A"/>
          <w:sz w:val="28"/>
          <w:szCs w:val="28"/>
        </w:rPr>
        <w:t xml:space="preserve">10.1 Description</w:t>
      </w:r>
      <w:bookmarkEnd w:id="100054"/>
    </w:p>
    <w:p>
      <w:pPr>
        <w:spacing w:after="160" w:line="312"/>
        <w:ind w:firstLine="360"/>
        <w:jc w:val="left"/>
      </w:pPr>
      <w:r>
        <w:rPr>
          <w:rFonts w:ascii="Calibri" w:eastAsia="Calibri"/>
          <w:color w:val="1A1A1A"/>
          <w:sz w:val="22"/>
          <w:szCs w:val="22"/>
        </w:rPr>
        <w:t xml:space="preserve">Le reporting est l'instrument de la transparence. Même avec une comptabilité parfaite, si les membres ne voient pas l'état des finances, la méfiance s'installe. L'Univers 4 propose plusieurs niveaux de reporting, adaptés aux différents rôles, et publiés automatiquement.</w:t>
      </w:r>
    </w:p>
    <w:p>
      <w:pPr>
        <w:pStyle w:val="Heading2"/>
        <w:spacing w:after="160" w:before="320" w:line="340"/>
      </w:pPr>
      <w:bookmarkStart w:id="100055" w:name="_Toc100055"/>
      <w:r>
        <w:rPr>
          <w:rFonts w:ascii="Calibri" w:eastAsia="Calibri"/>
          <w:b/>
          <w:bCs/>
          <w:color w:val="2A4A3A"/>
          <w:sz w:val="28"/>
          <w:szCs w:val="28"/>
        </w:rPr>
        <w:t xml:space="preserve">10.2 Rapport mensuel automatique</w:t>
      </w:r>
      <w:bookmarkEnd w:id="100055"/>
    </w:p>
    <w:p>
      <w:pPr>
        <w:spacing w:after="160" w:line="312"/>
        <w:ind w:firstLine="360"/>
        <w:jc w:val="left"/>
      </w:pPr>
      <w:r>
        <w:rPr>
          <w:rFonts w:ascii="Calibri" w:eastAsia="Calibri"/>
          <w:color w:val="1A1A1A"/>
          <w:sz w:val="22"/>
          <w:szCs w:val="22"/>
        </w:rPr>
        <w:t xml:space="preserve">Chaque mois, le système génère automatiquement un rapport financier transmis à tous les membres. Ce rapport comprend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bilan du mois (entrées, sorties, solde global).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décomposition par caisse (principale, branches, solidarité).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L'état des cotisations (taux de participation, retards, exonérations).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dépenses majeures du mois (sans détail nominatif des bénéficiaires).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L'avancement du budget annuel (par poste, avec écarts).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alertes (écarts significatifs, dépenses non justifiées, retards de validation).</w:t>
      </w:r>
    </w:p>
    <w:p>
      <w:pPr>
        <w:spacing w:after="160" w:line="312"/>
        <w:ind w:firstLine="360"/>
        <w:jc w:val="left"/>
      </w:pPr>
      <w:r>
        <w:rPr>
          <w:rFonts w:ascii="Calibri" w:eastAsia="Calibri"/>
          <w:color w:val="1A1A1A"/>
          <w:sz w:val="22"/>
          <w:szCs w:val="22"/>
        </w:rPr>
        <w:t xml:space="preserve">Ce rapport mensuel est un acte de transparence fort. Il montre que le système est vivant, surveillé, et tenu à jour.</w:t>
      </w:r>
    </w:p>
    <w:p>
      <w:pPr>
        <w:pStyle w:val="Heading2"/>
        <w:spacing w:after="160" w:before="320" w:line="340"/>
      </w:pPr>
      <w:bookmarkStart w:id="100056" w:name="_Toc100056"/>
      <w:r>
        <w:rPr>
          <w:rFonts w:ascii="Calibri" w:eastAsia="Calibri"/>
          <w:b/>
          <w:bCs/>
          <w:color w:val="2A4A3A"/>
          <w:sz w:val="28"/>
          <w:szCs w:val="28"/>
        </w:rPr>
        <w:t xml:space="preserve">10.3 Bilan annuel</w:t>
      </w:r>
      <w:bookmarkEnd w:id="100056"/>
    </w:p>
    <w:p>
      <w:pPr>
        <w:spacing w:after="160" w:line="312"/>
        <w:ind w:firstLine="360"/>
        <w:jc w:val="left"/>
      </w:pPr>
      <w:r>
        <w:rPr>
          <w:rFonts w:ascii="Calibri" w:eastAsia="Calibri"/>
          <w:color w:val="1A1A1A"/>
          <w:sz w:val="22"/>
          <w:szCs w:val="22"/>
        </w:rPr>
        <w:t xml:space="preserve">Chaque année, en mars-avril, un bilan annuel complet est transmis à tous les membres et présenté au congrès. Il comprend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compte de résultat de l'exercice.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bilan patrimonial.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L'évolution sur 5 ans (produits, charges, solde, patrimoine).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rapport d'audit éventuel.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motions adoptées par le congrès relatives aux finances.</w:t>
      </w:r>
    </w:p>
    <w:p>
      <w:pPr>
        <w:spacing w:after="160" w:line="312"/>
        <w:ind w:firstLine="360"/>
        <w:jc w:val="left"/>
      </w:pPr>
      <w:r>
        <w:rPr>
          <w:rFonts w:ascii="Calibri" w:eastAsia="Calibri"/>
          <w:color w:val="1A1A1A"/>
          <w:sz w:val="22"/>
          <w:szCs w:val="22"/>
        </w:rPr>
        <w:t xml:space="preserve">Le bilan annuel est archivé dans l'Univers 6 (Mémoire) et reste consultable indéfiniment.</w:t>
      </w:r>
    </w:p>
    <w:p>
      <w:pPr>
        <w:pStyle w:val="Heading2"/>
        <w:spacing w:after="160" w:before="320" w:line="340"/>
      </w:pPr>
      <w:bookmarkStart w:id="100057" w:name="_Toc100057"/>
      <w:r>
        <w:rPr>
          <w:rFonts w:ascii="Calibri" w:eastAsia="Calibri"/>
          <w:b/>
          <w:bCs/>
          <w:color w:val="2A4A3A"/>
          <w:sz w:val="28"/>
          <w:szCs w:val="28"/>
        </w:rPr>
        <w:t xml:space="preserve">10.4 Niveaux de détail par rôle</w:t>
      </w:r>
      <w:bookmarkEnd w:id="100057"/>
    </w:p>
    <w:p>
      <w:pPr>
        <w:spacing w:after="160" w:line="312"/>
        <w:ind w:firstLine="360"/>
        <w:jc w:val="left"/>
      </w:pPr>
      <w:r>
        <w:rPr>
          <w:rFonts w:ascii="Calibri" w:eastAsia="Calibri"/>
          <w:color w:val="1A1A1A"/>
          <w:sz w:val="22"/>
          <w:szCs w:val="22"/>
        </w:rPr>
        <w:t xml:space="preserve">Le niveau de détail des rapports varie selon le rôle du destinataire :</w:t>
      </w:r>
    </w:p>
    <w:p>
      <w:pPr>
        <w:keepNext/>
        <w:spacing w:after="120" w:before="240"/>
        <w:jc w:val="left"/>
      </w:pPr>
      <w:r>
        <w:rPr>
          <w:rFonts w:ascii="Calibri" w:eastAsia="Calibri"/>
          <w:b/>
          <w:bCs/>
          <w:color w:val="2A4A3A"/>
          <w:sz w:val="20"/>
          <w:szCs w:val="20"/>
        </w:rPr>
        <w:t xml:space="preserve">Tableau 8 — Niveaux de détail par rôle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Rôle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Niveau de 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ordinaire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Vue agrégée, sans montants nominatifs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Vue agrégée + détail de sa branche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Vue complète, y compris nominative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Vue complète + analytique par poste et par branche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médiation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Vue complète + dossiers sensibles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Commissaire aux comptes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Mode audit, export complet</w:t>
            </w:r>
          </w:p>
        </w:tc>
      </w:tr>
    </w:tbl>
    <w:p>
      <w:pPr>
        <w:spacing w:after="160" w:line="312"/>
        <w:ind w:firstLine="360"/>
        <w:jc w:val="left"/>
      </w:pPr>
      <w:r>
        <w:rPr>
          <w:rFonts w:ascii="Calibri" w:eastAsia="Calibri"/>
          <w:color w:val="1A1A1A"/>
          <w:sz w:val="22"/>
          <w:szCs w:val="22"/>
        </w:rPr>
        <w:t xml:space="preserve">Cette gradation protège la confidentialité des membres (par exemple, un membre en précarité bénéficiant d'une aide sociale n'est pas identifié dans les rapports agrégés) tout en garantissant la transparence pour les autorités.</w:t>
      </w:r>
    </w:p>
    <w:p>
      <w:pPr>
        <w:pStyle w:val="Heading2"/>
        <w:spacing w:after="160" w:before="320" w:line="340"/>
      </w:pPr>
      <w:bookmarkStart w:id="100058" w:name="_Toc100058"/>
      <w:r>
        <w:rPr>
          <w:rFonts w:ascii="Calibri" w:eastAsia="Calibri"/>
          <w:b/>
          <w:bCs/>
          <w:color w:val="2A4A3A"/>
          <w:sz w:val="28"/>
          <w:szCs w:val="28"/>
        </w:rPr>
        <w:t xml:space="preserve">10.5 Exports PDF et Excel</w:t>
      </w:r>
      <w:bookmarkEnd w:id="100058"/>
    </w:p>
    <w:p>
      <w:pPr>
        <w:spacing w:after="160" w:line="312"/>
        <w:ind w:firstLine="360"/>
        <w:jc w:val="left"/>
      </w:pPr>
      <w:r>
        <w:rPr>
          <w:rFonts w:ascii="Calibri" w:eastAsia="Calibri"/>
          <w:color w:val="1A1A1A"/>
          <w:sz w:val="22"/>
          <w:szCs w:val="22"/>
        </w:rPr>
        <w:t xml:space="preserve">Tous les rapports peuvent être exportés en PDF (pour diffusion) et Excel (pour analyse approfondie). Les exports PDF comportent un filigrane nominatif (nom du membre ayant généré l'export), ce qui dissuade les diffusions non autorisées. Le nombre d'exports par membre et par mois est limité (par défaut 10), pour prévenir les fuites massives.</w:t>
      </w:r>
    </w:p>
    <w:p>
      <w:pPr>
        <w:pStyle w:val="Heading2"/>
        <w:spacing w:after="160" w:before="320" w:line="340"/>
      </w:pPr>
      <w:bookmarkStart w:id="100059" w:name="_Toc100059"/>
      <w:r>
        <w:rPr>
          <w:rFonts w:ascii="Calibri" w:eastAsia="Calibri"/>
          <w:b/>
          <w:bCs/>
          <w:color w:val="2A4A3A"/>
          <w:sz w:val="28"/>
          <w:szCs w:val="28"/>
        </w:rPr>
        <w:t xml:space="preserve">10.6 Tableau de bord financier en temps réel</w:t>
      </w:r>
      <w:bookmarkEnd w:id="100059"/>
    </w:p>
    <w:p>
      <w:pPr>
        <w:spacing w:after="160" w:line="312"/>
        <w:ind w:firstLine="360"/>
        <w:jc w:val="left"/>
      </w:pPr>
      <w:r>
        <w:rPr>
          <w:rFonts w:ascii="Calibri" w:eastAsia="Calibri"/>
          <w:color w:val="1A1A1A"/>
          <w:sz w:val="22"/>
          <w:szCs w:val="22"/>
        </w:rPr>
        <w:t xml:space="preserve">En complément des rapports périodiques, un tableau de bord financier en temps réel est accessible aux rôles autorisés (trésorier, conseil). Il affiche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solde global et par caisse, mis à jour en temps réel.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mouvements du jour (entrées, sorties).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L'état des cotisations du trimestre en cours.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dépenses en attente de validation.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alertes en cours (déficit de caisse, dépenses non justifiées, rapprochements en attente).</w:t>
      </w:r>
    </w:p>
    <w:p>
      <w:pPr>
        <w:spacing w:after="160" w:line="312"/>
        <w:ind w:firstLine="360"/>
        <w:jc w:val="left"/>
      </w:pPr>
      <w:r>
        <w:rPr>
          <w:rFonts w:ascii="Calibri" w:eastAsia="Calibri"/>
          <w:color w:val="1A1A1A"/>
          <w:sz w:val="22"/>
          <w:szCs w:val="22"/>
        </w:rPr>
        <w:t xml:space="preserve">Ce tableau de bord est l'outil de pilotage du trésorier et du conseil au quotidien.</w:t>
      </w:r>
    </w:p>
    <w:p>
      <w:pPr>
        <w:pStyle w:val="Heading1"/>
        <w:spacing w:after="240" w:before="480" w:line="360"/>
      </w:pPr>
      <w:bookmarkStart w:id="100060" w:name="_Toc100060"/>
      <w:r>
        <w:rPr>
          <w:rFonts w:ascii="Calibri" w:eastAsia="Calibri"/>
          <w:b/>
          <w:bCs/>
          <w:color w:val="2A4A3A"/>
          <w:sz w:val="32"/>
          <w:szCs w:val="32"/>
        </w:rPr>
        <w:t xml:space="preserve">11. Modèle de données conceptuel</w:t>
      </w:r>
      <w:bookmarkEnd w:id="100060"/>
    </w:p>
    <w:p>
      <w:pPr>
        <w:spacing w:after="160" w:line="312"/>
        <w:ind w:firstLine="360"/>
        <w:jc w:val="left"/>
      </w:pPr>
      <w:r>
        <w:rPr>
          <w:rFonts w:ascii="Calibri" w:eastAsia="Calibri"/>
          <w:color w:val="1A1A1A"/>
          <w:sz w:val="22"/>
          <w:szCs w:val="22"/>
        </w:rPr>
        <w:t xml:space="preserve">Le modèle de données de l'Univers 4 s'articule autour de sept entités principales.</w:t>
      </w:r>
    </w:p>
    <w:p>
      <w:pPr>
        <w:keepNext/>
        <w:spacing w:after="120" w:before="240"/>
        <w:jc w:val="left"/>
      </w:pPr>
      <w:r>
        <w:rPr>
          <w:rFonts w:ascii="Calibri" w:eastAsia="Calibri"/>
          <w:b/>
          <w:bCs/>
          <w:color w:val="2A4A3A"/>
          <w:sz w:val="20"/>
          <w:szCs w:val="20"/>
        </w:rPr>
        <w:t xml:space="preserve">Tableau 9 — Entités principales du modèle de données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Entité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Attributs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caisse du système multi-niveaux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Identifiant, type, solde, plafonds, gestionnaire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cotisation due par un membre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 type, échéance, montant, statut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Paiement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paiement effectif (entrant ou sortant)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 montant, date, canal, référence opérateur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ÉcritureComptable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écriture dans le journal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Numéro, date, débit, crédit, montant, justificatif</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Justificatif</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pièce justificative d'une dépense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Écriture, type, URL, validateur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Budget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budget annuel ou d'événement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Exercice, postes, montants prévisionnels, exécution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Audit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d'une action sensible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Auteur, action, cible, date, justification</w:t>
            </w:r>
          </w:p>
        </w:tc>
      </w:tr>
    </w:tbl>
    <w:p>
      <w:pPr>
        <w:pStyle w:val="Heading2"/>
        <w:spacing w:after="160" w:before="320" w:line="340"/>
      </w:pPr>
      <w:bookmarkStart w:id="100061" w:name="_Toc100061"/>
      <w:r>
        <w:rPr>
          <w:rFonts w:ascii="Calibri" w:eastAsia="Calibri"/>
          <w:b/>
          <w:bCs/>
          <w:color w:val="2A4A3A"/>
          <w:sz w:val="28"/>
          <w:szCs w:val="28"/>
        </w:rPr>
        <w:t xml:space="preserve">11.1 Relations principales</w:t>
      </w:r>
      <w:bookmarkEnd w:id="100061"/>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Caisse possède plusieurs Paiements et plusieurs ÉcrituresComptables.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Cotisation est due par un Membre (lien U1) et peut donner lieu à un Paiement.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Paiement génère une ou plusieurs ÉcrituresComptables.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ÉcritureComptable possède un Justificatif (pour les dépenses &gt; seuil).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Budget est composé de plusieurs postes, chacun suivi mensuellement.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Audit est généré à chaque action sensible (validation, modification, consultation de données confidentielles).</w:t>
      </w:r>
    </w:p>
    <w:p>
      <w:pPr>
        <w:pStyle w:val="Heading2"/>
        <w:spacing w:after="160" w:before="320" w:line="340"/>
      </w:pPr>
      <w:bookmarkStart w:id="100062" w:name="_Toc100062"/>
      <w:r>
        <w:rPr>
          <w:rFonts w:ascii="Calibri" w:eastAsia="Calibri"/>
          <w:b/>
          <w:bCs/>
          <w:color w:val="2A4A3A"/>
          <w:sz w:val="28"/>
          <w:szCs w:val="28"/>
        </w:rPr>
        <w:t xml:space="preserve">11.2 Règles d'intégrité</w:t>
      </w:r>
      <w:bookmarkEnd w:id="100062"/>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Aucune écriture ne peut être modifiée après validation (immutable).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Aucune écriture ne peut être créée sans compte débit et compte crédit équilibrés (partie double).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paiement ne peut être rapproché qu'une seule fois avec une écriture.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dépense &gt; seuil ne peut être validée sans justificatif.</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cotisation ne peut être enregistrée comme payée sans paiement correspondant.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suppression est interdite ; les écritures sont compensatoires, jamais effacées.</w:t>
      </w:r>
    </w:p>
    <w:p>
      <w:pPr>
        <w:pStyle w:val="Heading1"/>
        <w:spacing w:after="240" w:before="480" w:line="360"/>
      </w:pPr>
      <w:bookmarkStart w:id="100063" w:name="_Toc100063"/>
      <w:r>
        <w:rPr>
          <w:rFonts w:ascii="Calibri" w:eastAsia="Calibri"/>
          <w:b/>
          <w:bCs/>
          <w:color w:val="2A4A3A"/>
          <w:sz w:val="32"/>
          <w:szCs w:val="32"/>
        </w:rPr>
        <w:t xml:space="preserve">12. Règles de gestion essentielles</w:t>
      </w:r>
      <w:bookmarkEnd w:id="100063"/>
    </w:p>
    <w:p>
      <w:pPr>
        <w:spacing w:after="160" w:line="312"/>
        <w:ind w:firstLine="360"/>
        <w:jc w:val="left"/>
      </w:pPr>
      <w:r>
        <w:rPr>
          <w:rFonts w:ascii="Calibri" w:eastAsia="Calibri"/>
          <w:color w:val="1A1A1A"/>
          <w:sz w:val="22"/>
          <w:szCs w:val="22"/>
        </w:rPr>
        <w:t xml:space="preserve">Les règles ci-dessous s'imposent à tous les modules de l'Univers 4. Elles sont configurables par chaque famille.</w:t>
      </w:r>
    </w:p>
    <w:p>
      <w:pPr>
        <w:keepNext/>
        <w:spacing w:after="120" w:before="240"/>
        <w:jc w:val="left"/>
      </w:pPr>
      <w:r>
        <w:rPr>
          <w:rFonts w:ascii="Calibri" w:eastAsia="Calibri"/>
          <w:b/>
          <w:bCs/>
          <w:color w:val="2A4A3A"/>
          <w:sz w:val="20"/>
          <w:szCs w:val="20"/>
        </w:rPr>
        <w:t xml:space="preserve">Tableau 10 — Règles de gestion essentielles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Règle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Justification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 journal des écritures est immutable ; toute correction se fait par écriture compensatoire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l'auditabilité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Toute dépense &gt; 10 000 FCFA est justifiée par pièce jointe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transparence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Toute dépense &gt; 50 000 FCFA est soumise à double validation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erreurs et détournements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Toute dépense &gt; 500 000 FCFA est soumise à triple validation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les montants significatifs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virement inter-caisses est tracé avec motif et validateur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cohérence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rapprochement bancaire est obligatoire mensuellement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Détecte les écarts rapidement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Aucune caisse ne peut rester en déficit plus de 30 jours sans plan de redressement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santé financière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rapport mensuel est transmis automatiquement à tous les membres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Renforce la transparence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exports PDF comportent un filigrane nominatif</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Dissuade les diffusions non autorisées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mode audit est activable sur décision du conseil, avec export complet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Permet les vérifications indépendantes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L'exercice annuel est clôturé dans les 90 jours suivant la fin d'exercice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régularité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cotisations en retard &gt; 30 jours déclenchent une procédure de médiation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l'accumulation des impayés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paiements &gt; 50 000 FCFA requièrent authentification à deux facteurs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Sécurise les transactions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barèmes de cotisation sont votés annuellement par le congrès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légitimité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ajustements budgétaires &gt; 10 % d'un poste sont validés par le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discipline budgétaire</w:t>
            </w:r>
          </w:p>
        </w:tc>
      </w:tr>
    </w:tbl>
    <w:p>
      <w:pPr>
        <w:pStyle w:val="Heading1"/>
        <w:spacing w:after="240" w:before="480" w:line="360"/>
      </w:pPr>
      <w:bookmarkStart w:id="100064" w:name="_Toc100064"/>
      <w:r>
        <w:rPr>
          <w:rFonts w:ascii="Calibri" w:eastAsia="Calibri"/>
          <w:b/>
          <w:bCs/>
          <w:color w:val="2A4A3A"/>
          <w:sz w:val="32"/>
          <w:szCs w:val="32"/>
        </w:rPr>
        <w:t xml:space="preserve">13. Cas limites et situations sensibles</w:t>
      </w:r>
      <w:bookmarkEnd w:id="100064"/>
    </w:p>
    <w:p>
      <w:pPr>
        <w:pStyle w:val="Heading2"/>
        <w:spacing w:after="160" w:before="320" w:line="340"/>
      </w:pPr>
      <w:bookmarkStart w:id="100065" w:name="_Toc100065"/>
      <w:r>
        <w:rPr>
          <w:rFonts w:ascii="Calibri" w:eastAsia="Calibri"/>
          <w:b/>
          <w:bCs/>
          <w:color w:val="2A4A3A"/>
          <w:sz w:val="28"/>
          <w:szCs w:val="28"/>
        </w:rPr>
        <w:t xml:space="preserve">13.1 Décès ou indisponibilité du trésorier</w:t>
      </w:r>
      <w:bookmarkEnd w:id="100065"/>
    </w:p>
    <w:p>
      <w:pPr>
        <w:spacing w:after="160" w:line="312"/>
        <w:ind w:firstLine="360"/>
        <w:jc w:val="left"/>
      </w:pPr>
      <w:r>
        <w:rPr>
          <w:rFonts w:ascii="Calibri" w:eastAsia="Calibri"/>
          <w:color w:val="1A1A1A"/>
          <w:sz w:val="22"/>
          <w:szCs w:val="22"/>
        </w:rPr>
        <w:t xml:space="preserve">Le trésorier est le pivot du système. Son indisponibilité (décès, maladie, démission) ne doit pas bloquer le fonctionnement financier.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trésorier adjoint, désigné formellement, qui peut prendre le relais immédiatement.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procédure d'urgence permettant au conseil de désigner un trésorier intérimaire.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audit de transition obligatoire, pour vérifier l'état des comptes lors du changement.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traçabilité complète des accès du trésorier sortant, conservée pour audit ultérieur.</w:t>
      </w:r>
    </w:p>
    <w:p>
      <w:pPr>
        <w:pStyle w:val="Heading2"/>
        <w:spacing w:after="160" w:before="320" w:line="340"/>
      </w:pPr>
      <w:bookmarkStart w:id="100066" w:name="_Toc100066"/>
      <w:r>
        <w:rPr>
          <w:rFonts w:ascii="Calibri" w:eastAsia="Calibri"/>
          <w:b/>
          <w:bCs/>
          <w:color w:val="2A4A3A"/>
          <w:sz w:val="28"/>
          <w:szCs w:val="28"/>
        </w:rPr>
        <w:t xml:space="preserve">13.2 Caisse en déficit</w:t>
      </w:r>
      <w:bookmarkEnd w:id="100066"/>
    </w:p>
    <w:p>
      <w:pPr>
        <w:spacing w:after="160" w:line="312"/>
        <w:ind w:firstLine="360"/>
        <w:jc w:val="left"/>
      </w:pPr>
      <w:r>
        <w:rPr>
          <w:rFonts w:ascii="Calibri" w:eastAsia="Calibri"/>
          <w:color w:val="1A1A1A"/>
          <w:sz w:val="22"/>
          <w:szCs w:val="22"/>
        </w:rPr>
        <w:t xml:space="preserve">Si la caisse principale passe en déficit (par exemple, dépenses engagées avant réception des cotisations), le système déclenche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alerte immédiate au trésorier et au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gel des dépenses non urgentes, sauf validation explicite du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plan de redressement à soumettre au conseil dans les 30 jours.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communication transparente aux membres, expliquant la situation et les mesures prises.</w:t>
      </w:r>
    </w:p>
    <w:p>
      <w:pPr>
        <w:pStyle w:val="Heading2"/>
        <w:spacing w:after="160" w:before="320" w:line="340"/>
      </w:pPr>
      <w:bookmarkStart w:id="100067" w:name="_Toc100067"/>
      <w:r>
        <w:rPr>
          <w:rFonts w:ascii="Calibri" w:eastAsia="Calibri"/>
          <w:b/>
          <w:bCs/>
          <w:color w:val="2A4A3A"/>
          <w:sz w:val="28"/>
          <w:szCs w:val="28"/>
        </w:rPr>
        <w:t xml:space="preserve">13.3 Fraude suspectée</w:t>
      </w:r>
      <w:bookmarkEnd w:id="100067"/>
    </w:p>
    <w:p>
      <w:pPr>
        <w:spacing w:after="160" w:line="312"/>
        <w:ind w:firstLine="360"/>
        <w:jc w:val="left"/>
      </w:pPr>
      <w:r>
        <w:rPr>
          <w:rFonts w:ascii="Calibri" w:eastAsia="Calibri"/>
          <w:color w:val="1A1A1A"/>
          <w:sz w:val="22"/>
          <w:szCs w:val="22"/>
        </w:rPr>
        <w:t xml:space="preserve">En cas de soupçon de fraude (écriture suspecte, justificatif falsifié, dépense non justifiée), la procédure est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Signalement au comité médiation par tout membre autorisé.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Gel immédiat des écritures concernées.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Audit ciblé par le comité médiation ou un commissaire aux comptes.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 la fraude est avérée, restitution des fonds, sanction du fraudeur (exclusion temporaire ou définitive), et communication au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dépôt de plainte auprès des autorités.</w:t>
      </w:r>
    </w:p>
    <w:p>
      <w:pPr>
        <w:pStyle w:val="Heading2"/>
        <w:spacing w:after="160" w:before="320" w:line="340"/>
      </w:pPr>
      <w:bookmarkStart w:id="100068" w:name="_Toc100068"/>
      <w:r>
        <w:rPr>
          <w:rFonts w:ascii="Calibri" w:eastAsia="Calibri"/>
          <w:b/>
          <w:bCs/>
          <w:color w:val="2A4A3A"/>
          <w:sz w:val="28"/>
          <w:szCs w:val="28"/>
        </w:rPr>
        <w:t xml:space="preserve">13.4 Devise étrangère (diaspora)</w:t>
      </w:r>
      <w:bookmarkEnd w:id="100068"/>
    </w:p>
    <w:p>
      <w:pPr>
        <w:spacing w:after="160" w:line="312"/>
        <w:ind w:firstLine="360"/>
        <w:jc w:val="left"/>
      </w:pPr>
      <w:r>
        <w:rPr>
          <w:rFonts w:ascii="Calibri" w:eastAsia="Calibri"/>
          <w:color w:val="1A1A1A"/>
          <w:sz w:val="22"/>
          <w:szCs w:val="22"/>
        </w:rPr>
        <w:t xml:space="preserve">Les membres diaspora peuvent cotiser en devise locale (euro, dollar, livre). Le système gère la conversion automatique vers le FCFA, au taux du jour de la Banque Centrale. Le montant en devise est conservé dans l'écriture, pour traçabilité. Les écarts de conversion (en cas de retard entre le paiement et la réception) sont supportés par la caisse principale, sauf décision contraire du conseil.</w:t>
      </w:r>
    </w:p>
    <w:p>
      <w:pPr>
        <w:pStyle w:val="Heading2"/>
        <w:spacing w:after="160" w:before="320" w:line="340"/>
      </w:pPr>
      <w:bookmarkStart w:id="100069" w:name="_Toc100069"/>
      <w:r>
        <w:rPr>
          <w:rFonts w:ascii="Calibri" w:eastAsia="Calibri"/>
          <w:b/>
          <w:bCs/>
          <w:color w:val="2A4A3A"/>
          <w:sz w:val="28"/>
          <w:szCs w:val="28"/>
        </w:rPr>
        <w:t xml:space="preserve">13.5 Membre sans Mobile Money</w:t>
      </w:r>
      <w:bookmarkEnd w:id="100069"/>
    </w:p>
    <w:p>
      <w:pPr>
        <w:spacing w:after="160" w:line="312"/>
        <w:ind w:firstLine="360"/>
        <w:jc w:val="left"/>
      </w:pPr>
      <w:r>
        <w:rPr>
          <w:rFonts w:ascii="Calibri" w:eastAsia="Calibri"/>
          <w:color w:val="1A1A1A"/>
          <w:sz w:val="22"/>
          <w:szCs w:val="22"/>
        </w:rPr>
        <w:t xml:space="preserve">Certains membres (aînés, membres en zone rurale sans couverture Mobile Money) ne peuvent pas utiliser les canaux numériques.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saisie manuelle d'un paiement en espèces par le trésorier, avec reçu remis au membre.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possibilité pour un proche (enfant, neveu) de payer pour le compte du membre, avec mention dans l'écriture.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L'accompagnement humain d'un référent pour les membres en difficulté avec les outils numériques.</w:t>
      </w:r>
    </w:p>
    <w:p>
      <w:pPr>
        <w:pStyle w:val="Heading2"/>
        <w:spacing w:after="160" w:before="320" w:line="340"/>
      </w:pPr>
      <w:bookmarkStart w:id="100070" w:name="_Toc100070"/>
      <w:r>
        <w:rPr>
          <w:rFonts w:ascii="Calibri" w:eastAsia="Calibri"/>
          <w:b/>
          <w:bCs/>
          <w:color w:val="2A4A3A"/>
          <w:sz w:val="28"/>
          <w:szCs w:val="28"/>
        </w:rPr>
        <w:t xml:space="preserve">13.6 Transition de pouvoir</w:t>
      </w:r>
      <w:bookmarkEnd w:id="100070"/>
    </w:p>
    <w:p>
      <w:pPr>
        <w:spacing w:after="160" w:line="312"/>
        <w:ind w:firstLine="360"/>
        <w:jc w:val="left"/>
      </w:pPr>
      <w:r>
        <w:rPr>
          <w:rFonts w:ascii="Calibri" w:eastAsia="Calibri"/>
          <w:color w:val="1A1A1A"/>
          <w:sz w:val="22"/>
          <w:szCs w:val="22"/>
        </w:rPr>
        <w:t xml:space="preserve">Lors d'un changement de patriarche, de trésorier ou de conseil, le système génère automatiquement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bilan de fin de mandat, présenté au conseil et à l'assemblée.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audit de transition (interne ou externe selon les statuts).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transfert formel des accès au nouveau titulaire, avec journalisation.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archive complète du mandat sortant, conservée dans l'Univers 6.</w:t>
      </w:r>
    </w:p>
    <w:p>
      <w:pPr>
        <w:spacing w:after="160" w:line="312"/>
        <w:ind w:firstLine="360"/>
        <w:jc w:val="left"/>
      </w:pPr>
      <w:r>
        <w:rPr>
          <w:rFonts w:ascii="Calibri" w:eastAsia="Calibri"/>
          <w:color w:val="1A1A1A"/>
          <w:sz w:val="22"/>
          <w:szCs w:val="22"/>
        </w:rPr>
        <w:t xml:space="preserve">Cette procédure prévient les contestations et garantit la continuité institutionnelle.</w:t>
      </w:r>
    </w:p>
    <w:p>
      <w:pPr>
        <w:pStyle w:val="Heading2"/>
        <w:spacing w:after="160" w:before="320" w:line="340"/>
      </w:pPr>
      <w:bookmarkStart w:id="100071" w:name="_Toc100071"/>
      <w:r>
        <w:rPr>
          <w:rFonts w:ascii="Calibri" w:eastAsia="Calibri"/>
          <w:b/>
          <w:bCs/>
          <w:color w:val="2A4A3A"/>
          <w:sz w:val="28"/>
          <w:szCs w:val="28"/>
        </w:rPr>
        <w:t xml:space="preserve">13.7 Audit qui révèle des anomalies</w:t>
      </w:r>
      <w:bookmarkEnd w:id="100071"/>
    </w:p>
    <w:p>
      <w:pPr>
        <w:spacing w:after="160" w:line="312"/>
        <w:ind w:firstLine="360"/>
        <w:jc w:val="left"/>
      </w:pPr>
      <w:r>
        <w:rPr>
          <w:rFonts w:ascii="Calibri" w:eastAsia="Calibri"/>
          <w:color w:val="1A1A1A"/>
          <w:sz w:val="22"/>
          <w:szCs w:val="22"/>
        </w:rPr>
        <w:t xml:space="preserve">Si un audit révèle des anomalies (erreurs, écarts, fraudes avérées),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rapport d'audit détaillé, transmis au conseil et au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plan de redressement, avec échéances et responsables.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communication aux membres, proportionnée à la gravité.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des sanctions disciplinaires ou des poursuites.</w:t>
      </w:r>
    </w:p>
    <w:p>
      <w:pPr>
        <w:spacing w:after="160" w:line="312"/>
        <w:ind w:firstLine="360"/>
        <w:jc w:val="left"/>
      </w:pPr>
      <w:r>
        <w:rPr>
          <w:rFonts w:ascii="Calibri" w:eastAsia="Calibri"/>
          <w:color w:val="1A1A1A"/>
          <w:sz w:val="22"/>
          <w:szCs w:val="22"/>
        </w:rPr>
        <w:t xml:space="preserve">La transparence sur les anomalies est essentielle : la tentative de dissimulation est toujours plus grave que l'anomalie elle-même.</w:t>
      </w:r>
    </w:p>
    <w:p>
      <w:pPr>
        <w:pStyle w:val="Heading2"/>
        <w:spacing w:after="160" w:before="320" w:line="340"/>
      </w:pPr>
      <w:bookmarkStart w:id="100072" w:name="_Toc100072"/>
      <w:r>
        <w:rPr>
          <w:rFonts w:ascii="Calibri" w:eastAsia="Calibri"/>
          <w:b/>
          <w:bCs/>
          <w:color w:val="2A4A3A"/>
          <w:sz w:val="28"/>
          <w:szCs w:val="28"/>
        </w:rPr>
        <w:t xml:space="preserve">13.8 Cotisation non reçue mais réclamée</w:t>
      </w:r>
      <w:bookmarkEnd w:id="100072"/>
    </w:p>
    <w:p>
      <w:pPr>
        <w:spacing w:after="160" w:line="312"/>
        <w:ind w:firstLine="360"/>
        <w:jc w:val="left"/>
      </w:pPr>
      <w:r>
        <w:rPr>
          <w:rFonts w:ascii="Calibri" w:eastAsia="Calibri"/>
          <w:color w:val="1A1A1A"/>
          <w:sz w:val="22"/>
          <w:szCs w:val="22"/>
        </w:rPr>
        <w:t xml:space="preserve">Un membre peut contester avoir payé une cotisation que le système réclame. La procédure est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Vérification du journal des paiements et des relevés Mobile Money / bancaires.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 le paiement est retrouvé, régularisation immédiate avec excuse.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 le paiement n'est pas retrouvé, demande de justificatif au membre (reçu, capture d'écran).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désaccord persistant, saisine du comité médiation.</w:t>
      </w:r>
    </w:p>
    <w:p>
      <w:pPr>
        <w:spacing w:after="160" w:line="312"/>
        <w:ind w:firstLine="360"/>
        <w:jc w:val="left"/>
      </w:pPr>
      <w:r>
        <w:rPr>
          <w:rFonts w:ascii="Calibri" w:eastAsia="Calibri"/>
          <w:color w:val="1A1A1A"/>
          <w:sz w:val="22"/>
          <w:szCs w:val="22"/>
        </w:rPr>
        <w:t xml:space="preserve">Le journal immutable et les justificatifs permettent en général de trancher rapidement ce type de contestation.</w:t>
      </w:r>
    </w:p>
    <w:p>
      <w:pPr>
        <w:pStyle w:val="Heading1"/>
        <w:spacing w:after="240" w:before="480" w:line="360"/>
      </w:pPr>
      <w:bookmarkStart w:id="100073" w:name="_Toc100073"/>
      <w:r>
        <w:rPr>
          <w:rFonts w:ascii="Calibri" w:eastAsia="Calibri"/>
          <w:b/>
          <w:bCs/>
          <w:color w:val="2A4A3A"/>
          <w:sz w:val="32"/>
          <w:szCs w:val="32"/>
        </w:rPr>
        <w:t xml:space="preserve">14. Wireframes textuels des écrans clés</w:t>
      </w:r>
      <w:bookmarkEnd w:id="100073"/>
    </w:p>
    <w:p>
      <w:pPr>
        <w:spacing w:after="160" w:line="312"/>
        <w:ind w:firstLine="360"/>
        <w:jc w:val="left"/>
      </w:pPr>
      <w:r>
        <w:rPr>
          <w:rFonts w:ascii="Calibri" w:eastAsia="Calibri"/>
          <w:color w:val="1A1A1A"/>
          <w:sz w:val="22"/>
          <w:szCs w:val="22"/>
        </w:rPr>
        <w:t xml:space="preserve">Cette section décrit en pseudo-maquettes les cinq écrans les plus importants de l'Univers 4.</w:t>
      </w:r>
    </w:p>
    <w:p>
      <w:pPr>
        <w:pStyle w:val="Heading2"/>
        <w:spacing w:after="160" w:before="320" w:line="340"/>
      </w:pPr>
      <w:bookmarkStart w:id="100074" w:name="_Toc100074"/>
      <w:r>
        <w:rPr>
          <w:rFonts w:ascii="Calibri" w:eastAsia="Calibri"/>
          <w:b/>
          <w:bCs/>
          <w:color w:val="2A4A3A"/>
          <w:sz w:val="28"/>
          <w:szCs w:val="28"/>
        </w:rPr>
        <w:t xml:space="preserve">14.1 Tableau de bord financier</w:t>
      </w:r>
      <w:bookmarkEnd w:id="100074"/>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FINANCES — Tableau de bord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SOLDE GLOBAL : 12 450 000 FCFA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DÉCOMPOSITION PAR CAISSE ─────────                    │</w:t>
      </w:r>
    </w:p>
    <w:p>
      <w:pPr>
        <w:spacing w:after="0" w:line="240"/>
        <w:ind w:left="240"/>
        <w:jc w:val="left"/>
      </w:pPr>
      <w:r>
        <w:rPr>
          <w:rFonts w:ascii="Consolas" w:eastAsia="Consolas"/>
          <w:color w:val="1A1A1A"/>
          <w:sz w:val="18"/>
          <w:szCs w:val="18"/>
        </w:rPr>
        <w:t xml:space="preserve">│  • Caisse principale      : 5 200 000 FCFA                │</w:t>
      </w:r>
    </w:p>
    <w:p>
      <w:pPr>
        <w:spacing w:after="0" w:line="240"/>
        <w:ind w:left="240"/>
        <w:jc w:val="left"/>
      </w:pPr>
      <w:r>
        <w:rPr>
          <w:rFonts w:ascii="Consolas" w:eastAsia="Consolas"/>
          <w:color w:val="1A1A1A"/>
          <w:sz w:val="18"/>
          <w:szCs w:val="18"/>
        </w:rPr>
        <w:t xml:space="preserve">│  • Caisse de réserve      : 4 800 000 FCFA                │</w:t>
      </w:r>
    </w:p>
    <w:p>
      <w:pPr>
        <w:spacing w:after="0" w:line="240"/>
        <w:ind w:left="240"/>
        <w:jc w:val="left"/>
      </w:pPr>
      <w:r>
        <w:rPr>
          <w:rFonts w:ascii="Consolas" w:eastAsia="Consolas"/>
          <w:color w:val="1A1A1A"/>
          <w:sz w:val="18"/>
          <w:szCs w:val="18"/>
        </w:rPr>
        <w:t xml:space="preserve">│  • Caisse de solidarité   : 1 950 000 FCFA                │</w:t>
      </w:r>
    </w:p>
    <w:p>
      <w:pPr>
        <w:spacing w:after="0" w:line="240"/>
        <w:ind w:left="240"/>
        <w:jc w:val="left"/>
      </w:pPr>
      <w:r>
        <w:rPr>
          <w:rFonts w:ascii="Consolas" w:eastAsia="Consolas"/>
          <w:color w:val="1A1A1A"/>
          <w:sz w:val="18"/>
          <w:szCs w:val="18"/>
        </w:rPr>
        <w:t xml:space="preserve">│  • Caisses de branches    :   500 000 FCFA (×6)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COTISATIONS DU TRIMESTRE ─────────                    │</w:t>
      </w:r>
    </w:p>
    <w:p>
      <w:pPr>
        <w:spacing w:after="0" w:line="240"/>
        <w:ind w:left="240"/>
        <w:jc w:val="left"/>
      </w:pPr>
      <w:r>
        <w:rPr>
          <w:rFonts w:ascii="Consolas" w:eastAsia="Consolas"/>
          <w:color w:val="1A1A1A"/>
          <w:sz w:val="18"/>
          <w:szCs w:val="18"/>
        </w:rPr>
        <w:t xml:space="preserve">│  T3 2026 — échéance 5 octobre                             │</w:t>
      </w:r>
    </w:p>
    <w:p>
      <w:pPr>
        <w:spacing w:after="0" w:line="240"/>
        <w:ind w:left="240"/>
        <w:jc w:val="left"/>
      </w:pPr>
      <w:r>
        <w:rPr>
          <w:rFonts w:ascii="Consolas" w:eastAsia="Consolas"/>
          <w:color w:val="1A1A1A"/>
          <w:sz w:val="18"/>
          <w:szCs w:val="18"/>
        </w:rPr>
        <w:t xml:space="preserve">│  Payé : 178 / 220 (81%)                                   │</w:t>
      </w:r>
    </w:p>
    <w:p>
      <w:pPr>
        <w:spacing w:after="0" w:line="240"/>
        <w:ind w:left="240"/>
        <w:jc w:val="left"/>
      </w:pPr>
      <w:r>
        <w:rPr>
          <w:rFonts w:ascii="Consolas" w:eastAsia="Consolas"/>
          <w:color w:val="1A1A1A"/>
          <w:sz w:val="18"/>
          <w:szCs w:val="18"/>
        </w:rPr>
        <w:t xml:space="preserve">│  En retard : 32 — En attente : 10                         │</w:t>
      </w:r>
    </w:p>
    <w:p>
      <w:pPr>
        <w:spacing w:after="0" w:line="240"/>
        <w:ind w:left="240"/>
        <w:jc w:val="left"/>
      </w:pPr>
      <w:r>
        <w:rPr>
          <w:rFonts w:ascii="Consolas" w:eastAsia="Consolas"/>
          <w:color w:val="1A1A1A"/>
          <w:sz w:val="18"/>
          <w:szCs w:val="18"/>
        </w:rPr>
        <w:t xml:space="preserve">│  Total collecté : 8 900 000 FCFA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DÉPENSES DU MOIS ─────────────────                    │</w:t>
      </w:r>
    </w:p>
    <w:p>
      <w:pPr>
        <w:spacing w:after="0" w:line="240"/>
        <w:ind w:left="240"/>
        <w:jc w:val="left"/>
      </w:pPr>
      <w:r>
        <w:rPr>
          <w:rFonts w:ascii="Consolas" w:eastAsia="Consolas"/>
          <w:color w:val="1A1A1A"/>
          <w:sz w:val="18"/>
          <w:szCs w:val="18"/>
        </w:rPr>
        <w:t xml:space="preserve">│  Total : 1 850 000 FCFA                                   │</w:t>
      </w:r>
    </w:p>
    <w:p>
      <w:pPr>
        <w:spacing w:after="0" w:line="240"/>
        <w:ind w:left="240"/>
        <w:jc w:val="left"/>
      </w:pPr>
      <w:r>
        <w:rPr>
          <w:rFonts w:ascii="Consolas" w:eastAsia="Consolas"/>
          <w:color w:val="1A1A1A"/>
          <w:sz w:val="18"/>
          <w:szCs w:val="18"/>
        </w:rPr>
        <w:t xml:space="preserve">│  • Aides sociales (12 versements) — 850 000 FCFA          │</w:t>
      </w:r>
    </w:p>
    <w:p>
      <w:pPr>
        <w:spacing w:after="0" w:line="240"/>
        <w:ind w:left="240"/>
        <w:jc w:val="left"/>
      </w:pPr>
      <w:r>
        <w:rPr>
          <w:rFonts w:ascii="Consolas" w:eastAsia="Consolas"/>
          <w:color w:val="1A1A1A"/>
          <w:sz w:val="18"/>
          <w:szCs w:val="18"/>
        </w:rPr>
        <w:t xml:space="preserve">│  • Fonctionnement — 320 000 FCFA                          │</w:t>
      </w:r>
    </w:p>
    <w:p>
      <w:pPr>
        <w:spacing w:after="0" w:line="240"/>
        <w:ind w:left="240"/>
        <w:jc w:val="left"/>
      </w:pPr>
      <w:r>
        <w:rPr>
          <w:rFonts w:ascii="Consolas" w:eastAsia="Consolas"/>
          <w:color w:val="1A1A1A"/>
          <w:sz w:val="18"/>
          <w:szCs w:val="18"/>
        </w:rPr>
        <w:t xml:space="preserve">│  • Préparation congrès — 680 000 FCFA                     │</w:t>
      </w:r>
    </w:p>
    <w:p>
      <w:pPr>
        <w:spacing w:after="0" w:line="240"/>
        <w:ind w:left="240"/>
        <w:jc w:val="left"/>
      </w:pPr>
      <w:r>
        <w:rPr>
          <w:rFonts w:ascii="Consolas" w:eastAsia="Consolas"/>
          <w:color w:val="1A1A1A"/>
          <w:sz w:val="18"/>
          <w:szCs w:val="18"/>
        </w:rPr>
        <w:t xml:space="preserve">│  Justificatifs : 28 / 28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BUDGET ANNUEL ────────────────────                    │</w:t>
      </w:r>
    </w:p>
    <w:p>
      <w:pPr>
        <w:spacing w:after="0" w:line="240"/>
        <w:ind w:left="240"/>
        <w:jc w:val="left"/>
      </w:pPr>
      <w:r>
        <w:rPr>
          <w:rFonts w:ascii="Consolas" w:eastAsia="Consolas"/>
          <w:color w:val="1A1A1A"/>
          <w:sz w:val="18"/>
          <w:szCs w:val="18"/>
        </w:rPr>
        <w:t xml:space="preserve">│  Exécution : 68 % du budget à 75 % de l'année             │</w:t>
      </w:r>
    </w:p>
    <w:p>
      <w:pPr>
        <w:spacing w:after="0" w:line="240"/>
        <w:ind w:left="240"/>
        <w:jc w:val="left"/>
      </w:pPr>
      <w:r>
        <w:rPr>
          <w:rFonts w:ascii="Consolas" w:eastAsia="Consolas"/>
          <w:color w:val="1A1A1A"/>
          <w:sz w:val="18"/>
          <w:szCs w:val="18"/>
        </w:rPr>
        <w:t xml:space="preserve">│  Poste le plus consommateur : Congrès (78 %)              │</w:t>
      </w:r>
    </w:p>
    <w:p>
      <w:pPr>
        <w:spacing w:after="0" w:line="240"/>
        <w:ind w:left="240"/>
        <w:jc w:val="left"/>
      </w:pPr>
      <w:r>
        <w:rPr>
          <w:rFonts w:ascii="Consolas" w:eastAsia="Consolas"/>
          <w:color w:val="1A1A1A"/>
          <w:sz w:val="18"/>
          <w:szCs w:val="18"/>
        </w:rPr>
        <w:t xml:space="preserve">│  Poste sous-exécuté : Fonctionnement (52 %)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3 — Wireframe du tableau de bord financier</w:t>
      </w:r>
    </w:p>
    <w:p>
      <w:pPr>
        <w:pStyle w:val="Heading2"/>
        <w:spacing w:after="160" w:before="320" w:line="340"/>
      </w:pPr>
      <w:bookmarkStart w:id="100075" w:name="_Toc100075"/>
      <w:r>
        <w:rPr>
          <w:rFonts w:ascii="Calibri" w:eastAsia="Calibri"/>
          <w:b/>
          <w:bCs/>
          <w:color w:val="2A4A3A"/>
          <w:sz w:val="28"/>
          <w:szCs w:val="28"/>
        </w:rPr>
        <w:t xml:space="preserve">14.2 Cotisation mensuelle (vue membre)</w:t>
      </w:r>
      <w:bookmarkEnd w:id="100075"/>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MES COTISATIONS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COTISATION TRIMESTRE T3 2026 ─────                    │</w:t>
      </w:r>
    </w:p>
    <w:p>
      <w:pPr>
        <w:spacing w:after="0" w:line="240"/>
        <w:ind w:left="240"/>
        <w:jc w:val="left"/>
      </w:pPr>
      <w:r>
        <w:rPr>
          <w:rFonts w:ascii="Consolas" w:eastAsia="Consolas"/>
          <w:color w:val="1A1A1A"/>
          <w:sz w:val="18"/>
          <w:szCs w:val="18"/>
        </w:rPr>
        <w:t xml:space="preserve">│  Échéance : 5 octobre 2026                                │</w:t>
      </w:r>
    </w:p>
    <w:p>
      <w:pPr>
        <w:spacing w:after="0" w:line="240"/>
        <w:ind w:left="240"/>
        <w:jc w:val="left"/>
      </w:pPr>
      <w:r>
        <w:rPr>
          <w:rFonts w:ascii="Consolas" w:eastAsia="Consolas"/>
          <w:color w:val="1A1A1A"/>
          <w:sz w:val="18"/>
          <w:szCs w:val="18"/>
        </w:rPr>
        <w:t xml:space="preserve">│  Montant : 15 000 FCFA                                    │</w:t>
      </w:r>
    </w:p>
    <w:p>
      <w:pPr>
        <w:spacing w:after="0" w:line="240"/>
        <w:ind w:left="240"/>
        <w:jc w:val="left"/>
      </w:pPr>
      <w:r>
        <w:rPr>
          <w:rFonts w:ascii="Consolas" w:eastAsia="Consolas"/>
          <w:color w:val="1A1A1A"/>
          <w:sz w:val="18"/>
          <w:szCs w:val="18"/>
        </w:rPr>
        <w:t xml:space="preserve">│  Statut : ⏳ À payer (J-7)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Payer par Mobile Money]                              │</w:t>
      </w:r>
    </w:p>
    <w:p>
      <w:pPr>
        <w:spacing w:after="0" w:line="240"/>
        <w:ind w:left="240"/>
        <w:jc w:val="left"/>
      </w:pPr>
      <w:r>
        <w:rPr>
          <w:rFonts w:ascii="Consolas" w:eastAsia="Consolas"/>
          <w:color w:val="1A1A1A"/>
          <w:sz w:val="18"/>
          <w:szCs w:val="18"/>
        </w:rPr>
        <w:t xml:space="preserve">│  [🏦 Payer par virement]                                  │</w:t>
      </w:r>
    </w:p>
    <w:p>
      <w:pPr>
        <w:spacing w:after="0" w:line="240"/>
        <w:ind w:left="240"/>
        <w:jc w:val="left"/>
      </w:pPr>
      <w:r>
        <w:rPr>
          <w:rFonts w:ascii="Consolas" w:eastAsia="Consolas"/>
          <w:color w:val="1A1A1A"/>
          <w:sz w:val="18"/>
          <w:szCs w:val="18"/>
        </w:rPr>
        <w:t xml:space="preserve">│  [💵 Payer en espèces (saisie trésorier)]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HISTORIQUE 12 DERNIERS MOIS ──────                    │</w:t>
      </w:r>
    </w:p>
    <w:p>
      <w:pPr>
        <w:spacing w:after="0" w:line="240"/>
        <w:ind w:left="240"/>
        <w:jc w:val="left"/>
      </w:pPr>
      <w:r>
        <w:rPr>
          <w:rFonts w:ascii="Consolas" w:eastAsia="Consolas"/>
          <w:color w:val="1A1A1A"/>
          <w:sz w:val="18"/>
          <w:szCs w:val="18"/>
        </w:rPr>
        <w:t xml:space="preserve">│  T2 2026 (juillet)    ✓ Payé 15 000  (Reçu #RC-2026-089) │</w:t>
      </w:r>
    </w:p>
    <w:p>
      <w:pPr>
        <w:spacing w:after="0" w:line="240"/>
        <w:ind w:left="240"/>
        <w:jc w:val="left"/>
      </w:pPr>
      <w:r>
        <w:rPr>
          <w:rFonts w:ascii="Consolas" w:eastAsia="Consolas"/>
          <w:color w:val="1A1A1A"/>
          <w:sz w:val="18"/>
          <w:szCs w:val="18"/>
        </w:rPr>
        <w:t xml:space="preserve">│  T1 2026 (avril)      ✓ Payé 15 000  (Reçu #RC-2026-031) │</w:t>
      </w:r>
    </w:p>
    <w:p>
      <w:pPr>
        <w:spacing w:after="0" w:line="240"/>
        <w:ind w:left="240"/>
        <w:jc w:val="left"/>
      </w:pPr>
      <w:r>
        <w:rPr>
          <w:rFonts w:ascii="Consolas" w:eastAsia="Consolas"/>
          <w:color w:val="1A1A1A"/>
          <w:sz w:val="18"/>
          <w:szCs w:val="18"/>
        </w:rPr>
        <w:t xml:space="preserve">│  T4 2025 (janv. 2026) ✓ Payé 15 000  (Reçu #RC-2025-142) │</w:t>
      </w:r>
    </w:p>
    <w:p>
      <w:pPr>
        <w:spacing w:after="0" w:line="240"/>
        <w:ind w:left="240"/>
        <w:jc w:val="left"/>
      </w:pPr>
      <w:r>
        <w:rPr>
          <w:rFonts w:ascii="Consolas" w:eastAsia="Consolas"/>
          <w:color w:val="1A1A1A"/>
          <w:sz w:val="18"/>
          <w:szCs w:val="18"/>
        </w:rPr>
        <w:t xml:space="preserve">│  T3 2025 (oct. 2025)  ✓ Payé 15 000  (Reçu #RC-2025-108)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COTISATION ANNUELLE 2026 ────────                     │</w:t>
      </w:r>
    </w:p>
    <w:p>
      <w:pPr>
        <w:spacing w:after="0" w:line="240"/>
        <w:ind w:left="240"/>
        <w:jc w:val="left"/>
      </w:pPr>
      <w:r>
        <w:rPr>
          <w:rFonts w:ascii="Consolas" w:eastAsia="Consolas"/>
          <w:color w:val="1A1A1A"/>
          <w:sz w:val="18"/>
          <w:szCs w:val="18"/>
        </w:rPr>
        <w:t xml:space="preserve">│  Échéance : 31 mars 2026 (vote congrès déc. 2025)         │</w:t>
      </w:r>
    </w:p>
    <w:p>
      <w:pPr>
        <w:spacing w:after="0" w:line="240"/>
        <w:ind w:left="240"/>
        <w:jc w:val="left"/>
      </w:pPr>
      <w:r>
        <w:rPr>
          <w:rFonts w:ascii="Consolas" w:eastAsia="Consolas"/>
          <w:color w:val="1A1A1A"/>
          <w:sz w:val="18"/>
          <w:szCs w:val="18"/>
        </w:rPr>
        <w:t xml:space="preserve">│  Montant : 50 000 FCFA                                    │</w:t>
      </w:r>
    </w:p>
    <w:p>
      <w:pPr>
        <w:spacing w:after="0" w:line="240"/>
        <w:ind w:left="240"/>
        <w:jc w:val="left"/>
      </w:pPr>
      <w:r>
        <w:rPr>
          <w:rFonts w:ascii="Consolas" w:eastAsia="Consolas"/>
          <w:color w:val="1A1A1A"/>
          <w:sz w:val="18"/>
          <w:szCs w:val="18"/>
        </w:rPr>
        <w:t xml:space="preserve">│  Statut : ✓ Payé 50 000 (Reçu #RC-2026-014)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4 — Wireframe de la vue cotisations (membre)</w:t>
      </w:r>
    </w:p>
    <w:p>
      <w:pPr>
        <w:pStyle w:val="Heading2"/>
        <w:spacing w:after="160" w:before="320" w:line="340"/>
      </w:pPr>
      <w:bookmarkStart w:id="100076" w:name="_Toc100076"/>
      <w:r>
        <w:rPr>
          <w:rFonts w:ascii="Calibri" w:eastAsia="Calibri"/>
          <w:b/>
          <w:bCs/>
          <w:color w:val="2A4A3A"/>
          <w:sz w:val="28"/>
          <w:szCs w:val="28"/>
        </w:rPr>
        <w:t xml:space="preserve">14.3 Paiement Mobile Money</w:t>
      </w:r>
      <w:bookmarkEnd w:id="100076"/>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PAIEMENT — Cotisation T3 2026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Montant : 15 000 FCFA                                    │</w:t>
      </w:r>
    </w:p>
    <w:p>
      <w:pPr>
        <w:spacing w:after="0" w:line="240"/>
        <w:ind w:left="240"/>
        <w:jc w:val="left"/>
      </w:pPr>
      <w:r>
        <w:rPr>
          <w:rFonts w:ascii="Consolas" w:eastAsia="Consolas"/>
          <w:color w:val="1A1A1A"/>
          <w:sz w:val="18"/>
          <w:szCs w:val="18"/>
        </w:rPr>
        <w:t xml:space="preserve">│  Bénéficiaire : Caisse principale — Famille NDONGO        │</w:t>
      </w:r>
    </w:p>
    <w:p>
      <w:pPr>
        <w:spacing w:after="0" w:line="240"/>
        <w:ind w:left="240"/>
        <w:jc w:val="left"/>
      </w:pPr>
      <w:r>
        <w:rPr>
          <w:rFonts w:ascii="Consolas" w:eastAsia="Consolas"/>
          <w:color w:val="1A1A1A"/>
          <w:sz w:val="18"/>
          <w:szCs w:val="18"/>
        </w:rPr>
        <w:t xml:space="preserve">│  Motif : Cotisation trimestrielle T3 2026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CANAL ────────────────────────────                    │</w:t>
      </w:r>
    </w:p>
    <w:p>
      <w:pPr>
        <w:spacing w:after="0" w:line="240"/>
        <w:ind w:left="240"/>
        <w:jc w:val="left"/>
      </w:pPr>
      <w:r>
        <w:rPr>
          <w:rFonts w:ascii="Consolas" w:eastAsia="Consolas"/>
          <w:color w:val="1A1A1A"/>
          <w:sz w:val="18"/>
          <w:szCs w:val="18"/>
        </w:rPr>
        <w:t xml:space="preserve">│  ◉ MTN MoMo  ○ Orange Money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NUMÉRO ───────────────────────────                    │</w:t>
      </w:r>
    </w:p>
    <w:p>
      <w:pPr>
        <w:spacing w:after="0" w:line="240"/>
        <w:ind w:left="240"/>
        <w:jc w:val="left"/>
      </w:pPr>
      <w:r>
        <w:rPr>
          <w:rFonts w:ascii="Consolas" w:eastAsia="Consolas"/>
          <w:color w:val="1A1A1A"/>
          <w:sz w:val="18"/>
          <w:szCs w:val="18"/>
        </w:rPr>
        <w:t xml:space="preserve">│  +237 6 99 12 34 56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AUTHENTIFICATION ────────────────                     │</w:t>
      </w:r>
    </w:p>
    <w:p>
      <w:pPr>
        <w:spacing w:after="0" w:line="240"/>
        <w:ind w:left="240"/>
        <w:jc w:val="left"/>
      </w:pPr>
      <w:r>
        <w:rPr>
          <w:rFonts w:ascii="Consolas" w:eastAsia="Consolas"/>
          <w:color w:val="1A1A1A"/>
          <w:sz w:val="18"/>
          <w:szCs w:val="18"/>
        </w:rPr>
        <w:t xml:space="preserve">│  Code USSD : #126# (à valider sur votre téléphone)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[Confirmer le paiement]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En attente de confirmation opérateur...               │</w:t>
      </w:r>
    </w:p>
    <w:p>
      <w:pPr>
        <w:spacing w:after="0" w:line="240"/>
        <w:ind w:left="240"/>
        <w:jc w:val="left"/>
      </w:pPr>
      <w:r>
        <w:rPr>
          <w:rFonts w:ascii="Consolas" w:eastAsia="Consolas"/>
          <w:color w:val="1A1A1A"/>
          <w:sz w:val="18"/>
          <w:szCs w:val="18"/>
        </w:rPr>
        <w:t xml:space="preserve">│  (généralement &lt; 30 secondes)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5 — Wireframe du paiement Mobile Money</w:t>
      </w:r>
    </w:p>
    <w:p>
      <w:pPr>
        <w:pStyle w:val="Heading2"/>
        <w:spacing w:after="160" w:before="320" w:line="340"/>
      </w:pPr>
      <w:bookmarkStart w:id="100077" w:name="_Toc100077"/>
      <w:r>
        <w:rPr>
          <w:rFonts w:ascii="Calibri" w:eastAsia="Calibri"/>
          <w:b/>
          <w:bCs/>
          <w:color w:val="2A4A3A"/>
          <w:sz w:val="28"/>
          <w:szCs w:val="28"/>
        </w:rPr>
        <w:t xml:space="preserve">14.4 Journal comptable (vue trésorier)</w:t>
      </w:r>
      <w:bookmarkEnd w:id="10007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JOURNAL COMPTABLE — Septembre 2026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Filtres : [Mois ▾] [Caisse ▾] [Type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N°    Date     Compte    Libellé              Débit   Crédit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0142  01/09    512→411   Cotisation J. NDONGO        15 000│</w:t>
      </w:r>
    </w:p>
    <w:p>
      <w:pPr>
        <w:spacing w:after="0" w:line="240"/>
        <w:ind w:left="240"/>
        <w:jc w:val="left"/>
      </w:pPr>
      <w:r>
        <w:rPr>
          <w:rFonts w:ascii="Consolas" w:eastAsia="Consolas"/>
          <w:color w:val="1A1A1A"/>
          <w:sz w:val="18"/>
          <w:szCs w:val="18"/>
        </w:rPr>
        <w:t xml:space="preserve">│  0143  03/09    601→512   Aide sociale M. K.          85 000│</w:t>
      </w:r>
    </w:p>
    <w:p>
      <w:pPr>
        <w:spacing w:after="0" w:line="240"/>
        <w:ind w:left="240"/>
        <w:jc w:val="left"/>
      </w:pPr>
      <w:r>
        <w:rPr>
          <w:rFonts w:ascii="Consolas" w:eastAsia="Consolas"/>
          <w:color w:val="1A1A1A"/>
          <w:sz w:val="18"/>
          <w:szCs w:val="18"/>
        </w:rPr>
        <w:t xml:space="preserve">│        03/09    512→601                                85 000│</w:t>
      </w:r>
    </w:p>
    <w:p>
      <w:pPr>
        <w:spacing w:after="0" w:line="240"/>
        <w:ind w:left="240"/>
        <w:jc w:val="left"/>
      </w:pPr>
      <w:r>
        <w:rPr>
          <w:rFonts w:ascii="Consolas" w:eastAsia="Consolas"/>
          <w:color w:val="1A1A1A"/>
          <w:sz w:val="18"/>
          <w:szCs w:val="18"/>
        </w:rPr>
        <w:t xml:space="preserve">│  0144  05/09    605→512   Prép. congrès (facture)    450 000│</w:t>
      </w:r>
    </w:p>
    <w:p>
      <w:pPr>
        <w:spacing w:after="0" w:line="240"/>
        <w:ind w:left="240"/>
        <w:jc w:val="left"/>
      </w:pPr>
      <w:r>
        <w:rPr>
          <w:rFonts w:ascii="Consolas" w:eastAsia="Consolas"/>
          <w:color w:val="1A1A1A"/>
          <w:sz w:val="18"/>
          <w:szCs w:val="18"/>
        </w:rPr>
        <w:t xml:space="preserve">│        05/09    512→605                               450 000│</w:t>
      </w:r>
    </w:p>
    <w:p>
      <w:pPr>
        <w:spacing w:after="0" w:line="240"/>
        <w:ind w:left="240"/>
        <w:jc w:val="left"/>
      </w:pPr>
      <w:r>
        <w:rPr>
          <w:rFonts w:ascii="Consolas" w:eastAsia="Consolas"/>
          <w:color w:val="1A1A1A"/>
          <w:sz w:val="18"/>
          <w:szCs w:val="18"/>
        </w:rPr>
        <w:t xml:space="preserve">│  0145  08/09    512→411   Cotisation P. BIYA         15 000│</w:t>
      </w:r>
    </w:p>
    <w:p>
      <w:pPr>
        <w:spacing w:after="0" w:line="240"/>
        <w:ind w:left="240"/>
        <w:jc w:val="left"/>
      </w:pPr>
      <w:r>
        <w:rPr>
          <w:rFonts w:ascii="Consolas" w:eastAsia="Consolas"/>
          <w:color w:val="1A1A1A"/>
          <w:sz w:val="18"/>
          <w:szCs w:val="18"/>
        </w:rPr>
        <w:t xml:space="preserve">│  0146  12/09    601→512   Bourse scolaire (×3)       90 000│</w:t>
      </w:r>
    </w:p>
    <w:p>
      <w:pPr>
        <w:spacing w:after="0" w:line="240"/>
        <w:ind w:left="240"/>
        <w:jc w:val="left"/>
      </w:pPr>
      <w:r>
        <w:rPr>
          <w:rFonts w:ascii="Consolas" w:eastAsia="Consolas"/>
          <w:color w:val="1A1A1A"/>
          <w:sz w:val="18"/>
          <w:szCs w:val="18"/>
        </w:rPr>
        <w:t xml:space="preserve">│        12/09    512→601                                90 000│</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Totaux du mois                                           │</w:t>
      </w:r>
    </w:p>
    <w:p>
      <w:pPr>
        <w:spacing w:after="0" w:line="240"/>
        <w:ind w:left="240"/>
        <w:jc w:val="left"/>
      </w:pPr>
      <w:r>
        <w:rPr>
          <w:rFonts w:ascii="Consolas" w:eastAsia="Consolas"/>
          <w:color w:val="1A1A1A"/>
          <w:sz w:val="18"/>
          <w:szCs w:val="18"/>
        </w:rPr>
        <w:t xml:space="preserve">│  Débits : 4 850 000 FCFA                                  │</w:t>
      </w:r>
    </w:p>
    <w:p>
      <w:pPr>
        <w:spacing w:after="0" w:line="240"/>
        <w:ind w:left="240"/>
        <w:jc w:val="left"/>
      </w:pPr>
      <w:r>
        <w:rPr>
          <w:rFonts w:ascii="Consolas" w:eastAsia="Consolas"/>
          <w:color w:val="1A1A1A"/>
          <w:sz w:val="18"/>
          <w:szCs w:val="18"/>
        </w:rPr>
        <w:t xml:space="preserve">│  Crédits : 4 850 000 FCFA                                 │</w:t>
      </w:r>
    </w:p>
    <w:p>
      <w:pPr>
        <w:spacing w:after="0" w:line="240"/>
        <w:ind w:left="240"/>
        <w:jc w:val="left"/>
      </w:pPr>
      <w:r>
        <w:rPr>
          <w:rFonts w:ascii="Consolas" w:eastAsia="Consolas"/>
          <w:color w:val="1A1A1A"/>
          <w:sz w:val="18"/>
          <w:szCs w:val="18"/>
        </w:rPr>
        <w:t xml:space="preserve">│  Solde : équilibré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Justificatifs : 42 / 42 ✓                                │</w:t>
      </w:r>
    </w:p>
    <w:p>
      <w:pPr>
        <w:spacing w:after="0" w:line="240"/>
        <w:ind w:left="240"/>
        <w:jc w:val="left"/>
      </w:pPr>
      <w:r>
        <w:rPr>
          <w:rFonts w:ascii="Consolas" w:eastAsia="Consolas"/>
          <w:color w:val="1A1A1A"/>
          <w:sz w:val="18"/>
          <w:szCs w:val="18"/>
        </w:rPr>
        <w:t xml:space="preserve">│  Rapprochement Mobile Money : 38 / 42 (4 en attente)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6 — Wireframe du journal comptable</w:t>
      </w:r>
    </w:p>
    <w:p>
      <w:pPr>
        <w:pStyle w:val="Heading2"/>
        <w:spacing w:after="160" w:before="320" w:line="340"/>
      </w:pPr>
      <w:bookmarkStart w:id="100078" w:name="_Toc100078"/>
      <w:r>
        <w:rPr>
          <w:rFonts w:ascii="Calibri" w:eastAsia="Calibri"/>
          <w:b/>
          <w:bCs/>
          <w:color w:val="2A4A3A"/>
          <w:sz w:val="28"/>
          <w:szCs w:val="28"/>
        </w:rPr>
        <w:t xml:space="preserve">14.5 Rapport mensuel (extrait)</w:t>
      </w:r>
      <w:bookmarkEnd w:id="100078"/>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RAPPORT FINANCIER — Septembre 2026                       │</w:t>
      </w:r>
    </w:p>
    <w:p>
      <w:pPr>
        <w:spacing w:after="0" w:line="240"/>
        <w:ind w:left="240"/>
        <w:jc w:val="left"/>
      </w:pPr>
      <w:r>
        <w:rPr>
          <w:rFonts w:ascii="Consolas" w:eastAsia="Consolas"/>
          <w:color w:val="1A1A1A"/>
          <w:sz w:val="18"/>
          <w:szCs w:val="18"/>
        </w:rPr>
        <w:t xml:space="preserve">│  Famille NDONGO — Édité le 5 octobre 2026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SYNTHÈSE DU MOIS ────────────────                     │</w:t>
      </w:r>
    </w:p>
    <w:p>
      <w:pPr>
        <w:spacing w:after="0" w:line="240"/>
        <w:ind w:left="240"/>
        <w:jc w:val="left"/>
      </w:pPr>
      <w:r>
        <w:rPr>
          <w:rFonts w:ascii="Consolas" w:eastAsia="Consolas"/>
          <w:color w:val="1A1A1A"/>
          <w:sz w:val="18"/>
          <w:szCs w:val="18"/>
        </w:rPr>
        <w:t xml:space="preserve">│  Solde en début de mois : 11 200 000 FCFA                 │</w:t>
      </w:r>
    </w:p>
    <w:p>
      <w:pPr>
        <w:spacing w:after="0" w:line="240"/>
        <w:ind w:left="240"/>
        <w:jc w:val="left"/>
      </w:pPr>
      <w:r>
        <w:rPr>
          <w:rFonts w:ascii="Consolas" w:eastAsia="Consolas"/>
          <w:color w:val="1A1A1A"/>
          <w:sz w:val="18"/>
          <w:szCs w:val="18"/>
        </w:rPr>
        <w:t xml:space="preserve">│  Entrées : 4 850 000 FCFA                                 │</w:t>
      </w:r>
    </w:p>
    <w:p>
      <w:pPr>
        <w:spacing w:after="0" w:line="240"/>
        <w:ind w:left="240"/>
        <w:jc w:val="left"/>
      </w:pPr>
      <w:r>
        <w:rPr>
          <w:rFonts w:ascii="Consolas" w:eastAsia="Consolas"/>
          <w:color w:val="1A1A1A"/>
          <w:sz w:val="18"/>
          <w:szCs w:val="18"/>
        </w:rPr>
        <w:t xml:space="preserve">│    • Cotisations T3 (156 paiements) : 2 340 000          │</w:t>
      </w:r>
    </w:p>
    <w:p>
      <w:pPr>
        <w:spacing w:after="0" w:line="240"/>
        <w:ind w:left="240"/>
        <w:jc w:val="left"/>
      </w:pPr>
      <w:r>
        <w:rPr>
          <w:rFonts w:ascii="Consolas" w:eastAsia="Consolas"/>
          <w:color w:val="1A1A1A"/>
          <w:sz w:val="18"/>
          <w:szCs w:val="18"/>
        </w:rPr>
        <w:t xml:space="preserve">│    • Contributions solidarité (47)     : 1 850 000       │</w:t>
      </w:r>
    </w:p>
    <w:p>
      <w:pPr>
        <w:spacing w:after="0" w:line="240"/>
        <w:ind w:left="240"/>
        <w:jc w:val="left"/>
      </w:pPr>
      <w:r>
        <w:rPr>
          <w:rFonts w:ascii="Consolas" w:eastAsia="Consolas"/>
          <w:color w:val="1A1A1A"/>
          <w:sz w:val="18"/>
          <w:szCs w:val="18"/>
        </w:rPr>
        <w:t xml:space="preserve">│    • Dons divers                        :   660 000       │</w:t>
      </w:r>
    </w:p>
    <w:p>
      <w:pPr>
        <w:spacing w:after="0" w:line="240"/>
        <w:ind w:left="240"/>
        <w:jc w:val="left"/>
      </w:pPr>
      <w:r>
        <w:rPr>
          <w:rFonts w:ascii="Consolas" w:eastAsia="Consolas"/>
          <w:color w:val="1A1A1A"/>
          <w:sz w:val="18"/>
          <w:szCs w:val="18"/>
        </w:rPr>
        <w:t xml:space="preserve">│  Sorties : 3 600 000 FCFA                                 │</w:t>
      </w:r>
    </w:p>
    <w:p>
      <w:pPr>
        <w:spacing w:after="0" w:line="240"/>
        <w:ind w:left="240"/>
        <w:jc w:val="left"/>
      </w:pPr>
      <w:r>
        <w:rPr>
          <w:rFonts w:ascii="Consolas" w:eastAsia="Consolas"/>
          <w:color w:val="1A1A1A"/>
          <w:sz w:val="18"/>
          <w:szCs w:val="18"/>
        </w:rPr>
        <w:t xml:space="preserve">│    • Aides sociales (12 versements)  :   850 000         │</w:t>
      </w:r>
    </w:p>
    <w:p>
      <w:pPr>
        <w:spacing w:after="0" w:line="240"/>
        <w:ind w:left="240"/>
        <w:jc w:val="left"/>
      </w:pPr>
      <w:r>
        <w:rPr>
          <w:rFonts w:ascii="Consolas" w:eastAsia="Consolas"/>
          <w:color w:val="1A1A1A"/>
          <w:sz w:val="18"/>
          <w:szCs w:val="18"/>
        </w:rPr>
        <w:t xml:space="preserve">│    • Préparation congrès             :   680 000         │</w:t>
      </w:r>
    </w:p>
    <w:p>
      <w:pPr>
        <w:spacing w:after="0" w:line="240"/>
        <w:ind w:left="240"/>
        <w:jc w:val="left"/>
      </w:pPr>
      <w:r>
        <w:rPr>
          <w:rFonts w:ascii="Consolas" w:eastAsia="Consolas"/>
          <w:color w:val="1A1A1A"/>
          <w:sz w:val="18"/>
          <w:szCs w:val="18"/>
        </w:rPr>
        <w:t xml:space="preserve">│    • Solidarité décès Maman Rosine   : 1 850 000         │</w:t>
      </w:r>
    </w:p>
    <w:p>
      <w:pPr>
        <w:spacing w:after="0" w:line="240"/>
        <w:ind w:left="240"/>
        <w:jc w:val="left"/>
      </w:pPr>
      <w:r>
        <w:rPr>
          <w:rFonts w:ascii="Consolas" w:eastAsia="Consolas"/>
          <w:color w:val="1A1A1A"/>
          <w:sz w:val="18"/>
          <w:szCs w:val="18"/>
        </w:rPr>
        <w:t xml:space="preserve">│    • Fonctionnement                  :   220 000         │</w:t>
      </w:r>
    </w:p>
    <w:p>
      <w:pPr>
        <w:spacing w:after="0" w:line="240"/>
        <w:ind w:left="240"/>
        <w:jc w:val="left"/>
      </w:pPr>
      <w:r>
        <w:rPr>
          <w:rFonts w:ascii="Consolas" w:eastAsia="Consolas"/>
          <w:color w:val="1A1A1A"/>
          <w:sz w:val="18"/>
          <w:szCs w:val="18"/>
        </w:rPr>
        <w:t xml:space="preserve">│  Solde en fin de mois : 12 450 000 FCFA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ÉTAT DES COTISATIONS ────────────                     │</w:t>
      </w:r>
    </w:p>
    <w:p>
      <w:pPr>
        <w:spacing w:after="0" w:line="240"/>
        <w:ind w:left="240"/>
        <w:jc w:val="left"/>
      </w:pPr>
      <w:r>
        <w:rPr>
          <w:rFonts w:ascii="Consolas" w:eastAsia="Consolas"/>
          <w:color w:val="1A1A1A"/>
          <w:sz w:val="18"/>
          <w:szCs w:val="18"/>
        </w:rPr>
        <w:t xml:space="preserve">│  T3 2026 (échéance 5 oct.) : 178 / 220 (81%)             │</w:t>
      </w:r>
    </w:p>
    <w:p>
      <w:pPr>
        <w:spacing w:after="0" w:line="240"/>
        <w:ind w:left="240"/>
        <w:jc w:val="left"/>
      </w:pPr>
      <w:r>
        <w:rPr>
          <w:rFonts w:ascii="Consolas" w:eastAsia="Consolas"/>
          <w:color w:val="1A1A1A"/>
          <w:sz w:val="18"/>
          <w:szCs w:val="18"/>
        </w:rPr>
        <w:t xml:space="preserve">│  Retards &gt; 30 jours : 8 membres (procédure médiation)    │</w:t>
      </w:r>
    </w:p>
    <w:p>
      <w:pPr>
        <w:spacing w:after="0" w:line="240"/>
        <w:ind w:left="240"/>
        <w:jc w:val="left"/>
      </w:pPr>
      <w:r>
        <w:rPr>
          <w:rFonts w:ascii="Consolas" w:eastAsia="Consolas"/>
          <w:color w:val="1A1A1A"/>
          <w:sz w:val="18"/>
          <w:szCs w:val="18"/>
        </w:rPr>
        <w:t xml:space="preserve">│  Exonérations actives : 12 membres (confidentiel)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BUDGET ────────────────────────────                   │</w:t>
      </w:r>
    </w:p>
    <w:p>
      <w:pPr>
        <w:spacing w:after="0" w:line="240"/>
        <w:ind w:left="240"/>
        <w:jc w:val="left"/>
      </w:pPr>
      <w:r>
        <w:rPr>
          <w:rFonts w:ascii="Consolas" w:eastAsia="Consolas"/>
          <w:color w:val="1A1A1A"/>
          <w:sz w:val="18"/>
          <w:szCs w:val="18"/>
        </w:rPr>
        <w:t xml:space="preserve">│  Exécution à fin septembre : 68 % du budget annuel       │</w:t>
      </w:r>
    </w:p>
    <w:p>
      <w:pPr>
        <w:spacing w:after="0" w:line="240"/>
        <w:ind w:left="240"/>
        <w:jc w:val="left"/>
      </w:pPr>
      <w:r>
        <w:rPr>
          <w:rFonts w:ascii="Consolas" w:eastAsia="Consolas"/>
          <w:color w:val="1A1A1A"/>
          <w:sz w:val="18"/>
          <w:szCs w:val="18"/>
        </w:rPr>
        <w:t xml:space="preserve">│  Poste sous-exécuté : Fonctionnement (52 %)              │</w:t>
      </w:r>
    </w:p>
    <w:p>
      <w:pPr>
        <w:spacing w:after="0" w:line="240"/>
        <w:ind w:left="240"/>
        <w:jc w:val="left"/>
      </w:pPr>
      <w:r>
        <w:rPr>
          <w:rFonts w:ascii="Consolas" w:eastAsia="Consolas"/>
          <w:color w:val="1A1A1A"/>
          <w:sz w:val="18"/>
          <w:szCs w:val="18"/>
        </w:rPr>
        <w:t xml:space="preserve">│  Poste sur-exécuté : Solidarité (78 %, dû au décès)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ALERTES ───────────────────────────                   │</w:t>
      </w:r>
    </w:p>
    <w:p>
      <w:pPr>
        <w:spacing w:after="0" w:line="240"/>
        <w:ind w:left="240"/>
        <w:jc w:val="left"/>
      </w:pPr>
      <w:r>
        <w:rPr>
          <w:rFonts w:ascii="Consolas" w:eastAsia="Consolas"/>
          <w:color w:val="1A1A1A"/>
          <w:sz w:val="18"/>
          <w:szCs w:val="18"/>
        </w:rPr>
        <w:t xml:space="preserve">│  • 4 rapprochements Mobile Money en attente              │</w:t>
      </w:r>
    </w:p>
    <w:p>
      <w:pPr>
        <w:spacing w:after="0" w:line="240"/>
        <w:ind w:left="240"/>
        <w:jc w:val="left"/>
      </w:pPr>
      <w:r>
        <w:rPr>
          <w:rFonts w:ascii="Consolas" w:eastAsia="Consolas"/>
          <w:color w:val="1A1A1A"/>
          <w:sz w:val="18"/>
          <w:szCs w:val="18"/>
        </w:rPr>
        <w:t xml:space="preserve">│  • Caisse de solidarité : solde faible (1,95 M / 3 M)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7 — Wireframe du rapport mensuel</w:t>
      </w:r>
    </w:p>
    <w:p>
      <w:pPr>
        <w:pStyle w:val="Heading1"/>
        <w:spacing w:after="240" w:before="480" w:line="360"/>
      </w:pPr>
      <w:bookmarkStart w:id="100079" w:name="_Toc100079"/>
      <w:r>
        <w:rPr>
          <w:rFonts w:ascii="Calibri" w:eastAsia="Calibri"/>
          <w:b/>
          <w:bCs/>
          <w:color w:val="2A4A3A"/>
          <w:sz w:val="32"/>
          <w:szCs w:val="32"/>
        </w:rPr>
        <w:t xml:space="preserve">15. Roadmap MVP et séquençage</w:t>
      </w:r>
      <w:bookmarkEnd w:id="100079"/>
    </w:p>
    <w:p>
      <w:pPr>
        <w:spacing w:after="160" w:line="312"/>
        <w:ind w:firstLine="360"/>
        <w:jc w:val="left"/>
      </w:pPr>
      <w:r>
        <w:rPr>
          <w:rFonts w:ascii="Calibri" w:eastAsia="Calibri"/>
          <w:color w:val="1A1A1A"/>
          <w:sz w:val="22"/>
          <w:szCs w:val="22"/>
        </w:rPr>
        <w:t xml:space="preserve">L'Univers 4 est séquencé en trois phases pour permettre une adoption progressive.</w:t>
      </w:r>
    </w:p>
    <w:p>
      <w:pPr>
        <w:pStyle w:val="Heading2"/>
        <w:spacing w:after="160" w:before="320" w:line="340"/>
      </w:pPr>
      <w:bookmarkStart w:id="100080" w:name="_Toc100080"/>
      <w:r>
        <w:rPr>
          <w:rFonts w:ascii="Calibri" w:eastAsia="Calibri"/>
          <w:b/>
          <w:bCs/>
          <w:color w:val="2A4A3A"/>
          <w:sz w:val="28"/>
          <w:szCs w:val="28"/>
        </w:rPr>
        <w:t xml:space="preserve">15.1 Phase 1 — MVP (mois 4 à 9)</w:t>
      </w:r>
      <w:bookmarkEnd w:id="100080"/>
    </w:p>
    <w:p>
      <w:pPr>
        <w:keepNext/>
        <w:spacing w:after="120" w:before="240"/>
        <w:jc w:val="left"/>
      </w:pPr>
      <w:r>
        <w:rPr>
          <w:rFonts w:ascii="Calibri" w:eastAsia="Calibri"/>
          <w:b/>
          <w:bCs/>
          <w:color w:val="2A4A3A"/>
          <w:sz w:val="20"/>
          <w:szCs w:val="20"/>
        </w:rPr>
        <w:t xml:space="preserve">Tableau 11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 principale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Solde, mouvements, rapprochement Mobile Money</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Cotisations trimestrielles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Calendrier, relances, suivi individuel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Mobile Money</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Intégration MTN MoMo + Orange Money (API entrantes)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Reçus PDF</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Génération automatique, archivage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comptable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Écritures manuelles + automatiques, immutable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Rapport mensuel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Automatique, transmission à tous les membres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Double validation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Pour les dépenses &gt; 50 000 FCFA</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taux de cotisation à jour ≥ 80 %, taux de rapprochement Mobile Money ≥ 95 %, transparence 100 % (toutes les dépenses justifiées).</w:t>
      </w:r>
    </w:p>
    <w:p>
      <w:pPr>
        <w:pStyle w:val="Heading2"/>
        <w:spacing w:after="160" w:before="320" w:line="340"/>
      </w:pPr>
      <w:bookmarkStart w:id="100081" w:name="_Toc100081"/>
      <w:r>
        <w:rPr>
          <w:rFonts w:ascii="Calibri" w:eastAsia="Calibri"/>
          <w:b/>
          <w:bCs/>
          <w:color w:val="2A4A3A"/>
          <w:sz w:val="28"/>
          <w:szCs w:val="28"/>
        </w:rPr>
        <w:t xml:space="preserve">15.2 Phase 2 — Enrichissement (mois 10 à 14)</w:t>
      </w:r>
      <w:bookmarkEnd w:id="100081"/>
    </w:p>
    <w:p>
      <w:pPr>
        <w:keepNext/>
        <w:spacing w:after="120" w:before="240"/>
        <w:jc w:val="left"/>
      </w:pPr>
      <w:r>
        <w:rPr>
          <w:rFonts w:ascii="Calibri" w:eastAsia="Calibri"/>
          <w:b/>
          <w:bCs/>
          <w:color w:val="2A4A3A"/>
          <w:sz w:val="20"/>
          <w:szCs w:val="20"/>
        </w:rPr>
        <w:t xml:space="preserve">Tableau 12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 multi-niveaux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Caisses de branches, de solidarité, d'événement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Budget annuel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Préparation, vote, suivi 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Plan comptable simplifié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Inspiré SYSCOHADA, balance, états financiers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Paiements sortants Mobile Money</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Pour les aides sociales et dépenses validées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Multi-devises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Diaspora (euro, dollar, livre)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Mode audit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Export complet pour comptable externe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Mode hors-ligne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Saisie espèces, consultation soldes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précision budgétaire ≤ 15 %, satisfaction trésorier ≥ 4/5, clôture annuelle dans les 90 jours.</w:t>
      </w:r>
    </w:p>
    <w:p>
      <w:pPr>
        <w:pStyle w:val="Heading2"/>
        <w:spacing w:after="160" w:before="320" w:line="340"/>
      </w:pPr>
      <w:bookmarkStart w:id="100082" w:name="_Toc100082"/>
      <w:r>
        <w:rPr>
          <w:rFonts w:ascii="Calibri" w:eastAsia="Calibri"/>
          <w:b/>
          <w:bCs/>
          <w:color w:val="2A4A3A"/>
          <w:sz w:val="28"/>
          <w:szCs w:val="28"/>
        </w:rPr>
        <w:t xml:space="preserve">15.3 Phase 3 — Maturité (mois 15 à 20)</w:t>
      </w:r>
      <w:bookmarkEnd w:id="100082"/>
    </w:p>
    <w:p>
      <w:pPr>
        <w:keepNext/>
        <w:spacing w:after="120" w:before="240"/>
        <w:jc w:val="left"/>
      </w:pPr>
      <w:r>
        <w:rPr>
          <w:rFonts w:ascii="Calibri" w:eastAsia="Calibri"/>
          <w:b/>
          <w:bCs/>
          <w:color w:val="2A4A3A"/>
          <w:sz w:val="20"/>
          <w:szCs w:val="20"/>
        </w:rPr>
        <w:t xml:space="preserve">Tableau 13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IA prévisionnelle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Anticipation des déficits, suggestions d'ajustement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Audit externe annuel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Workflow complet avec commissaire aux comptes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Investissements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Gestion des projets (terrain, construction)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Prêts familiaux avancés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Échéanciers, rappels automatiques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Carte familiale financière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Visualisation des flux par branche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vocales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Appels automatiques pour rappels aux aînés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95 % des cotisations reçues dans les 14 jours, 100 % des clôtures annuelles dans les 90 jours, satisfaction membres ≥ 4/5.</w:t>
      </w:r>
    </w:p>
    <w:p>
      <w:pPr>
        <w:pStyle w:val="Heading1"/>
        <w:spacing w:after="240" w:before="480" w:line="360"/>
      </w:pPr>
      <w:bookmarkStart w:id="100083" w:name="_Toc100083"/>
      <w:r>
        <w:rPr>
          <w:rFonts w:ascii="Calibri" w:eastAsia="Calibri"/>
          <w:b/>
          <w:bCs/>
          <w:color w:val="2A4A3A"/>
          <w:sz w:val="32"/>
          <w:szCs w:val="32"/>
        </w:rPr>
        <w:t xml:space="preserve">16. Risques et points d'attention</w:t>
      </w:r>
      <w:bookmarkEnd w:id="100083"/>
    </w:p>
    <w:p>
      <w:pPr>
        <w:pStyle w:val="Heading2"/>
        <w:spacing w:after="160" w:before="320" w:line="340"/>
      </w:pPr>
      <w:bookmarkStart w:id="100084" w:name="_Toc100084"/>
      <w:r>
        <w:rPr>
          <w:rFonts w:ascii="Calibri" w:eastAsia="Calibri"/>
          <w:b/>
          <w:bCs/>
          <w:color w:val="2A4A3A"/>
          <w:sz w:val="28"/>
          <w:szCs w:val="28"/>
        </w:rPr>
        <w:t xml:space="preserve">16.1 Fraude</w:t>
      </w:r>
      <w:bookmarkEnd w:id="100084"/>
    </w:p>
    <w:p>
      <w:pPr>
        <w:spacing w:after="160" w:line="312"/>
        <w:ind w:firstLine="360"/>
        <w:jc w:val="left"/>
      </w:pPr>
      <w:r>
        <w:rPr>
          <w:rFonts w:ascii="Calibri" w:eastAsia="Calibri"/>
          <w:color w:val="1A1A1A"/>
          <w:sz w:val="22"/>
          <w:szCs w:val="22"/>
        </w:rPr>
        <w:t xml:space="preserve">La fraude est le risque numéro un. Elle peut prendre plusieurs formes : fausse dépense, justificatif falsifié, détournement de cotisation en espèces, création de membre fictif. La mitigation repose sur la combinaison de mesures techniques (journal immutable, double validation, rapprochement automatique), de mesures organisationnelles (audit aléatoire, rotation du trésorier), et de mesures culturelles (formation, exemplarité du conseil, sanction exemplaire en cas de fraude avérée).</w:t>
      </w:r>
    </w:p>
    <w:p>
      <w:pPr>
        <w:pStyle w:val="Heading2"/>
        <w:spacing w:after="160" w:before="320" w:line="340"/>
      </w:pPr>
      <w:bookmarkStart w:id="100085" w:name="_Toc100085"/>
      <w:r>
        <w:rPr>
          <w:rFonts w:ascii="Calibri" w:eastAsia="Calibri"/>
          <w:b/>
          <w:bCs/>
          <w:color w:val="2A4A3A"/>
          <w:sz w:val="28"/>
          <w:szCs w:val="28"/>
        </w:rPr>
        <w:t xml:space="preserve">16.2 Erreurs de saisie</w:t>
      </w:r>
      <w:bookmarkEnd w:id="100085"/>
    </w:p>
    <w:p>
      <w:pPr>
        <w:spacing w:after="160" w:line="312"/>
        <w:ind w:firstLine="360"/>
        <w:jc w:val="left"/>
      </w:pPr>
      <w:r>
        <w:rPr>
          <w:rFonts w:ascii="Calibri" w:eastAsia="Calibri"/>
          <w:color w:val="1A1A1A"/>
          <w:sz w:val="22"/>
          <w:szCs w:val="22"/>
        </w:rPr>
        <w:t xml:space="preserve">Les erreurs de saisie sont plus fréquentes que les fraudes et peuvent avoir des conséquences significatives (mauvaise attribution, double comptabilisation, écriture déséquilibrée). La mitigation repose sur la validation automatique (partie double, contrôles de cohérence), la confirmation visuelle avant validation, et la possibilité de corriger par écriture compensatoire.</w:t>
      </w:r>
    </w:p>
    <w:p>
      <w:pPr>
        <w:pStyle w:val="Heading2"/>
        <w:spacing w:after="160" w:before="320" w:line="340"/>
      </w:pPr>
      <w:bookmarkStart w:id="100086" w:name="_Toc100086"/>
      <w:r>
        <w:rPr>
          <w:rFonts w:ascii="Calibri" w:eastAsia="Calibri"/>
          <w:b/>
          <w:bCs/>
          <w:color w:val="2A4A3A"/>
          <w:sz w:val="28"/>
          <w:szCs w:val="28"/>
        </w:rPr>
        <w:t xml:space="preserve">16.3 Indisponibilité Mobile Money</w:t>
      </w:r>
      <w:bookmarkEnd w:id="100086"/>
    </w:p>
    <w:p>
      <w:pPr>
        <w:spacing w:after="160" w:line="312"/>
        <w:ind w:firstLine="360"/>
        <w:jc w:val="left"/>
      </w:pPr>
      <w:r>
        <w:rPr>
          <w:rFonts w:ascii="Calibri" w:eastAsia="Calibri"/>
          <w:color w:val="1A1A1A"/>
          <w:sz w:val="22"/>
          <w:szCs w:val="22"/>
        </w:rPr>
        <w:t xml:space="preserve">Les opérateurs Mobile Money peuvent être indisponibles (panne réseau, maintenance, saturation).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mode espèces de secours, avec saisie manuelle différée.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file d'attente des paiements en attente, traités dès le retour de la connexion.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communication transparente aux membres en cas d'indisponibilité prolongée.</w:t>
      </w:r>
    </w:p>
    <w:p>
      <w:pPr>
        <w:pStyle w:val="Heading2"/>
        <w:spacing w:after="160" w:before="320" w:line="340"/>
      </w:pPr>
      <w:bookmarkStart w:id="100087" w:name="_Toc100087"/>
      <w:r>
        <w:rPr>
          <w:rFonts w:ascii="Calibri" w:eastAsia="Calibri"/>
          <w:b/>
          <w:bCs/>
          <w:color w:val="2A4A3A"/>
          <w:sz w:val="28"/>
          <w:szCs w:val="28"/>
        </w:rPr>
        <w:t xml:space="preserve">16.4 Tensions sur les dépenses</w:t>
      </w:r>
      <w:bookmarkEnd w:id="100087"/>
    </w:p>
    <w:p>
      <w:pPr>
        <w:spacing w:after="160" w:line="312"/>
        <w:ind w:firstLine="360"/>
        <w:jc w:val="left"/>
      </w:pPr>
      <w:r>
        <w:rPr>
          <w:rFonts w:ascii="Calibri" w:eastAsia="Calibri"/>
          <w:color w:val="1A1A1A"/>
          <w:sz w:val="22"/>
          <w:szCs w:val="22"/>
        </w:rPr>
        <w:t xml:space="preserve">Certaines dépenses peuvent être contestées (par exemple, frais de déplacement jugés excessifs, dépenses de représentation). La mitigation repose sur la transparence (publication dans le rapport mensuel), la procédure de contestation (déjà décrite dans l'Univers 3), et l'arbitrage par le comité médiation ou le conseil.</w:t>
      </w:r>
    </w:p>
    <w:p>
      <w:pPr>
        <w:pStyle w:val="Heading2"/>
        <w:spacing w:after="160" w:before="320" w:line="340"/>
      </w:pPr>
      <w:bookmarkStart w:id="100088" w:name="_Toc100088"/>
      <w:r>
        <w:rPr>
          <w:rFonts w:ascii="Calibri" w:eastAsia="Calibri"/>
          <w:b/>
          <w:bCs/>
          <w:color w:val="2A4A3A"/>
          <w:sz w:val="28"/>
          <w:szCs w:val="28"/>
        </w:rPr>
        <w:t xml:space="preserve">16.5 Confidentialité des montants</w:t>
      </w:r>
      <w:bookmarkEnd w:id="100088"/>
    </w:p>
    <w:p>
      <w:pPr>
        <w:spacing w:after="160" w:line="312"/>
        <w:ind w:firstLine="360"/>
        <w:jc w:val="left"/>
      </w:pPr>
      <w:r>
        <w:rPr>
          <w:rFonts w:ascii="Calibri" w:eastAsia="Calibri"/>
          <w:color w:val="1A1A1A"/>
          <w:sz w:val="22"/>
          <w:szCs w:val="22"/>
        </w:rPr>
        <w:t xml:space="preserve">Les montants des cotisations et des aides sociales sont confidentiels. La divulgation involontaire (par exemple, un rapport trop détaillé circulant hors du cercle autorisé) peut nuire à la dignité des membres. La mitigation repose sur la gradation des niveaux de détail par rôle, le filigrane nominatif sur les exports PDF, et la limitation du nombre d'exports par membre.</w:t>
      </w:r>
    </w:p>
    <w:p>
      <w:pPr>
        <w:pStyle w:val="Heading2"/>
        <w:spacing w:after="160" w:before="320" w:line="340"/>
      </w:pPr>
      <w:bookmarkStart w:id="100089" w:name="_Toc100089"/>
      <w:r>
        <w:rPr>
          <w:rFonts w:ascii="Calibri" w:eastAsia="Calibri"/>
          <w:b/>
          <w:bCs/>
          <w:color w:val="2A4A3A"/>
          <w:sz w:val="28"/>
          <w:szCs w:val="28"/>
        </w:rPr>
        <w:t xml:space="preserve">16.6 Dépendance aux opérateurs</w:t>
      </w:r>
      <w:bookmarkEnd w:id="100089"/>
    </w:p>
    <w:p>
      <w:pPr>
        <w:spacing w:after="160" w:line="312"/>
        <w:ind w:firstLine="360"/>
        <w:jc w:val="left"/>
      </w:pPr>
      <w:r>
        <w:rPr>
          <w:rFonts w:ascii="Calibri" w:eastAsia="Calibri"/>
          <w:color w:val="1A1A1A"/>
          <w:sz w:val="22"/>
          <w:szCs w:val="22"/>
        </w:rPr>
        <w:t xml:space="preserve">L'application dépend de MTN MoMo et Orange Money pour les paiements. Une défaillance durable d'un opérateur, ou un changement unilatéral de ses conditions, peut affecter le service. La mitigation repose sur la double intégration (MTN + Orange, bascule possible), la capacité à traiter des paiements par virement bancaire en secours, et la veille réglementaire sur l'évolution du marché Mobile Money en zone CEMAC.</w:t>
      </w:r>
    </w:p>
    <w:p>
      <w:pPr>
        <w:pStyle w:val="Heading2"/>
        <w:spacing w:after="160" w:before="320" w:line="340"/>
      </w:pPr>
      <w:bookmarkStart w:id="100090" w:name="_Toc100090"/>
      <w:r>
        <w:rPr>
          <w:rFonts w:ascii="Calibri" w:eastAsia="Calibri"/>
          <w:b/>
          <w:bCs/>
          <w:color w:val="2A4A3A"/>
          <w:sz w:val="28"/>
          <w:szCs w:val="28"/>
        </w:rPr>
        <w:t xml:space="preserve">16.7 Surcharge du trésorier</w:t>
      </w:r>
      <w:bookmarkEnd w:id="100090"/>
    </w:p>
    <w:p>
      <w:pPr>
        <w:spacing w:after="160" w:line="312"/>
        <w:ind w:firstLine="360"/>
        <w:jc w:val="left"/>
      </w:pPr>
      <w:r>
        <w:rPr>
          <w:rFonts w:ascii="Calibri" w:eastAsia="Calibri"/>
          <w:color w:val="1A1A1A"/>
          <w:sz w:val="22"/>
          <w:szCs w:val="22"/>
        </w:rPr>
        <w:t xml:space="preserve">Le trésorier est un bénévole, souvent actif professionnellement, qui consacre un temps significatif à la gestion financière de la famille. Le système ne doit pas alourdir sa charge, mais la faciliter. La mitigation repose sur l'automatisation maximale (rapprochement, reçus, rapports), une interface ergonomique, un trésorier adjoint formé, et la possibilité de déléguer certaines tâches au conseil.</w:t>
      </w:r>
    </w:p>
    <w:p>
      <w:pPr>
        <w:pStyle w:val="Heading1"/>
        <w:spacing w:after="240" w:before="480" w:line="360"/>
      </w:pPr>
      <w:bookmarkStart w:id="100091" w:name="_Toc100091"/>
      <w:r>
        <w:rPr>
          <w:rFonts w:ascii="Calibri" w:eastAsia="Calibri"/>
          <w:b/>
          <w:bCs/>
          <w:color w:val="2A4A3A"/>
          <w:sz w:val="32"/>
          <w:szCs w:val="32"/>
        </w:rPr>
        <w:t xml:space="preserve">17. Indicateurs de succès</w:t>
      </w:r>
      <w:bookmarkEnd w:id="100091"/>
    </w:p>
    <w:p>
      <w:pPr>
        <w:spacing w:after="160" w:line="312"/>
        <w:ind w:firstLine="360"/>
        <w:jc w:val="left"/>
      </w:pPr>
      <w:r>
        <w:rPr>
          <w:rFonts w:ascii="Calibri" w:eastAsia="Calibri"/>
          <w:color w:val="1A1A1A"/>
          <w:sz w:val="22"/>
          <w:szCs w:val="22"/>
        </w:rPr>
        <w:t xml:space="preserve">Les indicateurs ci-dessous permettent de mesurer la santé de l'Univers 4 en exploitation. Ils sont consultables en temps réel par le conseil familial sur le tableau de bord d'administration.</w:t>
      </w:r>
    </w:p>
    <w:p>
      <w:pPr>
        <w:keepNext/>
        <w:spacing w:after="120" w:before="240"/>
        <w:jc w:val="left"/>
      </w:pPr>
      <w:r>
        <w:rPr>
          <w:rFonts w:ascii="Calibri" w:eastAsia="Calibri"/>
          <w:b/>
          <w:bCs/>
          <w:color w:val="2A4A3A"/>
          <w:sz w:val="20"/>
          <w:szCs w:val="20"/>
        </w:rPr>
        <w:t xml:space="preserve">Tableau 14 — Indicateurs de succès de l'Univers 4</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Définition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cotisation à jour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ayant réglé le trimestre en cours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versement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Échéance → réception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Rapprochement Mobile Money</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Paiements rapprochés automatiquement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justificatifs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Dépenses &gt; 10 000 FCFA justifiées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validation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Proposition → validation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dépense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Précision budgétaire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Écart prévisionnel / réel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15 %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clôture annuelle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Fin d'exercice → clôture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trésorier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Note donnée par le trésorier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sur la transparence financière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Indisponibilité du service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Temps cumulé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60 min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bl>
    <w:p>
      <w:pPr>
        <w:pStyle w:val="Heading1"/>
        <w:spacing w:after="240" w:before="480" w:line="360"/>
      </w:pPr>
      <w:bookmarkStart w:id="100092" w:name="_Toc100092"/>
      <w:r>
        <w:rPr>
          <w:rFonts w:ascii="Calibri" w:eastAsia="Calibri"/>
          <w:b/>
          <w:bCs/>
          <w:color w:val="2A4A3A"/>
          <w:sz w:val="32"/>
          <w:szCs w:val="32"/>
        </w:rPr>
        <w:t xml:space="preserve">18. Conclusion</w:t>
      </w:r>
      <w:bookmarkEnd w:id="100092"/>
    </w:p>
    <w:p>
      <w:pPr>
        <w:spacing w:after="160" w:line="312"/>
        <w:ind w:firstLine="360"/>
        <w:jc w:val="left"/>
      </w:pPr>
      <w:r>
        <w:rPr>
          <w:rFonts w:ascii="Calibri" w:eastAsia="Calibri"/>
          <w:color w:val="1A1A1A"/>
          <w:sz w:val="22"/>
          <w:szCs w:val="22"/>
        </w:rPr>
        <w:t xml:space="preserve">L'Univers 4 est le socle technique de l'application. Sans lui, l'Univers 3 ne peut exécuter ses collectes, l'Univers 2 ne peut organiser ses événements, et l'Univers 5 ne peut financer ses décisions. Plus que tout autre module, il porte la responsabilité de la confiance : si les membres doutent de l'intégrité du système financier, c'est l'ensemble de l'application qui est discréditée.</w:t>
      </w:r>
    </w:p>
    <w:p>
      <w:pPr>
        <w:spacing w:after="160" w:line="312"/>
        <w:ind w:firstLine="360"/>
        <w:jc w:val="left"/>
      </w:pPr>
      <w:r>
        <w:rPr>
          <w:rFonts w:ascii="Calibri" w:eastAsia="Calibri"/>
          <w:color w:val="1A1A1A"/>
          <w:sz w:val="22"/>
          <w:szCs w:val="22"/>
        </w:rPr>
        <w:t xml:space="preserve">La proposition centrale de l'Univers 4 est simple : remplacer la gestion opaque d'aujourd'hui par une infrastructure financière numérique transparente, traçable et auditable. Chaque FCFA qui entre ou sort de la caisse familiale est enregistré dans un journal immutable, rapproché avec un paiement Mobile Money ou un justificatif, validé selon des règles de gouvernance, et consultable par les autorités familiales. Le système ne supprime pas le trésorier : il le dote d'outils professionnels et le protège des soupçons.</w:t>
      </w:r>
    </w:p>
    <w:p>
      <w:pPr>
        <w:spacing w:after="160" w:line="312"/>
        <w:ind w:firstLine="360"/>
        <w:jc w:val="left"/>
      </w:pPr>
      <w:r>
        <w:rPr>
          <w:rFonts w:ascii="Calibri" w:eastAsia="Calibri"/>
          <w:color w:val="1A1A1A"/>
          <w:sz w:val="22"/>
          <w:szCs w:val="22"/>
        </w:rPr>
        <w:t xml:space="preserve">L'Univers 4 ne se substitue pas à la confiance humaine : il la rend possible à grande échelle. Dans une famille de 200 ou 300 membres, la confiance ne peut plus reposer sur la seule connaissance personnelle du trésorier ; elle doit s'appuyer sur des procédures transparentes, des contrôles croisés, et des archives consultables. C'est exactement ce que propose ce module.</w:t>
      </w:r>
    </w:p>
    <w:p>
      <w:pPr>
        <w:pStyle w:val="Heading2"/>
        <w:spacing w:after="160" w:before="320" w:line="340"/>
      </w:pPr>
      <w:bookmarkStart w:id="100093" w:name="_Toc100093"/>
      <w:r>
        <w:rPr>
          <w:rFonts w:ascii="Calibri" w:eastAsia="Calibri"/>
          <w:b/>
          <w:bCs/>
          <w:color w:val="2A4A3A"/>
          <w:sz w:val="28"/>
          <w:szCs w:val="28"/>
        </w:rPr>
        <w:t xml:space="preserve">Prochaines étapes recommandées</w:t>
      </w:r>
      <w:bookmarkEnd w:id="10009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cette spécification par le comité de pilotage et par au moins deux familles pilotes, avec un accent particulier sur les seuils de validation (10 000, 50 000, 500 000 FCFA) et les règles de rapprochement.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cinq écrans clés (tableau de bord, cotisations, paiement Mobile Money, journal, rapport mensuel).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des interfaces avec les opérateurs Mobile Money (MTN MoMo, Orange Money) et de la stratégie de secours en cas d'indisponibilité.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Phase 1 avec un périmètre strictement limité à la caisse principale, aux cotisations trimestrielles, à l'intégration Mobile Money entrante, et au journal comptable immutable.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Onboarding de la première famille pilote dans un délai de neuf mois après le démarrage du développement, avec un accompagnement particulier du trésorier et du trésorier adjoint.</w:t>
      </w:r>
    </w:p>
    <w:p>
      <w:pPr>
        <w:spacing w:after="160" w:line="312"/>
        <w:ind w:firstLine="360"/>
        <w:jc w:val="left"/>
      </w:pPr>
      <w:r>
        <w:rPr>
          <w:rFonts w:ascii="Calibri" w:eastAsia="Calibri"/>
          <w:color w:val="1A1A1A"/>
          <w:sz w:val="22"/>
          <w:szCs w:val="22"/>
        </w:rPr>
        <w:t xml:space="preserve">L'Univers 4, s'il est bien conçu et bien livré, deviendra l'épine dorsale financière de la famille : un lieu où chaque FCFA trouve sa trace, chaque dépense sa justification, et chaque membre la transparence à laquelle il a droit. Il transformera la gestion financière d'un sujet de tension en un fonctionnement maîtrisé, libérant le trésorier des tâches ingrates pour qu'il se concentre sur l'accompagnement humain et le conseil.</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Univers 4 — Les Finances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4 — Les Finances</dc:title>
  <dc:creator>Spécifications Univers 4</dc:creator>
  <dc:description>Spécifications fonctionnelles de l'Univers 4</dc:description>
  <cp:lastModifiedBy>Un-named</cp:lastModifiedBy>
  <cp:revision>1</cp:revision>
  <dcterms:created xsi:type="dcterms:W3CDTF">2026-09-29T19:38:06.654Z</dcterms:created>
  <dcterms:modified xsi:type="dcterms:W3CDTF">2026-09-29T19:38:06.655Z</dcterms:modified>
</cp:coreProperties>
</file>

<file path=docProps/custom.xml><?xml version="1.0" encoding="utf-8"?>
<Properties xmlns="http://schemas.openxmlformats.org/officeDocument/2006/custom-properties" xmlns:vt="http://schemas.openxmlformats.org/officeDocument/2006/docPropsVTypes"/>
</file>