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4258"/>
            </w:pPr>
          </w:p>
          <w:p>
            <w:pPr>
              <w:pBdr>
                <w:bottom w:val="single" w:color="C89F62" w:sz="6" w:space="8"/>
              </w:pBdr>
              <w:spacing w:after="500"/>
              <w:ind w:left="1200" w:right="800"/>
            </w:pPr>
            <w:r>
              <w:rPr>
                <w:rFonts w:ascii="Calibri" w:eastAsia="Calibri"/>
                <w:color w:val="C89F62"/>
                <w:spacing w:val="40"/>
                <w:sz w:val="18"/>
                <w:szCs w:val="18"/>
              </w:rPr>
              <w:t xml:space="preserve">D  O  C  U  M  E  N  T     D  E     S  Y  N  T  H  È  S  E        ·        L  E  S     7     U  N  I  V  E  R  S</w:t>
            </w:r>
          </w:p>
          <w:p>
            <w:pPr>
              <w:spacing w:after="300" w:line="1012" w:lineRule="atLeast"/>
              <w:ind w:left="1200"/>
            </w:pPr>
            <w:r>
              <w:rPr>
                <w:rFonts w:ascii="Calibri" w:eastAsia="Calibri"/>
                <w:b/>
                <w:bCs/>
                <w:color w:val="2A4A3A"/>
                <w:sz w:val="88"/>
                <w:szCs w:val="88"/>
              </w:rPr>
              <w:t xml:space="preserve">FamilleConnect</w:t>
            </w:r>
          </w:p>
          <w:p>
            <w:pPr>
              <w:spacing w:after="800"/>
              <w:ind w:left="1200"/>
            </w:pPr>
            <w:r>
              <w:rPr>
                <w:rFonts w:ascii="Calibri" w:eastAsia="Calibri"/>
                <w:color w:val="606060"/>
                <w:sz w:val="26"/>
                <w:szCs w:val="26"/>
              </w:rPr>
              <w:t xml:space="preserve">La plateforme numérique de gouvernance des grandes familles africaines</w:t>
            </w:r>
          </w:p>
          <w:p>
            <w:pPr>
              <w:pBdr>
                <w:left w:val="single" w:color="C89F62" w:sz="8" w:space="12"/>
              </w:pBdr>
              <w:spacing w:after="80"/>
              <w:ind w:left="1400"/>
            </w:pPr>
            <w:r>
              <w:rPr>
                <w:rFonts w:ascii="Calibri" w:eastAsia="Calibri"/>
                <w:color w:val="5A5A5A"/>
                <w:sz w:val="22"/>
                <w:szCs w:val="22"/>
              </w:rPr>
              <w:t xml:space="preserve">Document : Synthèse globale pour comité de pilotage, investisseurs, partenaires</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Confidentiel — Pour validation</w:t>
            </w:r>
          </w:p>
          <w:p>
            <w:pPr>
              <w:pBdr>
                <w:left w:val="single" w:color="C89F62" w:sz="8" w:space="12"/>
              </w:pBdr>
              <w:spacing w:after="80"/>
              <w:ind w:left="1400"/>
            </w:pPr>
            <w:r>
              <w:rPr>
                <w:rFonts w:ascii="Calibri" w:eastAsia="Calibri"/>
                <w:color w:val="5A5A5A"/>
                <w:sz w:val="22"/>
                <w:szCs w:val="22"/>
              </w:rPr>
              <w:t xml:space="preserve">Basé sur : Spécifications fonctionnelles détaillées des 7 univers</w:t>
            </w:r>
          </w:p>
          <w:p>
            <w:pPr>
              <w:pBdr>
                <w:left w:val="single" w:color="C89F62" w:sz="8" w:space="12"/>
              </w:pBdr>
              <w:spacing w:after="80"/>
              <w:ind w:left="1400"/>
            </w:pPr>
            <w:r>
              <w:rPr>
                <w:rFonts w:ascii="Calibri" w:eastAsia="Calibri"/>
                <w:color w:val="5A5A5A"/>
                <w:sz w:val="22"/>
                <w:szCs w:val="22"/>
              </w:rPr>
              <w:t xml:space="preserve">Audience : Comités de pilotage, investisseurs, partenaires stratégiques</w:t>
            </w:r>
          </w:p>
          <w:p>
            <w:pPr>
              <w:spacing w:before="4258"/>
            </w:pPr>
          </w:p>
          <w:p>
            <w:pPr>
              <w:pBdr>
                <w:top w:val="single" w:color="C89F62" w:sz="2" w:space="8"/>
              </w:pBdr>
              <w:spacing w:before="200"/>
              <w:ind w:left="1200" w:right="800"/>
            </w:pPr>
            <w:r>
              <w:rPr>
                <w:rFonts w:ascii="Calibri" w:eastAsia="Calibri"/>
                <w:color w:val="8A8A8A"/>
                <w:sz w:val="16"/>
                <w:szCs w:val="16"/>
              </w:rPr>
              <w:t xml:space="preserve">FamilleConnect — Document interne</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Les chiffres clés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 Vision et contexte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Le problème : WhatsApp ne suffit plus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1.2 L'opportunité : la famille comme institution numérique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Public cible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1.4 Taille du marché</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2. Les 7 univers en un coup d'œil</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Architecture globale</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3. Univers 1 — La Famille</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Rôle</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Fonctionnalités clés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Différenciateur</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KPI phare</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4. Univers 2 — La Vie familiale</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Rôle</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Fonctionnalités clés</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Différenciateur</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KPI phare</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5. Univers 3 — La Solidarité</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Rôle</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Fonctionnalités clés</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Différenciateur</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KPI phare</w:t>
            </w:r>
            <w:r>
              <w:tab/>
            </w:r>
            <w:r>
              <w:fldChar w:fldCharType="begin"/>
            </w:r>
            <w:r>
              <w:instrText xml:space="preserve"> PAGEREF _Toc100023 \h </w:instrText>
            </w:r>
            <w:r>
              <w:fldChar w:fldCharType="separate"/>
            </w:r>
            <w:r>
              <w:t>13</w:t>
            </w:r>
            <w:r>
              <w:fldChar w:fldCharType="end"/>
            </w:r>
          </w:hyperlink>
        </w:p>
        <w:p>
          <w:pPr>
            <w:pStyle w:val="9"/>
            <w:tabs>
              <w:tab w:val="right" w:leader="dot" w:pos="9026"/>
            </w:tabs>
            <w:spacing w:before="120" w:after="60"/>
          </w:pPr>
          <w:hyperlink w:anchor="_Toc100024" w:history="1">
            <w:r>
              <w:rPr>
                <w:rStyle w:val="Hyperlink"/>
              </w:rPr>
              <w:t>6. Univers 4 — Les Finances</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Rôle</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Fonctionnalités clés</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Différenciateur</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KPI phare</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7. Univers 5 — La Gouvernance</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Rôle</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Fonctionnalités clés</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Différenciateur</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KPI phare</w:t>
            </w:r>
            <w:r>
              <w:tab/>
            </w:r>
            <w:r>
              <w:fldChar w:fldCharType="begin"/>
            </w:r>
            <w:r>
              <w:instrText xml:space="preserve"> PAGEREF _Toc100033 \h </w:instrText>
            </w:r>
            <w:r>
              <w:fldChar w:fldCharType="separate"/>
            </w:r>
            <w:r>
              <w:t>16</w:t>
            </w:r>
            <w:r>
              <w:fldChar w:fldCharType="end"/>
            </w:r>
          </w:hyperlink>
        </w:p>
        <w:p>
          <w:pPr>
            <w:pStyle w:val="9"/>
            <w:tabs>
              <w:tab w:val="right" w:leader="dot" w:pos="9026"/>
            </w:tabs>
            <w:spacing w:before="120" w:after="60"/>
          </w:pPr>
          <w:hyperlink w:anchor="_Toc100034" w:history="1">
            <w:r>
              <w:rPr>
                <w:rStyle w:val="Hyperlink"/>
              </w:rPr>
              <w:t>8. Univers 6 — La Mémoire</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Rôle</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Fonctionnalités clés</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Différenciateur</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KPI phare</w:t>
            </w:r>
            <w:r>
              <w:tab/>
            </w:r>
            <w:r>
              <w:fldChar w:fldCharType="begin"/>
            </w:r>
            <w:r>
              <w:instrText xml:space="preserve"> PAGEREF _Toc100038 \h </w:instrText>
            </w:r>
            <w:r>
              <w:fldChar w:fldCharType="separate"/>
            </w:r>
            <w:r>
              <w:t>17</w:t>
            </w:r>
            <w:r>
              <w:fldChar w:fldCharType="end"/>
            </w:r>
          </w:hyperlink>
        </w:p>
        <w:p>
          <w:pPr>
            <w:pStyle w:val="9"/>
            <w:tabs>
              <w:tab w:val="right" w:leader="dot" w:pos="9026"/>
            </w:tabs>
            <w:spacing w:before="120" w:after="60"/>
          </w:pPr>
          <w:hyperlink w:anchor="_Toc100039" w:history="1">
            <w:r>
              <w:rPr>
                <w:rStyle w:val="Hyperlink"/>
              </w:rPr>
              <w:t>9. Univers 7 — Le Réseau</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Rôle</w:t>
            </w:r>
            <w:r>
              <w:tab/>
            </w:r>
            <w:r>
              <w:fldChar w:fldCharType="begin"/>
            </w:r>
            <w:r>
              <w:instrText xml:space="preserve"> PAGEREF _Toc100040 \h </w:instrText>
            </w:r>
            <w:r>
              <w:fldChar w:fldCharType="separate"/>
            </w:r>
            <w:r>
              <w:t>18</w:t>
            </w:r>
            <w:r>
              <w:fldChar w:fldCharType="end"/>
            </w:r>
          </w:hyperlink>
        </w:p>
        <w:p>
          <w:pPr>
            <w:pStyle w:val="11"/>
            <w:ind w:left="360"/>
            <w:tabs>
              <w:tab w:val="right" w:leader="dot" w:pos="9026"/>
            </w:tabs>
            <w:spacing w:before="120" w:after="60"/>
          </w:pPr>
          <w:hyperlink w:anchor="_Toc100041" w:history="1">
            <w:r>
              <w:rPr>
                <w:rStyle w:val="Hyperlink"/>
              </w:rPr>
              <w:t>Fonctionnalités clés</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Différenciateur</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KPI phare</w:t>
            </w:r>
            <w:r>
              <w:tab/>
            </w:r>
            <w:r>
              <w:fldChar w:fldCharType="begin"/>
            </w:r>
            <w:r>
              <w:instrText xml:space="preserve"> PAGEREF _Toc100043 \h </w:instrText>
            </w:r>
            <w:r>
              <w:fldChar w:fldCharType="separate"/>
            </w:r>
            <w:r>
              <w:t>19</w:t>
            </w:r>
            <w:r>
              <w:fldChar w:fldCharType="end"/>
            </w:r>
          </w:hyperlink>
        </w:p>
        <w:p>
          <w:pPr>
            <w:pStyle w:val="9"/>
            <w:tabs>
              <w:tab w:val="right" w:leader="dot" w:pos="9026"/>
            </w:tabs>
            <w:spacing w:before="120" w:after="60"/>
          </w:pPr>
          <w:hyperlink w:anchor="_Toc100044" w:history="1">
            <w:r>
              <w:rPr>
                <w:rStyle w:val="Hyperlink"/>
              </w:rPr>
              <w:t>10. Architecture globale et inter-dépendances</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10.1 La fondation : Univers 1</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10.2 Les flux de données entre univers</w:t>
            </w:r>
            <w:r>
              <w:tab/>
            </w:r>
            <w:r>
              <w:fldChar w:fldCharType="begin"/>
            </w:r>
            <w:r>
              <w:instrText xml:space="preserve"> PAGEREF _Toc100046 \h </w:instrText>
            </w:r>
            <w:r>
              <w:fldChar w:fldCharType="separate"/>
            </w:r>
            <w:r>
              <w:t>19</w:t>
            </w:r>
            <w:r>
              <w:fldChar w:fldCharType="end"/>
            </w:r>
          </w:hyperlink>
        </w:p>
        <w:p>
          <w:pPr>
            <w:pStyle w:val="11"/>
            <w:ind w:left="360"/>
            <w:tabs>
              <w:tab w:val="right" w:leader="dot" w:pos="9026"/>
            </w:tabs>
            <w:spacing w:before="120" w:after="60"/>
          </w:pPr>
          <w:hyperlink w:anchor="_Toc100047" w:history="1">
            <w:r>
              <w:rPr>
                <w:rStyle w:val="Hyperlink"/>
              </w:rPr>
              <w:t>10.3 Effet réseau et valeur cumulée</w:t>
            </w:r>
            <w:r>
              <w:tab/>
            </w:r>
            <w:r>
              <w:fldChar w:fldCharType="begin"/>
            </w:r>
            <w:r>
              <w:instrText xml:space="preserve"> PAGEREF _Toc100047 \h </w:instrText>
            </w:r>
            <w:r>
              <w:fldChar w:fldCharType="separate"/>
            </w:r>
            <w:r>
              <w:t>20</w:t>
            </w:r>
            <w:r>
              <w:fldChar w:fldCharType="end"/>
            </w:r>
          </w:hyperlink>
        </w:p>
        <w:p>
          <w:pPr>
            <w:pStyle w:val="9"/>
            <w:tabs>
              <w:tab w:val="right" w:leader="dot" w:pos="9026"/>
            </w:tabs>
            <w:spacing w:before="120" w:after="60"/>
          </w:pPr>
          <w:hyperlink w:anchor="_Toc100048" w:history="1">
            <w:r>
              <w:rPr>
                <w:rStyle w:val="Hyperlink"/>
              </w:rPr>
              <w:t>11. Marché cible et stratégie d'adoption</w:t>
            </w:r>
            <w:r>
              <w:tab/>
            </w:r>
            <w:r>
              <w:fldChar w:fldCharType="begin"/>
            </w:r>
            <w:r>
              <w:instrText xml:space="preserve"> PAGEREF _Toc100048 \h </w:instrText>
            </w:r>
            <w:r>
              <w:fldChar w:fldCharType="separate"/>
            </w:r>
            <w:r>
              <w:t>20</w:t>
            </w:r>
            <w:r>
              <w:fldChar w:fldCharType="end"/>
            </w:r>
          </w:hyperlink>
        </w:p>
        <w:p>
          <w:pPr>
            <w:pStyle w:val="11"/>
            <w:ind w:left="360"/>
            <w:tabs>
              <w:tab w:val="right" w:leader="dot" w:pos="9026"/>
            </w:tabs>
            <w:spacing w:before="120" w:after="60"/>
          </w:pPr>
          <w:hyperlink w:anchor="_Toc100049" w:history="1">
            <w:r>
              <w:rPr>
                <w:rStyle w:val="Hyperlink"/>
              </w:rPr>
              <w:t>11.1 Segmentation du marché</w:t>
            </w:r>
            <w:r>
              <w:tab/>
            </w:r>
            <w:r>
              <w:fldChar w:fldCharType="begin"/>
            </w:r>
            <w:r>
              <w:instrText xml:space="preserve"> PAGEREF _Toc100049 \h </w:instrText>
            </w:r>
            <w:r>
              <w:fldChar w:fldCharType="separate"/>
            </w:r>
            <w:r>
              <w:t>20</w:t>
            </w:r>
            <w:r>
              <w:fldChar w:fldCharType="end"/>
            </w:r>
          </w:hyperlink>
        </w:p>
        <w:p>
          <w:pPr>
            <w:pStyle w:val="11"/>
            <w:ind w:left="360"/>
            <w:tabs>
              <w:tab w:val="right" w:leader="dot" w:pos="9026"/>
            </w:tabs>
            <w:spacing w:before="120" w:after="60"/>
          </w:pPr>
          <w:hyperlink w:anchor="_Toc100050" w:history="1">
            <w:r>
              <w:rPr>
                <w:rStyle w:val="Hyperlink"/>
              </w:rPr>
              <w:t>11.2 Modèle économique</w:t>
            </w:r>
            <w:r>
              <w:tab/>
            </w:r>
            <w:r>
              <w:fldChar w:fldCharType="begin"/>
            </w:r>
            <w:r>
              <w:instrText xml:space="preserve"> PAGEREF _Toc100050 \h </w:instrText>
            </w:r>
            <w:r>
              <w:fldChar w:fldCharType="separate"/>
            </w:r>
            <w:r>
              <w:t>21</w:t>
            </w:r>
            <w:r>
              <w:fldChar w:fldCharType="end"/>
            </w:r>
          </w:hyperlink>
        </w:p>
        <w:p>
          <w:pPr>
            <w:pStyle w:val="11"/>
            <w:ind w:left="360"/>
            <w:tabs>
              <w:tab w:val="right" w:leader="dot" w:pos="9026"/>
            </w:tabs>
            <w:spacing w:before="120" w:after="60"/>
          </w:pPr>
          <w:hyperlink w:anchor="_Toc100051" w:history="1">
            <w:r>
              <w:rPr>
                <w:rStyle w:val="Hyperlink"/>
              </w:rPr>
              <w:t>11.3 Stratégie go-to-market</w:t>
            </w:r>
            <w:r>
              <w:tab/>
            </w:r>
            <w:r>
              <w:fldChar w:fldCharType="begin"/>
            </w:r>
            <w:r>
              <w:instrText xml:space="preserve"> PAGEREF _Toc100051 \h </w:instrText>
            </w:r>
            <w:r>
              <w:fldChar w:fldCharType="separate"/>
            </w:r>
            <w:r>
              <w:t>21</w:t>
            </w:r>
            <w:r>
              <w:fldChar w:fldCharType="end"/>
            </w:r>
          </w:hyperlink>
        </w:p>
        <w:p>
          <w:pPr>
            <w:pStyle w:val="11"/>
            <w:ind w:left="360"/>
            <w:tabs>
              <w:tab w:val="right" w:leader="dot" w:pos="9026"/>
            </w:tabs>
            <w:spacing w:before="120" w:after="60"/>
          </w:pPr>
          <w:hyperlink w:anchor="_Toc100052" w:history="1">
            <w:r>
              <w:rPr>
                <w:rStyle w:val="Hyperlink"/>
              </w:rPr>
              <w:t>11.4 Partenaires stratégiques potentiels</w:t>
            </w:r>
            <w:r>
              <w:tab/>
            </w:r>
            <w:r>
              <w:fldChar w:fldCharType="begin"/>
            </w:r>
            <w:r>
              <w:instrText xml:space="preserve"> PAGEREF _Toc100052 \h </w:instrText>
            </w:r>
            <w:r>
              <w:fldChar w:fldCharType="separate"/>
            </w:r>
            <w:r>
              <w:t>22</w:t>
            </w:r>
            <w:r>
              <w:fldChar w:fldCharType="end"/>
            </w:r>
          </w:hyperlink>
        </w:p>
        <w:p>
          <w:pPr>
            <w:pStyle w:val="9"/>
            <w:tabs>
              <w:tab w:val="right" w:leader="dot" w:pos="9026"/>
            </w:tabs>
            <w:spacing w:before="120" w:after="60"/>
          </w:pPr>
          <w:hyperlink w:anchor="_Toc100053" w:history="1">
            <w:r>
              <w:rPr>
                <w:rStyle w:val="Hyperlink"/>
              </w:rPr>
              <w:t>12. Feuille de route de développement</w:t>
            </w:r>
            <w:r>
              <w:tab/>
            </w:r>
            <w:r>
              <w:fldChar w:fldCharType="begin"/>
            </w:r>
            <w:r>
              <w:instrText xml:space="preserve"> PAGEREF _Toc100053 \h </w:instrText>
            </w:r>
            <w:r>
              <w:fldChar w:fldCharType="separate"/>
            </w:r>
            <w:r>
              <w:t>22</w:t>
            </w:r>
            <w:r>
              <w:fldChar w:fldCharType="end"/>
            </w:r>
          </w:hyperlink>
        </w:p>
        <w:p>
          <w:pPr>
            <w:pStyle w:val="11"/>
            <w:ind w:left="360"/>
            <w:tabs>
              <w:tab w:val="right" w:leader="dot" w:pos="9026"/>
            </w:tabs>
            <w:spacing w:before="120" w:after="60"/>
          </w:pPr>
          <w:hyperlink w:anchor="_Toc100054" w:history="1">
            <w:r>
              <w:rPr>
                <w:rStyle w:val="Hyperlink"/>
              </w:rPr>
              <w:t>12.1 Phase 1 — MVP (mois 1 à 9)</w:t>
            </w:r>
            <w:r>
              <w:tab/>
            </w:r>
            <w:r>
              <w:fldChar w:fldCharType="begin"/>
            </w:r>
            <w:r>
              <w:instrText xml:space="preserve"> PAGEREF _Toc100054 \h </w:instrText>
            </w:r>
            <w:r>
              <w:fldChar w:fldCharType="separate"/>
            </w:r>
            <w:r>
              <w:t>23</w:t>
            </w:r>
            <w:r>
              <w:fldChar w:fldCharType="end"/>
            </w:r>
          </w:hyperlink>
        </w:p>
        <w:p>
          <w:pPr>
            <w:pStyle w:val="11"/>
            <w:ind w:left="360"/>
            <w:tabs>
              <w:tab w:val="right" w:leader="dot" w:pos="9026"/>
            </w:tabs>
            <w:spacing w:before="120" w:after="60"/>
          </w:pPr>
          <w:hyperlink w:anchor="_Toc100055" w:history="1">
            <w:r>
              <w:rPr>
                <w:rStyle w:val="Hyperlink"/>
              </w:rPr>
              <w:t>12.2 Phase 2 — Enrichissement (mois 10 à 18)</w:t>
            </w:r>
            <w:r>
              <w:tab/>
            </w:r>
            <w:r>
              <w:fldChar w:fldCharType="begin"/>
            </w:r>
            <w:r>
              <w:instrText xml:space="preserve"> PAGEREF _Toc100055 \h </w:instrText>
            </w:r>
            <w:r>
              <w:fldChar w:fldCharType="separate"/>
            </w:r>
            <w:r>
              <w:t>23</w:t>
            </w:r>
            <w:r>
              <w:fldChar w:fldCharType="end"/>
            </w:r>
          </w:hyperlink>
        </w:p>
        <w:p>
          <w:pPr>
            <w:pStyle w:val="11"/>
            <w:ind w:left="360"/>
            <w:tabs>
              <w:tab w:val="right" w:leader="dot" w:pos="9026"/>
            </w:tabs>
            <w:spacing w:before="120" w:after="60"/>
          </w:pPr>
          <w:hyperlink w:anchor="_Toc100056" w:history="1">
            <w:r>
              <w:rPr>
                <w:rStyle w:val="Hyperlink"/>
              </w:rPr>
              <w:t>12.3 Phase 3 — Maturité (mois 19 à 30)</w:t>
            </w:r>
            <w:r>
              <w:tab/>
            </w:r>
            <w:r>
              <w:fldChar w:fldCharType="begin"/>
            </w:r>
            <w:r>
              <w:instrText xml:space="preserve"> PAGEREF _Toc100056 \h </w:instrText>
            </w:r>
            <w:r>
              <w:fldChar w:fldCharType="separate"/>
            </w:r>
            <w:r>
              <w:t>23</w:t>
            </w:r>
            <w:r>
              <w:fldChar w:fldCharType="end"/>
            </w:r>
          </w:hyperlink>
        </w:p>
        <w:p>
          <w:pPr>
            <w:pStyle w:val="11"/>
            <w:ind w:left="360"/>
            <w:tabs>
              <w:tab w:val="right" w:leader="dot" w:pos="9026"/>
            </w:tabs>
            <w:spacing w:before="120" w:after="60"/>
          </w:pPr>
          <w:hyperlink w:anchor="_Toc100057" w:history="1">
            <w:r>
              <w:rPr>
                <w:rStyle w:val="Hyperlink"/>
              </w:rPr>
              <w:t>12.4 Ressources et budget indicatif</w:t>
            </w:r>
            <w:r>
              <w:tab/>
            </w:r>
            <w:r>
              <w:fldChar w:fldCharType="begin"/>
            </w:r>
            <w:r>
              <w:instrText xml:space="preserve"> PAGEREF _Toc100057 \h </w:instrText>
            </w:r>
            <w:r>
              <w:fldChar w:fldCharType="separate"/>
            </w:r>
            <w:r>
              <w:t>24</w:t>
            </w:r>
            <w:r>
              <w:fldChar w:fldCharType="end"/>
            </w:r>
          </w:hyperlink>
        </w:p>
        <w:p>
          <w:pPr>
            <w:pStyle w:val="9"/>
            <w:tabs>
              <w:tab w:val="right" w:leader="dot" w:pos="9026"/>
            </w:tabs>
            <w:spacing w:before="120" w:after="60"/>
          </w:pPr>
          <w:hyperlink w:anchor="_Toc100058" w:history="1">
            <w:r>
              <w:rPr>
                <w:rStyle w:val="Hyperlink"/>
              </w:rPr>
              <w:t>13. Risques et mitigations</w:t>
            </w:r>
            <w:r>
              <w:tab/>
            </w:r>
            <w:r>
              <w:fldChar w:fldCharType="begin"/>
            </w:r>
            <w:r>
              <w:instrText xml:space="preserve"> PAGEREF _Toc100058 \h </w:instrText>
            </w:r>
            <w:r>
              <w:fldChar w:fldCharType="separate"/>
            </w:r>
            <w:r>
              <w:t>24</w:t>
            </w:r>
            <w:r>
              <w:fldChar w:fldCharType="end"/>
            </w:r>
          </w:hyperlink>
        </w:p>
        <w:p>
          <w:pPr>
            <w:pStyle w:val="9"/>
            <w:tabs>
              <w:tab w:val="right" w:leader="dot" w:pos="9026"/>
            </w:tabs>
            <w:spacing w:before="120" w:after="60"/>
          </w:pPr>
          <w:hyperlink w:anchor="_Toc100059" w:history="1">
            <w:r>
              <w:rPr>
                <w:rStyle w:val="Hyperlink"/>
              </w:rPr>
              <w:t>14. Indicateurs de succès globaux</w:t>
            </w:r>
            <w:r>
              <w:tab/>
            </w:r>
            <w:r>
              <w:fldChar w:fldCharType="begin"/>
            </w:r>
            <w:r>
              <w:instrText xml:space="preserve"> PAGEREF _Toc100059 \h </w:instrText>
            </w:r>
            <w:r>
              <w:fldChar w:fldCharType="separate"/>
            </w:r>
            <w:r>
              <w:t>25</w:t>
            </w:r>
            <w:r>
              <w:fldChar w:fldCharType="end"/>
            </w:r>
          </w:hyperlink>
        </w:p>
        <w:p>
          <w:pPr>
            <w:pStyle w:val="11"/>
            <w:ind w:left="360"/>
            <w:tabs>
              <w:tab w:val="right" w:leader="dot" w:pos="9026"/>
            </w:tabs>
            <w:spacing w:before="120" w:after="60"/>
          </w:pPr>
          <w:hyperlink w:anchor="_Toc100060" w:history="1">
            <w:r>
              <w:rPr>
                <w:rStyle w:val="Hyperlink"/>
              </w:rPr>
              <w:t>14.1 KPI année 1</w:t>
            </w:r>
            <w:r>
              <w:tab/>
            </w:r>
            <w:r>
              <w:fldChar w:fldCharType="begin"/>
            </w:r>
            <w:r>
              <w:instrText xml:space="preserve"> PAGEREF _Toc100060 \h </w:instrText>
            </w:r>
            <w:r>
              <w:fldChar w:fldCharType="separate"/>
            </w:r>
            <w:r>
              <w:t>25</w:t>
            </w:r>
            <w:r>
              <w:fldChar w:fldCharType="end"/>
            </w:r>
          </w:hyperlink>
        </w:p>
        <w:p>
          <w:pPr>
            <w:pStyle w:val="11"/>
            <w:ind w:left="360"/>
            <w:tabs>
              <w:tab w:val="right" w:leader="dot" w:pos="9026"/>
            </w:tabs>
            <w:spacing w:before="120" w:after="60"/>
          </w:pPr>
          <w:hyperlink w:anchor="_Toc100061" w:history="1">
            <w:r>
              <w:rPr>
                <w:rStyle w:val="Hyperlink"/>
              </w:rPr>
              <w:t>14.2 KPI année 3</w:t>
            </w:r>
            <w:r>
              <w:tab/>
            </w:r>
            <w:r>
              <w:fldChar w:fldCharType="begin"/>
            </w:r>
            <w:r>
              <w:instrText xml:space="preserve"> PAGEREF _Toc100061 \h </w:instrText>
            </w:r>
            <w:r>
              <w:fldChar w:fldCharType="separate"/>
            </w:r>
            <w:r>
              <w:t>25</w:t>
            </w:r>
            <w:r>
              <w:fldChar w:fldCharType="end"/>
            </w:r>
          </w:hyperlink>
        </w:p>
        <w:p>
          <w:pPr>
            <w:pStyle w:val="9"/>
            <w:tabs>
              <w:tab w:val="right" w:leader="dot" w:pos="9026"/>
            </w:tabs>
            <w:spacing w:before="120" w:after="60"/>
          </w:pPr>
          <w:hyperlink w:anchor="_Toc100062" w:history="1">
            <w:r>
              <w:rPr>
                <w:rStyle w:val="Hyperlink"/>
              </w:rPr>
              <w:t>15. Opportunité d'investissement et de partenariat</w:t>
            </w:r>
            <w:r>
              <w:tab/>
            </w:r>
            <w:r>
              <w:fldChar w:fldCharType="begin"/>
            </w:r>
            <w:r>
              <w:instrText xml:space="preserve"> PAGEREF _Toc100062 \h </w:instrText>
            </w:r>
            <w:r>
              <w:fldChar w:fldCharType="separate"/>
            </w:r>
            <w:r>
              <w:t>25</w:t>
            </w:r>
            <w:r>
              <w:fldChar w:fldCharType="end"/>
            </w:r>
          </w:hyperlink>
        </w:p>
        <w:p>
          <w:pPr>
            <w:pStyle w:val="11"/>
            <w:ind w:left="360"/>
            <w:tabs>
              <w:tab w:val="right" w:leader="dot" w:pos="9026"/>
            </w:tabs>
            <w:spacing w:before="120" w:after="60"/>
          </w:pPr>
          <w:hyperlink w:anchor="_Toc100063" w:history="1">
            <w:r>
              <w:rPr>
                <w:rStyle w:val="Hyperlink"/>
              </w:rPr>
              <w:t>15.1 Ce que nous cherchons</w:t>
            </w:r>
            <w:r>
              <w:tab/>
            </w:r>
            <w:r>
              <w:fldChar w:fldCharType="begin"/>
            </w:r>
            <w:r>
              <w:instrText xml:space="preserve"> PAGEREF _Toc100063 \h </w:instrText>
            </w:r>
            <w:r>
              <w:fldChar w:fldCharType="separate"/>
            </w:r>
            <w:r>
              <w:t>25</w:t>
            </w:r>
            <w:r>
              <w:fldChar w:fldCharType="end"/>
            </w:r>
          </w:hyperlink>
        </w:p>
        <w:p>
          <w:pPr>
            <w:pStyle w:val="11"/>
            <w:ind w:left="360"/>
            <w:tabs>
              <w:tab w:val="right" w:leader="dot" w:pos="9026"/>
            </w:tabs>
            <w:spacing w:before="120" w:after="60"/>
          </w:pPr>
          <w:hyperlink w:anchor="_Toc100064" w:history="1">
            <w:r>
              <w:rPr>
                <w:rStyle w:val="Hyperlink"/>
              </w:rPr>
              <w:t>15.2 Utilisation des fonds</w:t>
            </w:r>
            <w:r>
              <w:tab/>
            </w:r>
            <w:r>
              <w:fldChar w:fldCharType="begin"/>
            </w:r>
            <w:r>
              <w:instrText xml:space="preserve"> PAGEREF _Toc100064 \h </w:instrText>
            </w:r>
            <w:r>
              <w:fldChar w:fldCharType="separate"/>
            </w:r>
            <w:r>
              <w:t>26</w:t>
            </w:r>
            <w:r>
              <w:fldChar w:fldCharType="end"/>
            </w:r>
          </w:hyperlink>
        </w:p>
        <w:p>
          <w:pPr>
            <w:pStyle w:val="11"/>
            <w:ind w:left="360"/>
            <w:tabs>
              <w:tab w:val="right" w:leader="dot" w:pos="9026"/>
            </w:tabs>
            <w:spacing w:before="120" w:after="60"/>
          </w:pPr>
          <w:hyperlink w:anchor="_Toc100065" w:history="1">
            <w:r>
              <w:rPr>
                <w:rStyle w:val="Hyperlink"/>
              </w:rPr>
              <w:t>15.3 Retour potentiel</w:t>
            </w:r>
            <w:r>
              <w:tab/>
            </w:r>
            <w:r>
              <w:fldChar w:fldCharType="begin"/>
            </w:r>
            <w:r>
              <w:instrText xml:space="preserve"> PAGEREF _Toc100065 \h </w:instrText>
            </w:r>
            <w:r>
              <w:fldChar w:fldCharType="separate"/>
            </w:r>
            <w:r>
              <w:t>26</w:t>
            </w:r>
            <w:r>
              <w:fldChar w:fldCharType="end"/>
            </w:r>
          </w:hyperlink>
        </w:p>
        <w:p>
          <w:pPr>
            <w:pStyle w:val="11"/>
            <w:ind w:left="360"/>
            <w:tabs>
              <w:tab w:val="right" w:leader="dot" w:pos="9026"/>
            </w:tabs>
            <w:spacing w:before="120" w:after="60"/>
          </w:pPr>
          <w:hyperlink w:anchor="_Toc100066" w:history="1">
            <w:r>
              <w:rPr>
                <w:rStyle w:val="Hyperlink"/>
              </w:rPr>
              <w:t>15.4 Modèles de partenariat</w:t>
            </w:r>
            <w:r>
              <w:tab/>
            </w:r>
            <w:r>
              <w:fldChar w:fldCharType="begin"/>
            </w:r>
            <w:r>
              <w:instrText xml:space="preserve"> PAGEREF _Toc100066 \h </w:instrText>
            </w:r>
            <w:r>
              <w:fldChar w:fldCharType="separate"/>
            </w:r>
            <w:r>
              <w:t>27</w:t>
            </w:r>
            <w:r>
              <w:fldChar w:fldCharType="end"/>
            </w:r>
          </w:hyperlink>
        </w:p>
        <w:p>
          <w:pPr>
            <w:pStyle w:val="9"/>
            <w:tabs>
              <w:tab w:val="right" w:leader="dot" w:pos="9026"/>
            </w:tabs>
            <w:spacing w:before="120" w:after="60"/>
          </w:pPr>
          <w:hyperlink w:anchor="_Toc100067" w:history="1">
            <w:r>
              <w:rPr>
                <w:rStyle w:val="Hyperlink"/>
              </w:rPr>
              <w:t>16. Conclusion et appel à l'action</w:t>
            </w:r>
            <w:r>
              <w:tab/>
            </w:r>
            <w:r>
              <w:fldChar w:fldCharType="begin"/>
            </w:r>
            <w:r>
              <w:instrText xml:space="preserve"> PAGEREF _Toc100067 \h </w:instrText>
            </w:r>
            <w:r>
              <w:fldChar w:fldCharType="separate"/>
            </w:r>
            <w:r>
              <w:t>28</w:t>
            </w:r>
            <w:r>
              <w:fldChar w:fldCharType="end"/>
            </w:r>
          </w:hyperlink>
        </w:p>
        <w:p>
          <w:pPr>
            <w:pStyle w:val="11"/>
            <w:ind w:left="360"/>
            <w:tabs>
              <w:tab w:val="right" w:leader="dot" w:pos="9026"/>
            </w:tabs>
            <w:spacing w:before="120" w:after="60"/>
          </w:pPr>
          <w:hyperlink w:anchor="_Toc100068" w:history="1">
            <w:r>
              <w:rPr>
                <w:rStyle w:val="Hyperlink"/>
              </w:rPr>
              <w:t>Prochaines étapes immédiates</w:t>
            </w:r>
            <w:r>
              <w:tab/>
            </w:r>
            <w:r>
              <w:fldChar w:fldCharType="begin"/>
            </w:r>
            <w:r>
              <w:instrText xml:space="preserve"> PAGEREF _Toc100068 \h </w:instrText>
            </w:r>
            <w:r>
              <w:fldChar w:fldCharType="separate"/>
            </w:r>
            <w:r>
              <w:t>28</w:t>
            </w:r>
            <w:r>
              <w:fldChar w:fldCharType="end"/>
            </w:r>
          </w:hyperlink>
        </w:p>
        <w:p>
          <w:pPr>
            <w:pStyle w:val="11"/>
            <w:ind w:left="360"/>
            <w:tabs>
              <w:tab w:val="right" w:leader="dot" w:pos="9026"/>
            </w:tabs>
            <w:spacing w:before="120" w:after="60"/>
          </w:pPr>
          <w:hyperlink w:anchor="_Toc100069" w:history="1">
            <w:r>
              <w:rPr>
                <w:rStyle w:val="Hyperlink"/>
              </w:rPr>
              <w:t>Contact</w:t>
            </w:r>
            <w:r>
              <w:tab/>
            </w:r>
            <w:r>
              <w:fldChar w:fldCharType="begin"/>
            </w:r>
            <w:r>
              <w:instrText xml:space="preserve"> PAGEREF _Toc100069 \h </w:instrText>
            </w:r>
            <w:r>
              <w:fldChar w:fldCharType="separate"/>
            </w:r>
            <w:r>
              <w:t>29</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FamilleConnect est la première plateforme numérique conçue spécifiquement pour la gouvernance des grandes familles africaines. Elle répond à une réalité profonde : au Cameroun comme dans toute l'Afrique, les grandes familles de 100 à 500 membres se réunissent mensuellement ou trimestriellement, organisent des congrès, partagent des événements heureux et malheureux, cotisent, décident ensemble, et transmettent leur mémoire de génération en génération. Aujourd'hui, cette gestion repose sur une accumulation de groupes WhatsApp, de cahiers, et d'appels téléphoniques — un système qui atteint ses limites avec la dispersion géographique, la taille des familles, et la complexité croissante de la vie moderne.</w:t>
      </w:r>
    </w:p>
    <w:p>
      <w:pPr>
        <w:spacing w:after="160" w:line="312"/>
        <w:ind w:firstLine="360"/>
        <w:jc w:val="left"/>
      </w:pPr>
      <w:r>
        <w:rPr>
          <w:rFonts w:ascii="Calibri" w:eastAsia="Calibri"/>
          <w:color w:val="1A1A1A"/>
          <w:sz w:val="22"/>
          <w:szCs w:val="22"/>
        </w:rPr>
        <w:t xml:space="preserve">La proposition de FamilleConnect est simple : remplacer ce chaos par un système d'exploitation numérique de la famille, structuré en 7 univers complémentaires. La Famille (U1) fournit le socle identitaire — registre, arbre généalogique, branches, rôles. La Vie familiale (U2) orchestre les événements avec un moteur workflow automatisé. La Solidarité (U3) transforme l'entraide en protocole transparent et équitable. Les Finances (U4) intègrent Mobile Money, comptabilité et audit. La Gouvernance (U5) donne leur légitimité aux décisions par 5 niveaux de votes configurables. La Mémoire (U6) archive et transmet le patrimoine immatériel. Le Réseau (U7) transforme la famille en réseau d'opportunités professionnelles et personnelles.</w:t>
      </w:r>
    </w:p>
    <w:p>
      <w:pPr>
        <w:spacing w:after="160" w:line="312"/>
        <w:ind w:firstLine="360"/>
        <w:jc w:val="left"/>
      </w:pPr>
      <w:r>
        <w:rPr>
          <w:rFonts w:ascii="Calibri" w:eastAsia="Calibri"/>
          <w:color w:val="1A1A1A"/>
          <w:sz w:val="22"/>
          <w:szCs w:val="22"/>
        </w:rPr>
        <w:t xml:space="preserve">Le marché ciblé est considérable : on compte au Cameroun plusieurs milliers de grandes familles structurées, plusieurs dizaines de milliers en zone CEMAC, et un potentiel de plusieurs centaines de milliers à l'échelle africaine. Le modèle économique repose sur un freemium jusqu'à 50 membres, puis un abonnement familial modique (10 000 à 25 000 FCFA par an) prélevé sur la caisse familiale. La feuille de route de développement s'étale sur 24 à 30 mois, avec un MVP en 9 mois ciblant les univers 1 et 4 (Famille + Finances), puis une montée en charge progressive des autres univers.</w:t>
      </w:r>
    </w:p>
    <w:p>
      <w:pPr>
        <w:spacing w:after="160" w:line="312"/>
        <w:ind w:firstLine="360"/>
        <w:jc w:val="left"/>
      </w:pPr>
      <w:r>
        <w:rPr>
          <w:rFonts w:ascii="Calibri" w:eastAsia="Calibri"/>
          <w:color w:val="1A1A1A"/>
          <w:sz w:val="22"/>
          <w:szCs w:val="22"/>
        </w:rPr>
        <w:t xml:space="preserve">Le document qui suit présente, en format condensé, les 7 univers de la plateforme, leur architecture globale, le marché ciblé, la feuille de route, les risques et leurs mitigations, les indicateurs de succès, et l'opportunité d'investissement et de partenariat. Il s'adresse aux comités de pilotage, investisseurs, et partenaires stratégiques intéressés par une aventure au croisement de la tech, de la culture africaine, et de l'institution familiale.</w:t>
      </w:r>
    </w:p>
    <w:p>
      <w:pPr>
        <w:pStyle w:val="Heading2"/>
        <w:spacing w:after="160" w:before="320" w:line="340"/>
      </w:pPr>
      <w:bookmarkStart w:id="100001" w:name="_Toc100001"/>
      <w:r>
        <w:rPr>
          <w:rFonts w:ascii="Calibri" w:eastAsia="Calibri"/>
          <w:b/>
          <w:bCs/>
          <w:color w:val="2A4A3A"/>
          <w:sz w:val="28"/>
          <w:szCs w:val="28"/>
        </w:rPr>
        <w:t xml:space="preserve">Les chiffres clés</w:t>
      </w:r>
      <w:bookmarkEnd w:id="100001"/>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7</w:t>
            </w:r>
            <w:r>
              <w:rPr>
                <w:sz w:val="36"/>
                <w:szCs w:val="36"/>
              </w:rPr>
              <w:t xml:space="preserve">  </w:t>
            </w:r>
            <w:r>
              <w:rPr>
                <w:rFonts w:ascii="Calibri" w:eastAsia="Calibri"/>
                <w:color w:val="1A1A1A"/>
                <w:sz w:val="22"/>
                <w:szCs w:val="22"/>
              </w:rPr>
              <w:t xml:space="preserve">univers complémentaires et interconnectés</w:t>
            </w:r>
          </w:p>
          <w:p>
            <w:pPr>
              <w:spacing w:line="280"/>
              <w:jc w:val="left"/>
            </w:pPr>
            <w:r>
              <w:rPr>
                <w:rFonts w:ascii="Calibri" w:eastAsia="Calibri"/>
                <w:i/>
                <w:iCs/>
                <w:color w:val="5A5A5A"/>
                <w:sz w:val="20"/>
                <w:szCs w:val="20"/>
              </w:rPr>
              <w:t xml:space="preserve">Architecture cohérente couvrant toute la vie familiale</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46 000</w:t>
            </w:r>
            <w:r>
              <w:rPr>
                <w:sz w:val="36"/>
                <w:szCs w:val="36"/>
              </w:rPr>
              <w:t xml:space="preserve">  </w:t>
            </w:r>
            <w:r>
              <w:rPr>
                <w:rFonts w:ascii="Calibri" w:eastAsia="Calibri"/>
                <w:color w:val="1A1A1A"/>
                <w:sz w:val="22"/>
                <w:szCs w:val="22"/>
              </w:rPr>
              <w:t xml:space="preserve">mots de spécifications fonctionnelles déjà produites</w:t>
            </w:r>
          </w:p>
          <w:p>
            <w:pPr>
              <w:spacing w:line="280"/>
              <w:jc w:val="left"/>
            </w:pPr>
            <w:r>
              <w:rPr>
                <w:rFonts w:ascii="Calibri" w:eastAsia="Calibri"/>
                <w:i/>
                <w:iCs/>
                <w:color w:val="5A5A5A"/>
                <w:sz w:val="20"/>
                <w:szCs w:val="20"/>
              </w:rPr>
              <w:t xml:space="preserve">7 documents détaillés prêts pour le développement</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9</w:t>
            </w:r>
            <w:r>
              <w:rPr>
                <w:sz w:val="36"/>
                <w:szCs w:val="36"/>
              </w:rPr>
              <w:t xml:space="preserve">  </w:t>
            </w:r>
            <w:r>
              <w:rPr>
                <w:rFonts w:ascii="Calibri" w:eastAsia="Calibri"/>
                <w:color w:val="1A1A1A"/>
                <w:sz w:val="22"/>
                <w:szCs w:val="22"/>
              </w:rPr>
              <w:t xml:space="preserve">mois pour un MVP sur U1 + U4</w:t>
            </w:r>
          </w:p>
          <w:p>
            <w:pPr>
              <w:spacing w:line="280"/>
              <w:jc w:val="left"/>
            </w:pPr>
            <w:r>
              <w:rPr>
                <w:rFonts w:ascii="Calibri" w:eastAsia="Calibri"/>
                <w:i/>
                <w:iCs/>
                <w:color w:val="5A5A5A"/>
                <w:sz w:val="20"/>
                <w:szCs w:val="20"/>
              </w:rPr>
              <w:t xml:space="preserve">Famille + Finances + Mobile Money dès le démarrage</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30 000+</w:t>
            </w:r>
            <w:r>
              <w:rPr>
                <w:sz w:val="36"/>
                <w:szCs w:val="36"/>
              </w:rPr>
              <w:t xml:space="preserve">  </w:t>
            </w:r>
            <w:r>
              <w:rPr>
                <w:rFonts w:ascii="Calibri" w:eastAsia="Calibri"/>
                <w:color w:val="1A1A1A"/>
                <w:sz w:val="22"/>
                <w:szCs w:val="22"/>
              </w:rPr>
              <w:t xml:space="preserve">grandes familles potentielles en zone CEMAC</w:t>
            </w:r>
          </w:p>
          <w:p>
            <w:pPr>
              <w:spacing w:line="280"/>
              <w:jc w:val="left"/>
            </w:pPr>
            <w:r>
              <w:rPr>
                <w:rFonts w:ascii="Calibri" w:eastAsia="Calibri"/>
                <w:i/>
                <w:iCs/>
                <w:color w:val="5A5A5A"/>
                <w:sz w:val="20"/>
                <w:szCs w:val="20"/>
              </w:rPr>
              <w:t xml:space="preserve">Marché initial, extensible à toute l'Afrique</w:t>
            </w:r>
          </w:p>
        </w:tc>
      </w:tr>
    </w:tbl>
    <w:p>
      <w:pPr>
        <w:pStyle w:val="Heading1"/>
        <w:spacing w:after="240" w:before="480" w:line="360"/>
      </w:pPr>
      <w:bookmarkStart w:id="100002" w:name="_Toc100002"/>
      <w:r>
        <w:rPr>
          <w:rFonts w:ascii="Calibri" w:eastAsia="Calibri"/>
          <w:b/>
          <w:bCs/>
          <w:color w:val="2A4A3A"/>
          <w:sz w:val="32"/>
          <w:szCs w:val="32"/>
        </w:rPr>
        <w:t xml:space="preserve">1. Vision et contexte</w:t>
      </w:r>
      <w:bookmarkEnd w:id="100002"/>
    </w:p>
    <w:p>
      <w:pPr>
        <w:pStyle w:val="Heading2"/>
        <w:spacing w:after="160" w:before="320" w:line="340"/>
      </w:pPr>
      <w:bookmarkStart w:id="100003" w:name="_Toc100003"/>
      <w:r>
        <w:rPr>
          <w:rFonts w:ascii="Calibri" w:eastAsia="Calibri"/>
          <w:b/>
          <w:bCs/>
          <w:color w:val="2A4A3A"/>
          <w:sz w:val="28"/>
          <w:szCs w:val="28"/>
        </w:rPr>
        <w:t xml:space="preserve">1.1 Le problème : WhatsApp ne suffit plus</w:t>
      </w:r>
      <w:bookmarkEnd w:id="100003"/>
    </w:p>
    <w:p>
      <w:pPr>
        <w:spacing w:after="160" w:line="312"/>
        <w:ind w:firstLine="360"/>
        <w:jc w:val="left"/>
      </w:pPr>
      <w:r>
        <w:rPr>
          <w:rFonts w:ascii="Calibri" w:eastAsia="Calibri"/>
          <w:color w:val="1A1A1A"/>
          <w:sz w:val="22"/>
          <w:szCs w:val="22"/>
        </w:rPr>
        <w:t xml:space="preserve">Les grandes familles camerounaises et africaines ont adopté WhatsApp comme outil principal de coordination. Mais WhatsApp est un canal de communication, pas un système de gestion. Il ne permet pas de savoir précisément qui est membre de la famille, qui a cotisé, qui doit être informé d'un décès, combien a été collecté, où sont passées les dépenses, quelles décisions ont été prises et par qui, où trouver les archives du dernier congrès, qui sont les mentors disponibles dans la famille, ou qui sont les relais diaspora dans chaque pays.</w:t>
      </w:r>
    </w:p>
    <w:p>
      <w:pPr>
        <w:spacing w:after="160" w:line="312"/>
        <w:ind w:firstLine="360"/>
        <w:jc w:val="left"/>
      </w:pPr>
      <w:r>
        <w:rPr>
          <w:rFonts w:ascii="Calibri" w:eastAsia="Calibri"/>
          <w:color w:val="1A1A1A"/>
          <w:sz w:val="22"/>
          <w:szCs w:val="22"/>
        </w:rPr>
        <w:t xml:space="preserve">Cette limite n'est pas un détail : elle conduit à des pertes d'information, des confusions, des retards, des doubles annonces, des cotisations oubliées, des décisions contestées, des mémoires qui s'effacent avec le décès des anciens. Les familles les plus organisées compensent par des cahiers, des trésoriers bénévoles, et des chefs de famille dévoués — mais le système atteint ses limites quand la dispersion géographique s'accenthe, que la taille dépasse 200 membres, ou que la génération des aînés s'éteint.</w:t>
      </w:r>
    </w:p>
    <w:p>
      <w:pPr>
        <w:pStyle w:val="Heading2"/>
        <w:spacing w:after="160" w:before="320" w:line="340"/>
      </w:pPr>
      <w:bookmarkStart w:id="100004" w:name="_Toc100004"/>
      <w:r>
        <w:rPr>
          <w:rFonts w:ascii="Calibri" w:eastAsia="Calibri"/>
          <w:b/>
          <w:bCs/>
          <w:color w:val="2A4A3A"/>
          <w:sz w:val="28"/>
          <w:szCs w:val="28"/>
        </w:rPr>
        <w:t xml:space="preserve">1.2 L'opportunité : la famille comme institution numérique</w:t>
      </w:r>
      <w:bookmarkEnd w:id="100004"/>
    </w:p>
    <w:p>
      <w:pPr>
        <w:spacing w:after="160" w:line="312"/>
        <w:ind w:firstLine="360"/>
        <w:jc w:val="left"/>
      </w:pPr>
      <w:r>
        <w:rPr>
          <w:rFonts w:ascii="Calibri" w:eastAsia="Calibri"/>
          <w:color w:val="1A1A1A"/>
          <w:sz w:val="22"/>
          <w:szCs w:val="22"/>
        </w:rPr>
        <w:t xml:space="preserve">La proposition de FamilleConnect est de transformer la gestion familiale en institution numérique. Non pas en remplaçant l'autorité traditionnelle du patriarche, ni la chaleur des rassemblements, ni la transmission orale des anciens — mais en apportant la transparence, la traçabilité, et l'accessibilité qui manquent. La famille devient une institution capable de décider ensemble, de respecter ses décisions, d'archiver sa mémoire, et de transmettre son patrimoine aux générations futures.</w:t>
      </w:r>
    </w:p>
    <w:p>
      <w:pPr>
        <w:spacing w:after="160" w:line="312"/>
        <w:ind w:firstLine="360"/>
        <w:jc w:val="left"/>
      </w:pPr>
      <w:r>
        <w:rPr>
          <w:rFonts w:ascii="Calibri" w:eastAsia="Calibri"/>
          <w:color w:val="1A1A1A"/>
          <w:sz w:val="22"/>
          <w:szCs w:val="22"/>
        </w:rPr>
        <w:t xml:space="preserve">Cette proposition est adaptée aux réalités africaines : intégration native du Mobile Money (MTN MoMo, Orange Money), prise en compte de la polygamie, de l'adoption traditionnelle, de la diaspora, des cérémonies traditionnelles, des langues locales. Elle respecte l'hybridité des familles, qui ne fonctionnent ni sur un modèle purement traditionnel ni sur un modèle purement démocratique, mais sur un mélange configurable des deux.</w:t>
      </w:r>
    </w:p>
    <w:p>
      <w:pPr>
        <w:pStyle w:val="Heading2"/>
        <w:spacing w:after="160" w:before="320" w:line="340"/>
      </w:pPr>
      <w:bookmarkStart w:id="100005" w:name="_Toc100005"/>
      <w:r>
        <w:rPr>
          <w:rFonts w:ascii="Calibri" w:eastAsia="Calibri"/>
          <w:b/>
          <w:bCs/>
          <w:color w:val="2A4A3A"/>
          <w:sz w:val="28"/>
          <w:szCs w:val="28"/>
        </w:rPr>
        <w:t xml:space="preserve">1.3 Public cible</w:t>
      </w:r>
      <w:bookmarkEnd w:id="100005"/>
    </w:p>
    <w:p>
      <w:pPr>
        <w:spacing w:after="160" w:line="312"/>
        <w:ind w:firstLine="360"/>
        <w:jc w:val="left"/>
      </w:pPr>
      <w:r>
        <w:rPr>
          <w:rFonts w:ascii="Calibri" w:eastAsia="Calibri"/>
          <w:color w:val="1A1A1A"/>
          <w:sz w:val="22"/>
          <w:szCs w:val="22"/>
        </w:rPr>
        <w:t xml:space="preserve">FamilleConnect s'adresse aux grandes familles structurées, typiquement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Taille —</w:t>
      </w:r>
      <w:r>
        <w:rPr>
          <w:rFonts w:ascii="Calibri" w:eastAsia="Calibri"/>
          <w:color w:val="1A1A1A"/>
          <w:sz w:val="22"/>
          <w:szCs w:val="22"/>
        </w:rPr>
        <w:t xml:space="preserve"> 100 à 500 membres vivants, répartis sur plusieurs branches et plusieurs générations.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Organisation —</w:t>
      </w:r>
      <w:r>
        <w:rPr>
          <w:rFonts w:ascii="Calibri" w:eastAsia="Calibri"/>
          <w:color w:val="1A1A1A"/>
          <w:sz w:val="22"/>
          <w:szCs w:val="22"/>
        </w:rPr>
        <w:t xml:space="preserve"> Disposant d'un patriarche ou d'un conseil familial, de chefs de branche, de reunions régulières (mensuelles ou trimestrielles), et d'un congrès annuel ou biennal.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Activité financière —</w:t>
      </w:r>
      <w:r>
        <w:rPr>
          <w:rFonts w:ascii="Calibri" w:eastAsia="Calibri"/>
          <w:color w:val="1A1A1A"/>
          <w:sz w:val="22"/>
          <w:szCs w:val="22"/>
        </w:rPr>
        <w:t xml:space="preserve"> Cotisations régulières, caisse familiale, collectes de solidarité pour décès et événements.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Dispersion —</w:t>
      </w:r>
      <w:r>
        <w:rPr>
          <w:rFonts w:ascii="Calibri" w:eastAsia="Calibri"/>
          <w:color w:val="1A1A1A"/>
          <w:sz w:val="22"/>
          <w:szCs w:val="22"/>
        </w:rPr>
        <w:t xml:space="preserve"> Membres répartis sur plusieurs villes du Cameroun, et souvent une diaspora dans plusieurs pays.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Tradition —</w:t>
      </w:r>
      <w:r>
        <w:rPr>
          <w:rFonts w:ascii="Calibri" w:eastAsia="Calibri"/>
          <w:color w:val="1A1A1A"/>
          <w:sz w:val="22"/>
          <w:szCs w:val="22"/>
        </w:rPr>
        <w:t xml:space="preserve"> Soucieuses de préserver leur mémoire, leurs traditions, et leur identité familiale.</w:t>
      </w:r>
    </w:p>
    <w:p>
      <w:pPr>
        <w:pStyle w:val="Heading2"/>
        <w:spacing w:after="160" w:before="320" w:line="340"/>
      </w:pPr>
      <w:bookmarkStart w:id="100006" w:name="_Toc100006"/>
      <w:r>
        <w:rPr>
          <w:rFonts w:ascii="Calibri" w:eastAsia="Calibri"/>
          <w:b/>
          <w:bCs/>
          <w:color w:val="2A4A3A"/>
          <w:sz w:val="28"/>
          <w:szCs w:val="28"/>
        </w:rPr>
        <w:t xml:space="preserve">1.4 Taille du marché</w:t>
      </w:r>
      <w:bookmarkEnd w:id="100006"/>
    </w:p>
    <w:p>
      <w:pPr>
        <w:keepNext/>
        <w:spacing w:after="120" w:before="240"/>
        <w:jc w:val="left"/>
      </w:pPr>
      <w:r>
        <w:rPr>
          <w:rFonts w:ascii="Calibri" w:eastAsia="Calibri"/>
          <w:b/>
          <w:bCs/>
          <w:color w:val="2A4A3A"/>
          <w:sz w:val="20"/>
          <w:szCs w:val="20"/>
        </w:rPr>
        <w:t xml:space="preserve">Tableau 1 — Estimation de la taille du marché</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Zone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Grandes familles éligibles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Membres potentiels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Potentiel annuel (FCFA)</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Cameroun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3 000 – 5 000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600 000 – 1 000 000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60 – 100 millions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Zone CEMAC (Gabon, Tchad, RCA, Congo, Guinée)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10 000 – 15 000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 – 3 millions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200 – 300 millions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Afrique francophone élargie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50 000+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 millions+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 – 2 milliards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Diaspora africaine (Europe, Amérique du Nord)</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 millions+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Marché complémentaire</w:t>
            </w:r>
          </w:p>
        </w:tc>
      </w:tr>
    </w:tbl>
    <w:p>
      <w:pPr>
        <w:spacing w:after="160" w:line="312"/>
        <w:ind w:firstLine="360"/>
        <w:jc w:val="left"/>
      </w:pPr>
      <w:r>
        <w:rPr>
          <w:rFonts w:ascii="Calibri" w:eastAsia="Calibri"/>
          <w:color w:val="1A1A1A"/>
          <w:sz w:val="22"/>
          <w:szCs w:val="22"/>
        </w:rPr>
        <w:t xml:space="preserve">Ces estimations sont conservatrices et basées sur des hypothèses de pénétration progressive (5 à 15 % sur 5 ans). Le potentiel de croissance est significatif, notamment avec l'extension à d'autres formes de communautés structurées (associations villageoises, tontines, congrégations religieuses).</w:t>
      </w:r>
    </w:p>
    <w:p>
      <w:pPr>
        <w:pStyle w:val="Heading1"/>
        <w:spacing w:after="240" w:before="480" w:line="360"/>
      </w:pPr>
      <w:bookmarkStart w:id="100007" w:name="_Toc100007"/>
      <w:r>
        <w:rPr>
          <w:rFonts w:ascii="Calibri" w:eastAsia="Calibri"/>
          <w:b/>
          <w:bCs/>
          <w:color w:val="2A4A3A"/>
          <w:sz w:val="32"/>
          <w:szCs w:val="32"/>
        </w:rPr>
        <w:t xml:space="preserve">2. Les 7 univers en un coup d'œil</w:t>
      </w:r>
      <w:bookmarkEnd w:id="100007"/>
    </w:p>
    <w:p>
      <w:pPr>
        <w:spacing w:after="160" w:line="312"/>
        <w:ind w:firstLine="360"/>
        <w:jc w:val="left"/>
      </w:pPr>
      <w:r>
        <w:rPr>
          <w:rFonts w:ascii="Calibri" w:eastAsia="Calibri"/>
          <w:color w:val="1A1A1A"/>
          <w:sz w:val="22"/>
          <w:szCs w:val="22"/>
        </w:rPr>
        <w:t xml:space="preserve">FamilleConnect est structurée en 7 univers complémentaires, chacun couvrant une dimension essentielle de la vie familiale. Chaque univers possède son propre module de spécifications détaillées (disponible séparément, ~6 000 mots par univers), et s'intègre aux autres par des interfaces claires.</w:t>
      </w:r>
    </w:p>
    <w:p>
      <w:pPr>
        <w:keepNext/>
        <w:spacing w:after="120" w:before="240"/>
        <w:jc w:val="left"/>
      </w:pPr>
      <w:r>
        <w:rPr>
          <w:rFonts w:ascii="Calibri" w:eastAsia="Calibri"/>
          <w:b/>
          <w:bCs/>
          <w:color w:val="2A4A3A"/>
          <w:sz w:val="20"/>
          <w:szCs w:val="20"/>
        </w:rPr>
        <w:t xml:space="preserve">Tableau 2 — Synoptique des 7 univers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Univers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Rôle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Modules clés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KPI phare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U1 — La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Socle identitaire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Registre, arbre, branches, rôles,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 complétude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U2 — La Vie familiale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 workflow</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Calendrier, dossier, moteur workflow, albums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 min annonce décès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U3 — La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Cœur battant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collecte, suivi, équité, audit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 h déclenchement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U4 — Les Finances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Poumon technique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Caisse, cotisations, Mobile Money, comptabilité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80 % cotisation à jour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 — La Gouvernance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Pilier invisible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Votes (5 niveaux), comités, élections, PV</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 participation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U6 — La Mémoire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Gardien du patrimoine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Bibliothèque, albums, anciens, traditions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100 % archivage auto</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U7 — Le Réseau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Levier d'opportunités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Compétences, entraide, mentorat,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 profil compétences</w:t>
            </w:r>
          </w:p>
        </w:tc>
      </w:tr>
    </w:tbl>
    <w:p>
      <w:pPr>
        <w:pStyle w:val="Heading2"/>
        <w:spacing w:after="160" w:before="320" w:line="340"/>
      </w:pPr>
      <w:bookmarkStart w:id="100008" w:name="_Toc100008"/>
      <w:r>
        <w:rPr>
          <w:rFonts w:ascii="Calibri" w:eastAsia="Calibri"/>
          <w:b/>
          <w:bCs/>
          <w:color w:val="2A4A3A"/>
          <w:sz w:val="28"/>
          <w:szCs w:val="28"/>
        </w:rPr>
        <w:t xml:space="preserve">Architecture globale</w:t>
      </w:r>
      <w:bookmarkEnd w:id="100008"/>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FAMILLECONNECT — 7 UNIVERS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U1 — LA FAMILLE (socle, fondation de tout)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w:t>
      </w:r>
    </w:p>
    <w:p>
      <w:pPr>
        <w:spacing w:after="0" w:line="240"/>
        <w:ind w:left="240"/>
        <w:jc w:val="left"/>
      </w:pPr>
      <w:r>
        <w:rPr>
          <w:rFonts w:ascii="Consolas" w:eastAsia="Consolas"/>
          <w:color w:val="1A1A1A"/>
          <w:sz w:val="18"/>
          <w:szCs w:val="18"/>
        </w:rPr>
        <w:t xml:space="preserve">│           ▼             ▼             ▼             ▼         │</w:t>
      </w:r>
    </w:p>
    <w:p>
      <w:pPr>
        <w:spacing w:after="0" w:line="240"/>
        <w:ind w:left="240"/>
        <w:jc w:val="left"/>
      </w:pPr>
      <w:r>
        <w:rPr>
          <w:rFonts w:ascii="Consolas" w:eastAsia="Consolas"/>
          <w:color w:val="1A1A1A"/>
          <w:sz w:val="18"/>
          <w:szCs w:val="18"/>
        </w:rPr>
        <w:t xml:space="preserve">│   ┌─────────────┐ ┌─────────────┐ ┌─────────────┐ ┌────────┐ │</w:t>
      </w:r>
    </w:p>
    <w:p>
      <w:pPr>
        <w:spacing w:after="0" w:line="240"/>
        <w:ind w:left="240"/>
        <w:jc w:val="left"/>
      </w:pPr>
      <w:r>
        <w:rPr>
          <w:rFonts w:ascii="Consolas" w:eastAsia="Consolas"/>
          <w:color w:val="1A1A1A"/>
          <w:sz w:val="18"/>
          <w:szCs w:val="18"/>
        </w:rPr>
        <w:t xml:space="preserve">│   │ U2 Vie      │ │ U3 Solida-  │ │ U4 Finances │ │ U5     │ │</w:t>
      </w:r>
    </w:p>
    <w:p>
      <w:pPr>
        <w:spacing w:after="0" w:line="240"/>
        <w:ind w:left="240"/>
        <w:jc w:val="left"/>
      </w:pPr>
      <w:r>
        <w:rPr>
          <w:rFonts w:ascii="Consolas" w:eastAsia="Consolas"/>
          <w:color w:val="1A1A1A"/>
          <w:sz w:val="18"/>
          <w:szCs w:val="18"/>
        </w:rPr>
        <w:t xml:space="preserve">│   │ familiale   │ │ rité        │ │             │ │ Gou-   │ │</w:t>
      </w:r>
    </w:p>
    <w:p>
      <w:pPr>
        <w:spacing w:after="0" w:line="240"/>
        <w:ind w:left="240"/>
        <w:jc w:val="left"/>
      </w:pPr>
      <w:r>
        <w:rPr>
          <w:rFonts w:ascii="Consolas" w:eastAsia="Consolas"/>
          <w:color w:val="1A1A1A"/>
          <w:sz w:val="18"/>
          <w:szCs w:val="18"/>
        </w:rPr>
        <w:t xml:space="preserve">│   │ (workflow)  │ │ (collectes) │ │ (Mobile Mo) │ │ vern.  │ │</w:t>
      </w:r>
    </w:p>
    <w:p>
      <w:pPr>
        <w:spacing w:after="0" w:line="240"/>
        <w:ind w:left="240"/>
        <w:jc w:val="left"/>
      </w:pPr>
      <w:r>
        <w:rPr>
          <w:rFonts w:ascii="Consolas" w:eastAsia="Consolas"/>
          <w:color w:val="1A1A1A"/>
          <w:sz w:val="18"/>
          <w:szCs w:val="18"/>
        </w:rPr>
        <w:t xml:space="preserve">│   └──────┬──────┘ └──────┬──────┘ └──────┬──────┘ └───┬────┘ │</w:t>
      </w:r>
    </w:p>
    <w:p>
      <w:pPr>
        <w:spacing w:after="0" w:line="240"/>
        <w:ind w:left="240"/>
        <w:jc w:val="left"/>
      </w:pPr>
      <w:r>
        <w:rPr>
          <w:rFonts w:ascii="Consolas" w:eastAsia="Consolas"/>
          <w:color w:val="1A1A1A"/>
          <w:sz w:val="18"/>
          <w:szCs w:val="18"/>
        </w:rPr>
        <w:t xml:space="preserve">│          │               │               │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U6 La Mémoire       │                    │</w:t>
      </w:r>
    </w:p>
    <w:p>
      <w:pPr>
        <w:spacing w:after="0" w:line="240"/>
        <w:ind w:left="240"/>
        <w:jc w:val="left"/>
      </w:pPr>
      <w:r>
        <w:rPr>
          <w:rFonts w:ascii="Consolas" w:eastAsia="Consolas"/>
          <w:color w:val="1A1A1A"/>
          <w:sz w:val="18"/>
          <w:szCs w:val="18"/>
        </w:rPr>
        <w:t xml:space="preserve">│                   │  (archives auto)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U7 Le Réseau (transversal)        │              │</w:t>
      </w:r>
    </w:p>
    <w:p>
      <w:pPr>
        <w:spacing w:after="0" w:line="240"/>
        <w:ind w:left="240"/>
        <w:jc w:val="left"/>
      </w:pPr>
      <w:r>
        <w:rPr>
          <w:rFonts w:ascii="Consolas" w:eastAsia="Consolas"/>
          <w:color w:val="1A1A1A"/>
          <w:sz w:val="18"/>
          <w:szCs w:val="18"/>
        </w:rPr>
        <w:t xml:space="preserve">│           │  compétences, mentorat, diaspora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globale des 7 univers</w:t>
      </w:r>
    </w:p>
    <w:p>
      <w:pPr>
        <w:pStyle w:val="Heading1"/>
        <w:spacing w:after="240" w:before="480" w:line="360"/>
      </w:pPr>
      <w:bookmarkStart w:id="100009" w:name="_Toc100009"/>
      <w:r>
        <w:rPr>
          <w:rFonts w:ascii="Calibri" w:eastAsia="Calibri"/>
          <w:b/>
          <w:bCs/>
          <w:color w:val="2A4A3A"/>
          <w:sz w:val="32"/>
          <w:szCs w:val="32"/>
        </w:rPr>
        <w:t xml:space="preserve">3. Univers 1 — La Famille</w:t>
      </w:r>
      <w:bookmarkEnd w:id="100009"/>
    </w:p>
    <w:tbl>
      <w:tblPr>
        <w:tblW w:type="pct" w:w="5000"/>
        <w:tblBorders>
          <w:top w:val="single" w:color="C89F62" w:sz="12"/>
          <w:left w:val="none" w:color="FFFFFF" w:sz="0"/>
          <w:bottom w:val="single" w:color="2A4A3A" w:sz="4"/>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160"/>
              <w:left w:type="dxa" w:w="240"/>
              <w:bottom w:type="dxa" w:w="160"/>
              <w:right w:type="dxa" w:w="240"/>
            </w:tcMar>
          </w:tcPr>
          <w:p>
            <w:pPr>
              <w:spacing w:after="120" w:line="320"/>
              <w:jc w:val="left"/>
            </w:pPr>
            <w:r>
              <w:rPr>
                <w:rFonts w:ascii="Calibri" w:eastAsia="Calibri"/>
                <w:b/>
                <w:bCs/>
                <w:color w:val="C89F62"/>
                <w:spacing w:val="40"/>
                <w:sz w:val="18"/>
                <w:szCs w:val="18"/>
              </w:rPr>
              <w:t xml:space="preserve">UNIVERS 1</w:t>
            </w:r>
            <w:r>
              <w:rPr>
                <w:sz w:val="22"/>
                <w:szCs w:val="22"/>
              </w:rPr>
              <w:t xml:space="preserve">    </w:t>
            </w:r>
            <w:r>
              <w:rPr>
                <w:rFonts w:ascii="Calibri" w:eastAsia="Calibri"/>
                <w:b/>
                <w:bCs/>
                <w:color w:val="2A4A3A"/>
                <w:sz w:val="32"/>
                <w:szCs w:val="32"/>
              </w:rPr>
              <w:t xml:space="preserve">La Famille</w:t>
            </w:r>
          </w:p>
        </w:tc>
      </w:tr>
    </w:tbl>
    <w:p>
      <w:pPr>
        <w:spacing w:after="0" w:before="0"/>
      </w:pPr>
    </w:p>
    <w:p>
      <w:pPr>
        <w:pStyle w:val="Heading2"/>
        <w:spacing w:after="160" w:before="320" w:line="340"/>
      </w:pPr>
      <w:bookmarkStart w:id="100010" w:name="_Toc100010"/>
      <w:r>
        <w:rPr>
          <w:rFonts w:ascii="Calibri" w:eastAsia="Calibri"/>
          <w:b/>
          <w:bCs/>
          <w:color w:val="2A4A3A"/>
          <w:sz w:val="28"/>
          <w:szCs w:val="28"/>
        </w:rPr>
        <w:t xml:space="preserve">Rôle</w:t>
      </w:r>
      <w:bookmarkEnd w:id="100010"/>
    </w:p>
    <w:p>
      <w:pPr>
        <w:spacing w:after="160" w:line="312"/>
        <w:ind w:firstLine="360"/>
        <w:jc w:val="left"/>
      </w:pPr>
      <w:r>
        <w:rPr>
          <w:rFonts w:ascii="Calibri" w:eastAsia="Calibri"/>
          <w:color w:val="1A1A1A"/>
          <w:sz w:val="22"/>
          <w:szCs w:val="22"/>
        </w:rPr>
        <w:t xml:space="preserve">L'Univers 1 est la fondation de toute la plateforme. Sans registre structuré des membres, sans arbre généalogique fiable, sans identification claire des branches et des rôles, aucun autre univers ne peut fonctionner. C'est le socle non négociable, à livrer en premier. Il encode l'identité, la mémoire et l'autorité légitime de la famille.</w:t>
      </w:r>
    </w:p>
    <w:p>
      <w:pPr>
        <w:pStyle w:val="Heading2"/>
        <w:spacing w:after="160" w:before="320" w:line="340"/>
      </w:pPr>
      <w:bookmarkStart w:id="100011" w:name="_Toc100011"/>
      <w:r>
        <w:rPr>
          <w:rFonts w:ascii="Calibri" w:eastAsia="Calibri"/>
          <w:b/>
          <w:bCs/>
          <w:color w:val="2A4A3A"/>
          <w:sz w:val="28"/>
          <w:szCs w:val="28"/>
        </w:rPr>
        <w:t xml:space="preserve">Fonctionnalités clés</w:t>
      </w:r>
      <w:bookmarkEnd w:id="100011"/>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Registre structuré des membres —</w:t>
      </w:r>
      <w:r>
        <w:rPr>
          <w:rFonts w:ascii="Calibri" w:eastAsia="Calibri"/>
          <w:color w:val="1A1A1A"/>
          <w:sz w:val="22"/>
          <w:szCs w:val="22"/>
        </w:rPr>
        <w:t xml:space="preserve"> fiche membre en 9 blocs (identité, filiation, appartenance, situation, contact, profession, santé, préférences, mémoire), avec gestion des décédés, des conjoints externes, et des brouillés.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Arbre généalogique interactif —</w:t>
      </w:r>
      <w:r>
        <w:rPr>
          <w:rFonts w:ascii="Calibri" w:eastAsia="Calibri"/>
          <w:color w:val="1A1A1A"/>
          <w:sz w:val="22"/>
          <w:szCs w:val="22"/>
        </w:rPr>
        <w:t xml:space="preserve"> navigation par branches, gestion des unions multiples (polygamie, remariages), cas limites de filiation (adoption traditionnelle, père inconnu, filiation par alliance).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Hiérarchie des rôles —</w:t>
      </w:r>
      <w:r>
        <w:rPr>
          <w:rFonts w:ascii="Calibri" w:eastAsia="Calibri"/>
          <w:color w:val="1A1A1A"/>
          <w:sz w:val="22"/>
          <w:szCs w:val="22"/>
        </w:rPr>
        <w:t xml:space="preserve"> 5 niveaux (patriarche, conseil, chef de branche, membre adulte, membre junior), avec permissions graduées et traçabilité des transitions de pouvoir.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Cartographie de la diaspora —</w:t>
      </w:r>
      <w:r>
        <w:rPr>
          <w:rFonts w:ascii="Calibri" w:eastAsia="Calibri"/>
          <w:color w:val="1A1A1A"/>
          <w:sz w:val="22"/>
          <w:szCs w:val="22"/>
        </w:rPr>
        <w:t xml:space="preserve"> localisation des membres par pays et ville, fuseaux horaires, relais par pays, vue carte mondiale.</w:t>
      </w:r>
    </w:p>
    <w:p>
      <w:pPr>
        <w:pStyle w:val="Heading2"/>
        <w:spacing w:after="160" w:before="320" w:line="340"/>
      </w:pPr>
      <w:bookmarkStart w:id="100012" w:name="_Toc100012"/>
      <w:r>
        <w:rPr>
          <w:rFonts w:ascii="Calibri" w:eastAsia="Calibri"/>
          <w:b/>
          <w:bCs/>
          <w:color w:val="2A4A3A"/>
          <w:sz w:val="28"/>
          <w:szCs w:val="28"/>
        </w:rPr>
        <w:t xml:space="preserve">Différenciateur</w:t>
      </w:r>
      <w:bookmarkEnd w:id="100012"/>
    </w:p>
    <w:p>
      <w:pPr>
        <w:spacing w:after="160" w:line="312"/>
        <w:ind w:firstLine="360"/>
        <w:jc w:val="left"/>
      </w:pPr>
      <w:r>
        <w:rPr>
          <w:rFonts w:ascii="Calibri" w:eastAsia="Calibri"/>
          <w:color w:val="1A1A1A"/>
          <w:sz w:val="22"/>
          <w:szCs w:val="22"/>
        </w:rPr>
        <w:t xml:space="preserve">La prise en charge explicite des réalités africaines : polygamie, adoption traditionnelle, conjoints externes, cérémonies secrètes, cas de brouille familiale, membres diaspora. Aucune application grand public ne gère correctement ces cas, qui sont pourtant le quotidien des grandes familles camerounaises.</w:t>
      </w:r>
    </w:p>
    <w:p>
      <w:pPr>
        <w:pStyle w:val="Heading2"/>
        <w:spacing w:after="160" w:before="320" w:line="340"/>
      </w:pPr>
      <w:bookmarkStart w:id="100013" w:name="_Toc100013"/>
      <w:r>
        <w:rPr>
          <w:rFonts w:ascii="Calibri" w:eastAsia="Calibri"/>
          <w:b/>
          <w:bCs/>
          <w:color w:val="2A4A3A"/>
          <w:sz w:val="28"/>
          <w:szCs w:val="28"/>
        </w:rPr>
        <w:t xml:space="preserve">KPI phare</w:t>
      </w:r>
      <w:bookmarkEnd w:id="100013"/>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 90 %</w:t>
            </w:r>
            <w:r>
              <w:rPr>
                <w:sz w:val="36"/>
                <w:szCs w:val="36"/>
              </w:rPr>
              <w:t xml:space="preserve">  </w:t>
            </w:r>
            <w:r>
              <w:rPr>
                <w:rFonts w:ascii="Calibri" w:eastAsia="Calibri"/>
                <w:color w:val="1A1A1A"/>
                <w:sz w:val="22"/>
                <w:szCs w:val="22"/>
              </w:rPr>
              <w:t xml:space="preserve">de complétude du registre visé en année 1</w:t>
            </w:r>
          </w:p>
          <w:p>
            <w:pPr>
              <w:spacing w:line="280"/>
              <w:jc w:val="left"/>
            </w:pPr>
            <w:r>
              <w:rPr>
                <w:rFonts w:ascii="Calibri" w:eastAsia="Calibri"/>
                <w:i/>
                <w:iCs/>
                <w:color w:val="5A5A5A"/>
                <w:sz w:val="20"/>
                <w:szCs w:val="20"/>
              </w:rPr>
              <w:t xml:space="preserve">Fiches membres avec tous les blocs obligatoires remplis</w:t>
            </w:r>
          </w:p>
        </w:tc>
      </w:tr>
    </w:tbl>
    <w:p>
      <w:pPr>
        <w:pStyle w:val="Heading1"/>
        <w:spacing w:after="240" w:before="480" w:line="360"/>
      </w:pPr>
      <w:bookmarkStart w:id="100014" w:name="_Toc100014"/>
      <w:r>
        <w:rPr>
          <w:rFonts w:ascii="Calibri" w:eastAsia="Calibri"/>
          <w:b/>
          <w:bCs/>
          <w:color w:val="2A4A3A"/>
          <w:sz w:val="32"/>
          <w:szCs w:val="32"/>
        </w:rPr>
        <w:t xml:space="preserve">4. Univers 2 — La Vie familiale</w:t>
      </w:r>
      <w:bookmarkEnd w:id="100014"/>
    </w:p>
    <w:tbl>
      <w:tblPr>
        <w:tblW w:type="pct" w:w="5000"/>
        <w:tblBorders>
          <w:top w:val="single" w:color="C89F62" w:sz="12"/>
          <w:left w:val="none" w:color="FFFFFF" w:sz="0"/>
          <w:bottom w:val="single" w:color="2A4A3A" w:sz="4"/>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160"/>
              <w:left w:type="dxa" w:w="240"/>
              <w:bottom w:type="dxa" w:w="160"/>
              <w:right w:type="dxa" w:w="240"/>
            </w:tcMar>
          </w:tcPr>
          <w:p>
            <w:pPr>
              <w:spacing w:after="120" w:line="320"/>
              <w:jc w:val="left"/>
            </w:pPr>
            <w:r>
              <w:rPr>
                <w:rFonts w:ascii="Calibri" w:eastAsia="Calibri"/>
                <w:b/>
                <w:bCs/>
                <w:color w:val="C89F62"/>
                <w:spacing w:val="40"/>
                <w:sz w:val="18"/>
                <w:szCs w:val="18"/>
              </w:rPr>
              <w:t xml:space="preserve">UNIVERS 2</w:t>
            </w:r>
            <w:r>
              <w:rPr>
                <w:sz w:val="22"/>
                <w:szCs w:val="22"/>
              </w:rPr>
              <w:t xml:space="preserve">    </w:t>
            </w:r>
            <w:r>
              <w:rPr>
                <w:rFonts w:ascii="Calibri" w:eastAsia="Calibri"/>
                <w:b/>
                <w:bCs/>
                <w:color w:val="2A4A3A"/>
                <w:sz w:val="32"/>
                <w:szCs w:val="32"/>
              </w:rPr>
              <w:t xml:space="preserve">La Vie familiale</w:t>
            </w:r>
          </w:p>
        </w:tc>
      </w:tr>
    </w:tbl>
    <w:p>
      <w:pPr>
        <w:spacing w:after="0" w:before="0"/>
      </w:pPr>
    </w:p>
    <w:p>
      <w:pPr>
        <w:pStyle w:val="Heading2"/>
        <w:spacing w:after="160" w:before="320" w:line="340"/>
      </w:pPr>
      <w:bookmarkStart w:id="100015" w:name="_Toc100015"/>
      <w:r>
        <w:rPr>
          <w:rFonts w:ascii="Calibri" w:eastAsia="Calibri"/>
          <w:b/>
          <w:bCs/>
          <w:color w:val="2A4A3A"/>
          <w:sz w:val="28"/>
          <w:szCs w:val="28"/>
        </w:rPr>
        <w:t xml:space="preserve">Rôle</w:t>
      </w:r>
      <w:bookmarkEnd w:id="100015"/>
    </w:p>
    <w:p>
      <w:pPr>
        <w:spacing w:after="160" w:line="312"/>
        <w:ind w:firstLine="360"/>
        <w:jc w:val="left"/>
      </w:pPr>
      <w:r>
        <w:rPr>
          <w:rFonts w:ascii="Calibri" w:eastAsia="Calibri"/>
          <w:color w:val="1A1A1A"/>
          <w:sz w:val="22"/>
          <w:szCs w:val="22"/>
        </w:rPr>
        <w:t xml:space="preserve">L'Univers 2 transforme le chaos événementiel en protocole maîtrisé. Naissances, mariages, décès, congrès, réunions de branche, réussites scolaires, maladies graves : tous les événements de la vie familiale sont centralisés dans un calendrier unique et déclenchent des workflows automatisés. La famille ne bricole plus, elle exécute un protocole.</w:t>
      </w:r>
    </w:p>
    <w:p>
      <w:pPr>
        <w:pStyle w:val="Heading2"/>
        <w:spacing w:after="160" w:before="320" w:line="340"/>
      </w:pPr>
      <w:bookmarkStart w:id="100016" w:name="_Toc100016"/>
      <w:r>
        <w:rPr>
          <w:rFonts w:ascii="Calibri" w:eastAsia="Calibri"/>
          <w:b/>
          <w:bCs/>
          <w:color w:val="2A4A3A"/>
          <w:sz w:val="28"/>
          <w:szCs w:val="28"/>
        </w:rPr>
        <w:t xml:space="preserve">Fonctionnalités clés</w:t>
      </w:r>
      <w:bookmarkEnd w:id="100016"/>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Catalogue de 23 types d'événements —</w:t>
      </w:r>
      <w:r>
        <w:rPr>
          <w:rFonts w:ascii="Calibri" w:eastAsia="Calibri"/>
          <w:color w:val="1A1A1A"/>
          <w:sz w:val="22"/>
          <w:szCs w:val="22"/>
        </w:rPr>
        <w:t xml:space="preserve"> 3 familles (heureux, malheureux, institutionnels), avec workflows types configurables par chaque famille selon ses traditions.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Moteur workflow automatisé —</w:t>
      </w:r>
      <w:r>
        <w:rPr>
          <w:rFonts w:ascii="Calibri" w:eastAsia="Calibri"/>
          <w:color w:val="1A1A1A"/>
          <w:sz w:val="22"/>
          <w:szCs w:val="22"/>
        </w:rPr>
        <w:t xml:space="preserve"> déclenchement automatique des étapes (annonce, comité, collecte, programme, logistique, album, clôture), avec suivi temps réel et relances. Workflow décès en 8 étapes, mariage en 9, congrès en 10.</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Calendrier intelligent —</w:t>
      </w:r>
      <w:r>
        <w:rPr>
          <w:rFonts w:ascii="Calibri" w:eastAsia="Calibri"/>
          <w:color w:val="1A1A1A"/>
          <w:sz w:val="22"/>
          <w:szCs w:val="22"/>
        </w:rPr>
        <w:t xml:space="preserve"> vues mensuelle/hebdomadaire/annuelle, filtres par branche/type/lieu, rappels automatiques respectant les fuseaux horaires, synchronisation calendriers externes (Google, Apple, Outlook).</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Inscriptions et logistique —</w:t>
      </w:r>
      <w:r>
        <w:rPr>
          <w:rFonts w:ascii="Calibri" w:eastAsia="Calibri"/>
          <w:color w:val="1A1A1A"/>
          <w:sz w:val="22"/>
          <w:szCs w:val="22"/>
        </w:rPr>
        <w:t xml:space="preserve"> gestion des présences (présentiel + visio pour diaspora), hébergement, transport, restauration, tâches assignées.</w:t>
      </w:r>
    </w:p>
    <w:p>
      <w:pPr>
        <w:pStyle w:val="Heading2"/>
        <w:spacing w:after="160" w:before="320" w:line="340"/>
      </w:pPr>
      <w:bookmarkStart w:id="100017" w:name="_Toc100017"/>
      <w:r>
        <w:rPr>
          <w:rFonts w:ascii="Calibri" w:eastAsia="Calibri"/>
          <w:b/>
          <w:bCs/>
          <w:color w:val="2A4A3A"/>
          <w:sz w:val="28"/>
          <w:szCs w:val="28"/>
        </w:rPr>
        <w:t xml:space="preserve">Différenciateur</w:t>
      </w:r>
      <w:bookmarkEnd w:id="100017"/>
    </w:p>
    <w:p>
      <w:pPr>
        <w:spacing w:after="160" w:line="312"/>
        <w:ind w:firstLine="360"/>
        <w:jc w:val="left"/>
      </w:pPr>
      <w:r>
        <w:rPr>
          <w:rFonts w:ascii="Calibri" w:eastAsia="Calibri"/>
          <w:color w:val="1A1A1A"/>
          <w:sz w:val="22"/>
          <w:szCs w:val="22"/>
        </w:rPr>
        <w:t xml:space="preserve">Le moteur workflow automatisé est le cœur de la transformation. Aucun outil existant ne propose cette capacité : aujourd'hui, chaque décès déclenche une mobilisation ad hoc qui se perd dans les groupes WhatsApp. Avec FamilleConnect, le workflow se déploie automatiquement, rien n'est oublié.</w:t>
      </w:r>
    </w:p>
    <w:p>
      <w:pPr>
        <w:pStyle w:val="Heading2"/>
        <w:spacing w:after="160" w:before="320" w:line="340"/>
      </w:pPr>
      <w:bookmarkStart w:id="100018" w:name="_Toc100018"/>
      <w:r>
        <w:rPr>
          <w:rFonts w:ascii="Calibri" w:eastAsia="Calibri"/>
          <w:b/>
          <w:bCs/>
          <w:color w:val="2A4A3A"/>
          <w:sz w:val="28"/>
          <w:szCs w:val="28"/>
        </w:rPr>
        <w:t xml:space="preserve">KPI phare</w:t>
      </w:r>
      <w:bookmarkEnd w:id="100018"/>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 30 min</w:t>
            </w:r>
            <w:r>
              <w:rPr>
                <w:sz w:val="36"/>
                <w:szCs w:val="36"/>
              </w:rPr>
              <w:t xml:space="preserve">  </w:t>
            </w:r>
            <w:r>
              <w:rPr>
                <w:rFonts w:ascii="Calibri" w:eastAsia="Calibri"/>
                <w:color w:val="1A1A1A"/>
                <w:sz w:val="22"/>
                <w:szCs w:val="22"/>
              </w:rPr>
              <w:t xml:space="preserve">délai d'annonce d'un décès à toute la famille</w:t>
            </w:r>
          </w:p>
          <w:p>
            <w:pPr>
              <w:spacing w:line="280"/>
              <w:jc w:val="left"/>
            </w:pPr>
            <w:r>
              <w:rPr>
                <w:rFonts w:ascii="Calibri" w:eastAsia="Calibri"/>
                <w:i/>
                <w:iCs/>
                <w:color w:val="5A5A5A"/>
                <w:sz w:val="20"/>
                <w:szCs w:val="20"/>
              </w:rPr>
              <w:t xml:space="preserve">Avec double validation et ciblage automatique</w:t>
            </w:r>
          </w:p>
        </w:tc>
      </w:tr>
    </w:tbl>
    <w:p>
      <w:pPr>
        <w:pStyle w:val="Heading1"/>
        <w:spacing w:after="240" w:before="480" w:line="360"/>
      </w:pPr>
      <w:bookmarkStart w:id="100019" w:name="_Toc100019"/>
      <w:r>
        <w:rPr>
          <w:rFonts w:ascii="Calibri" w:eastAsia="Calibri"/>
          <w:b/>
          <w:bCs/>
          <w:color w:val="2A4A3A"/>
          <w:sz w:val="32"/>
          <w:szCs w:val="32"/>
        </w:rPr>
        <w:t xml:space="preserve">5. Univers 3 — La Solidarité</w:t>
      </w:r>
      <w:bookmarkEnd w:id="100019"/>
    </w:p>
    <w:tbl>
      <w:tblPr>
        <w:tblW w:type="pct" w:w="5000"/>
        <w:tblBorders>
          <w:top w:val="single" w:color="C89F62" w:sz="12"/>
          <w:left w:val="none" w:color="FFFFFF" w:sz="0"/>
          <w:bottom w:val="single" w:color="2A4A3A" w:sz="4"/>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160"/>
              <w:left w:type="dxa" w:w="240"/>
              <w:bottom w:type="dxa" w:w="160"/>
              <w:right w:type="dxa" w:w="240"/>
            </w:tcMar>
          </w:tcPr>
          <w:p>
            <w:pPr>
              <w:spacing w:after="120" w:line="320"/>
              <w:jc w:val="left"/>
            </w:pPr>
            <w:r>
              <w:rPr>
                <w:rFonts w:ascii="Calibri" w:eastAsia="Calibri"/>
                <w:b/>
                <w:bCs/>
                <w:color w:val="C89F62"/>
                <w:spacing w:val="40"/>
                <w:sz w:val="18"/>
                <w:szCs w:val="18"/>
              </w:rPr>
              <w:t xml:space="preserve">UNIVERS 3</w:t>
            </w:r>
            <w:r>
              <w:rPr>
                <w:sz w:val="22"/>
                <w:szCs w:val="22"/>
              </w:rPr>
              <w:t xml:space="preserve">    </w:t>
            </w:r>
            <w:r>
              <w:rPr>
                <w:rFonts w:ascii="Calibri" w:eastAsia="Calibri"/>
                <w:b/>
                <w:bCs/>
                <w:color w:val="2A4A3A"/>
                <w:sz w:val="32"/>
                <w:szCs w:val="32"/>
              </w:rPr>
              <w:t xml:space="preserve">La Solidarité</w:t>
            </w:r>
          </w:p>
        </w:tc>
      </w:tr>
    </w:tbl>
    <w:p>
      <w:pPr>
        <w:spacing w:after="0" w:before="0"/>
      </w:pPr>
    </w:p>
    <w:p>
      <w:pPr>
        <w:pStyle w:val="Heading2"/>
        <w:spacing w:after="160" w:before="320" w:line="340"/>
      </w:pPr>
      <w:bookmarkStart w:id="100020" w:name="_Toc100020"/>
      <w:r>
        <w:rPr>
          <w:rFonts w:ascii="Calibri" w:eastAsia="Calibri"/>
          <w:b/>
          <w:bCs/>
          <w:color w:val="2A4A3A"/>
          <w:sz w:val="28"/>
          <w:szCs w:val="28"/>
        </w:rPr>
        <w:t xml:space="preserve">Rôle</w:t>
      </w:r>
      <w:bookmarkEnd w:id="100020"/>
    </w:p>
    <w:p>
      <w:pPr>
        <w:spacing w:after="160" w:line="312"/>
        <w:ind w:firstLine="360"/>
        <w:jc w:val="left"/>
      </w:pPr>
      <w:r>
        <w:rPr>
          <w:rFonts w:ascii="Calibri" w:eastAsia="Calibri"/>
          <w:color w:val="1A1A1A"/>
          <w:sz w:val="22"/>
          <w:szCs w:val="22"/>
        </w:rPr>
        <w:t xml:space="preserve">L'Univers 3 est le plus sensible de tous. C'est ici que la famille prouve concrètement ce qu'elle dit être : une communauté qui se soutient dans l'épreuve. Il remplace la solidarité réactive et opaque d'aujourd'hui par un protocole transparent, traçable et équitable.</w:t>
      </w:r>
    </w:p>
    <w:p>
      <w:pPr>
        <w:pStyle w:val="Heading2"/>
        <w:spacing w:after="160" w:before="320" w:line="340"/>
      </w:pPr>
      <w:bookmarkStart w:id="100021" w:name="_Toc100021"/>
      <w:r>
        <w:rPr>
          <w:rFonts w:ascii="Calibri" w:eastAsia="Calibri"/>
          <w:b/>
          <w:bCs/>
          <w:color w:val="2A4A3A"/>
          <w:sz w:val="28"/>
          <w:szCs w:val="28"/>
        </w:rPr>
        <w:t xml:space="preserve">Fonctionnalités clés</w:t>
      </w:r>
      <w:bookmarkEnd w:id="100021"/>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Dossier de solidarité automatisé —</w:t>
      </w:r>
      <w:r>
        <w:rPr>
          <w:rFonts w:ascii="Calibri" w:eastAsia="Calibri"/>
          <w:color w:val="1A1A1A"/>
          <w:sz w:val="22"/>
          <w:szCs w:val="22"/>
        </w:rPr>
        <w:t xml:space="preserve"> déclenchement automatique depuis U2 (décès, maladie, sinistre), 7 sections (métadonnées, comité, collecte, suivi, répartition, justificatifs, clôture), cycle de vie en 5 états.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Collecte ciblée multi-canaux —</w:t>
      </w:r>
      <w:r>
        <w:rPr>
          <w:rFonts w:ascii="Calibri" w:eastAsia="Calibri"/>
          <w:color w:val="1A1A1A"/>
          <w:sz w:val="22"/>
          <w:szCs w:val="22"/>
        </w:rPr>
        <w:t xml:space="preserve"> Mobile Money (MTN MoMo, Orange Money), virement, espèces, multi-devises pour diaspora. Suivi temps réel, relances automatiques respectant fuseaux et exonérations.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Barème gradué configurable —</w:t>
      </w:r>
      <w:r>
        <w:rPr>
          <w:rFonts w:ascii="Calibri" w:eastAsia="Calibri"/>
          <w:color w:val="1A1A1A"/>
          <w:sz w:val="22"/>
          <w:szCs w:val="22"/>
        </w:rPr>
        <w:t xml:space="preserve"> ajustement par branche, génération, diaspora, revenu déclaré. Exonérations confidentielles par comité médiation, pour préserver la dignité des membres en précarité.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Transparence et audit —</w:t>
      </w:r>
      <w:r>
        <w:rPr>
          <w:rFonts w:ascii="Calibri" w:eastAsia="Calibri"/>
          <w:color w:val="1A1A1A"/>
          <w:sz w:val="22"/>
          <w:szCs w:val="22"/>
        </w:rPr>
        <w:t xml:space="preserve"> journal immutable des transactions, double validation des dépenses &gt; 50 000 FCFA, justificatifs obligatoires &gt; 10 000 FCFA, rapport mensuel automatique, mode audit exportable.</w:t>
      </w:r>
    </w:p>
    <w:p>
      <w:pPr>
        <w:pStyle w:val="Heading2"/>
        <w:spacing w:after="160" w:before="320" w:line="340"/>
      </w:pPr>
      <w:bookmarkStart w:id="100022" w:name="_Toc100022"/>
      <w:r>
        <w:rPr>
          <w:rFonts w:ascii="Calibri" w:eastAsia="Calibri"/>
          <w:b/>
          <w:bCs/>
          <w:color w:val="2A4A3A"/>
          <w:sz w:val="28"/>
          <w:szCs w:val="28"/>
        </w:rPr>
        <w:t xml:space="preserve">Différenciateur</w:t>
      </w:r>
      <w:bookmarkEnd w:id="100022"/>
    </w:p>
    <w:p>
      <w:pPr>
        <w:spacing w:after="160" w:line="312"/>
        <w:ind w:firstLine="360"/>
        <w:jc w:val="left"/>
      </w:pPr>
      <w:r>
        <w:rPr>
          <w:rFonts w:ascii="Calibri" w:eastAsia="Calibri"/>
          <w:color w:val="1A1A1A"/>
          <w:sz w:val="22"/>
          <w:szCs w:val="22"/>
        </w:rPr>
        <w:t xml:space="preserve">La combinaison de trois éléments uniques : (1) déclenchement automatique depuis U2, (2) journal immutable avec double validation, (3) exonérations confidentielles qui préservent la dignité. Aucune cagnotte grand public (Leetchi, GoFundMe) ne propose cette gouvernance familiale.</w:t>
      </w:r>
    </w:p>
    <w:p>
      <w:pPr>
        <w:pStyle w:val="Heading2"/>
        <w:spacing w:after="160" w:before="320" w:line="340"/>
      </w:pPr>
      <w:bookmarkStart w:id="100023" w:name="_Toc100023"/>
      <w:r>
        <w:rPr>
          <w:rFonts w:ascii="Calibri" w:eastAsia="Calibri"/>
          <w:b/>
          <w:bCs/>
          <w:color w:val="2A4A3A"/>
          <w:sz w:val="28"/>
          <w:szCs w:val="28"/>
        </w:rPr>
        <w:t xml:space="preserve">KPI phare</w:t>
      </w:r>
      <w:bookmarkEnd w:id="100023"/>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 4 h</w:t>
            </w:r>
            <w:r>
              <w:rPr>
                <w:sz w:val="36"/>
                <w:szCs w:val="36"/>
              </w:rPr>
              <w:t xml:space="preserve">  </w:t>
            </w:r>
            <w:r>
              <w:rPr>
                <w:rFonts w:ascii="Calibri" w:eastAsia="Calibri"/>
                <w:color w:val="1A1A1A"/>
                <w:sz w:val="22"/>
                <w:szCs w:val="22"/>
              </w:rPr>
              <w:t xml:space="preserve">délai de déclenchement d'une collecte après un événement</w:t>
            </w:r>
          </w:p>
          <w:p>
            <w:pPr>
              <w:spacing w:line="280"/>
              <w:jc w:val="left"/>
            </w:pPr>
            <w:r>
              <w:rPr>
                <w:rFonts w:ascii="Calibri" w:eastAsia="Calibri"/>
                <w:i/>
                <w:iCs/>
                <w:color w:val="5A5A5A"/>
                <w:sz w:val="20"/>
                <w:szCs w:val="20"/>
              </w:rPr>
              <w:t xml:space="preserve">Quasi-automatique, avec validation du chef de branche</w:t>
            </w:r>
          </w:p>
        </w:tc>
      </w:tr>
    </w:tbl>
    <w:p>
      <w:pPr>
        <w:pStyle w:val="Heading1"/>
        <w:spacing w:after="240" w:before="480" w:line="360"/>
      </w:pPr>
      <w:bookmarkStart w:id="100024" w:name="_Toc100024"/>
      <w:r>
        <w:rPr>
          <w:rFonts w:ascii="Calibri" w:eastAsia="Calibri"/>
          <w:b/>
          <w:bCs/>
          <w:color w:val="2A4A3A"/>
          <w:sz w:val="32"/>
          <w:szCs w:val="32"/>
        </w:rPr>
        <w:t xml:space="preserve">6. Univers 4 — Les Finances</w:t>
      </w:r>
      <w:bookmarkEnd w:id="100024"/>
    </w:p>
    <w:tbl>
      <w:tblPr>
        <w:tblW w:type="pct" w:w="5000"/>
        <w:tblBorders>
          <w:top w:val="single" w:color="C89F62" w:sz="12"/>
          <w:left w:val="none" w:color="FFFFFF" w:sz="0"/>
          <w:bottom w:val="single" w:color="2A4A3A" w:sz="4"/>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160"/>
              <w:left w:type="dxa" w:w="240"/>
              <w:bottom w:type="dxa" w:w="160"/>
              <w:right w:type="dxa" w:w="240"/>
            </w:tcMar>
          </w:tcPr>
          <w:p>
            <w:pPr>
              <w:spacing w:after="120" w:line="320"/>
              <w:jc w:val="left"/>
            </w:pPr>
            <w:r>
              <w:rPr>
                <w:rFonts w:ascii="Calibri" w:eastAsia="Calibri"/>
                <w:b/>
                <w:bCs/>
                <w:color w:val="C89F62"/>
                <w:spacing w:val="40"/>
                <w:sz w:val="18"/>
                <w:szCs w:val="18"/>
              </w:rPr>
              <w:t xml:space="preserve">UNIVERS 4</w:t>
            </w:r>
            <w:r>
              <w:rPr>
                <w:sz w:val="22"/>
                <w:szCs w:val="22"/>
              </w:rPr>
              <w:t xml:space="preserve">    </w:t>
            </w:r>
            <w:r>
              <w:rPr>
                <w:rFonts w:ascii="Calibri" w:eastAsia="Calibri"/>
                <w:b/>
                <w:bCs/>
                <w:color w:val="2A4A3A"/>
                <w:sz w:val="32"/>
                <w:szCs w:val="32"/>
              </w:rPr>
              <w:t xml:space="preserve">Les Finances</w:t>
            </w:r>
          </w:p>
        </w:tc>
      </w:tr>
    </w:tbl>
    <w:p>
      <w:pPr>
        <w:spacing w:after="0" w:before="0"/>
      </w:pPr>
    </w:p>
    <w:p>
      <w:pPr>
        <w:pStyle w:val="Heading2"/>
        <w:spacing w:after="160" w:before="320" w:line="340"/>
      </w:pPr>
      <w:bookmarkStart w:id="100025" w:name="_Toc100025"/>
      <w:r>
        <w:rPr>
          <w:rFonts w:ascii="Calibri" w:eastAsia="Calibri"/>
          <w:b/>
          <w:bCs/>
          <w:color w:val="2A4A3A"/>
          <w:sz w:val="28"/>
          <w:szCs w:val="28"/>
        </w:rPr>
        <w:t xml:space="preserve">Rôle</w:t>
      </w:r>
      <w:bookmarkEnd w:id="100025"/>
    </w:p>
    <w:p>
      <w:pPr>
        <w:spacing w:after="160" w:line="312"/>
        <w:ind w:firstLine="360"/>
        <w:jc w:val="left"/>
      </w:pPr>
      <w:r>
        <w:rPr>
          <w:rFonts w:ascii="Calibri" w:eastAsia="Calibri"/>
          <w:color w:val="1A1A1A"/>
          <w:sz w:val="22"/>
          <w:szCs w:val="22"/>
        </w:rPr>
        <w:t xml:space="preserve">L'Univers 4 est le poumon technique de la plateforme. Sans lui, aucun versement n'est possible, aucune cotisation n'est traçable, aucune solidarité ne peut être concrétisée. Il gère l'infrastructure financière qui sous-tend toute la vie familiale.</w:t>
      </w:r>
    </w:p>
    <w:p>
      <w:pPr>
        <w:pStyle w:val="Heading2"/>
        <w:spacing w:after="160" w:before="320" w:line="340"/>
      </w:pPr>
      <w:bookmarkStart w:id="100026" w:name="_Toc100026"/>
      <w:r>
        <w:rPr>
          <w:rFonts w:ascii="Calibri" w:eastAsia="Calibri"/>
          <w:b/>
          <w:bCs/>
          <w:color w:val="2A4A3A"/>
          <w:sz w:val="28"/>
          <w:szCs w:val="28"/>
        </w:rPr>
        <w:t xml:space="preserve">Fonctionnalités clés</w:t>
      </w:r>
      <w:bookmarkEnd w:id="100026"/>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Caisse multi-niveaux —</w:t>
      </w:r>
      <w:r>
        <w:rPr>
          <w:rFonts w:ascii="Calibri" w:eastAsia="Calibri"/>
          <w:color w:val="1A1A1A"/>
          <w:sz w:val="22"/>
          <w:szCs w:val="22"/>
        </w:rPr>
        <w:t xml:space="preserve"> 6 types de caisses (principale, branche, solidarité, événement, réserve, investissement), virements inter-caisses tracés, soldes et plafonds configurables.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Intégration Mobile Money native —</w:t>
      </w:r>
      <w:r>
        <w:rPr>
          <w:rFonts w:ascii="Calibri" w:eastAsia="Calibri"/>
          <w:color w:val="1A1A1A"/>
          <w:sz w:val="22"/>
          <w:szCs w:val="22"/>
        </w:rPr>
        <w:t xml:space="preserve"> API officielles MTN MoMo + Orange Money, webhooks temps réel, rapprochement automatique, paiements entrants et sortants. Mode hors-ligne pour zones rurales.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Comptabilité SYSCOHADA simplifiée —</w:t>
      </w:r>
      <w:r>
        <w:rPr>
          <w:rFonts w:ascii="Calibri" w:eastAsia="Calibri"/>
          <w:color w:val="1A1A1A"/>
          <w:sz w:val="22"/>
          <w:szCs w:val="22"/>
        </w:rPr>
        <w:t xml:space="preserve"> plan comptable inspiré du système OHADA, journal immutable en partie double, balance, compte de résultat, bilan, clôture annuelle en 3 étapes.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Audit et contrôles —</w:t>
      </w:r>
      <w:r>
        <w:rPr>
          <w:rFonts w:ascii="Calibri" w:eastAsia="Calibri"/>
          <w:color w:val="1A1A1A"/>
          <w:sz w:val="22"/>
          <w:szCs w:val="22"/>
        </w:rPr>
        <w:t xml:space="preserve"> triple validation par seuils (10 000 / 50 000 / 500 000 FCFA), rapprochement bancaire mensuel, audit aléatoire, mode audit exportable pour commissaire aux comptes externe.</w:t>
      </w:r>
    </w:p>
    <w:p>
      <w:pPr>
        <w:pStyle w:val="Heading2"/>
        <w:spacing w:after="160" w:before="320" w:line="340"/>
      </w:pPr>
      <w:bookmarkStart w:id="100027" w:name="_Toc100027"/>
      <w:r>
        <w:rPr>
          <w:rFonts w:ascii="Calibri" w:eastAsia="Calibri"/>
          <w:b/>
          <w:bCs/>
          <w:color w:val="2A4A3A"/>
          <w:sz w:val="28"/>
          <w:szCs w:val="28"/>
        </w:rPr>
        <w:t xml:space="preserve">Différenciateur</w:t>
      </w:r>
      <w:bookmarkEnd w:id="100027"/>
    </w:p>
    <w:p>
      <w:pPr>
        <w:spacing w:after="160" w:line="312"/>
        <w:ind w:firstLine="360"/>
        <w:jc w:val="left"/>
      </w:pPr>
      <w:r>
        <w:rPr>
          <w:rFonts w:ascii="Calibri" w:eastAsia="Calibri"/>
          <w:color w:val="1A1A1A"/>
          <w:sz w:val="22"/>
          <w:szCs w:val="22"/>
        </w:rPr>
        <w:t xml:space="preserve">L'intégration native des opérateurs Mobile Money locaux, combinée à une comptabilité professionnelle adaptée au contexte OHADA. Aucune solution existante ne propose cette combinaison pour les familles : les cagnottes sont trop simples, les ERP trop complexes.</w:t>
      </w:r>
    </w:p>
    <w:p>
      <w:pPr>
        <w:pStyle w:val="Heading2"/>
        <w:spacing w:after="160" w:before="320" w:line="340"/>
      </w:pPr>
      <w:bookmarkStart w:id="100028" w:name="_Toc100028"/>
      <w:r>
        <w:rPr>
          <w:rFonts w:ascii="Calibri" w:eastAsia="Calibri"/>
          <w:b/>
          <w:bCs/>
          <w:color w:val="2A4A3A"/>
          <w:sz w:val="28"/>
          <w:szCs w:val="28"/>
        </w:rPr>
        <w:t xml:space="preserve">KPI phare</w:t>
      </w:r>
      <w:bookmarkEnd w:id="100028"/>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 80 %</w:t>
            </w:r>
            <w:r>
              <w:rPr>
                <w:sz w:val="36"/>
                <w:szCs w:val="36"/>
              </w:rPr>
              <w:t xml:space="preserve">  </w:t>
            </w:r>
            <w:r>
              <w:rPr>
                <w:rFonts w:ascii="Calibri" w:eastAsia="Calibri"/>
                <w:color w:val="1A1A1A"/>
                <w:sz w:val="22"/>
                <w:szCs w:val="22"/>
              </w:rPr>
              <w:t xml:space="preserve">de cotisation à jour (trimestre en cours)</w:t>
            </w:r>
          </w:p>
          <w:p>
            <w:pPr>
              <w:spacing w:line="280"/>
              <w:jc w:val="left"/>
            </w:pPr>
            <w:r>
              <w:rPr>
                <w:rFonts w:ascii="Calibri" w:eastAsia="Calibri"/>
                <w:i/>
                <w:iCs/>
                <w:color w:val="5A5A5A"/>
                <w:sz w:val="20"/>
                <w:szCs w:val="20"/>
              </w:rPr>
              <w:t xml:space="preserve">Avec relances automatiques et suivi individuel confidentiel</w:t>
            </w:r>
          </w:p>
        </w:tc>
      </w:tr>
    </w:tbl>
    <w:p>
      <w:pPr>
        <w:pStyle w:val="Heading1"/>
        <w:spacing w:after="240" w:before="480" w:line="360"/>
      </w:pPr>
      <w:bookmarkStart w:id="100029" w:name="_Toc100029"/>
      <w:r>
        <w:rPr>
          <w:rFonts w:ascii="Calibri" w:eastAsia="Calibri"/>
          <w:b/>
          <w:bCs/>
          <w:color w:val="2A4A3A"/>
          <w:sz w:val="32"/>
          <w:szCs w:val="32"/>
        </w:rPr>
        <w:t xml:space="preserve">7. Univers 5 — La Gouvernance</w:t>
      </w:r>
      <w:bookmarkEnd w:id="100029"/>
    </w:p>
    <w:tbl>
      <w:tblPr>
        <w:tblW w:type="pct" w:w="5000"/>
        <w:tblBorders>
          <w:top w:val="single" w:color="C89F62" w:sz="12"/>
          <w:left w:val="none" w:color="FFFFFF" w:sz="0"/>
          <w:bottom w:val="single" w:color="2A4A3A" w:sz="4"/>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160"/>
              <w:left w:type="dxa" w:w="240"/>
              <w:bottom w:type="dxa" w:w="160"/>
              <w:right w:type="dxa" w:w="240"/>
            </w:tcMar>
          </w:tcPr>
          <w:p>
            <w:pPr>
              <w:spacing w:after="120" w:line="320"/>
              <w:jc w:val="left"/>
            </w:pPr>
            <w:r>
              <w:rPr>
                <w:rFonts w:ascii="Calibri" w:eastAsia="Calibri"/>
                <w:b/>
                <w:bCs/>
                <w:color w:val="C89F62"/>
                <w:spacing w:val="40"/>
                <w:sz w:val="18"/>
                <w:szCs w:val="18"/>
              </w:rPr>
              <w:t xml:space="preserve">UNIVERS 5</w:t>
            </w:r>
            <w:r>
              <w:rPr>
                <w:sz w:val="22"/>
                <w:szCs w:val="22"/>
              </w:rPr>
              <w:t xml:space="preserve">    </w:t>
            </w:r>
            <w:r>
              <w:rPr>
                <w:rFonts w:ascii="Calibri" w:eastAsia="Calibri"/>
                <w:b/>
                <w:bCs/>
                <w:color w:val="2A4A3A"/>
                <w:sz w:val="32"/>
                <w:szCs w:val="32"/>
              </w:rPr>
              <w:t xml:space="preserve">La Gouvernance</w:t>
            </w:r>
          </w:p>
        </w:tc>
      </w:tr>
    </w:tbl>
    <w:p>
      <w:pPr>
        <w:spacing w:after="0" w:before="0"/>
      </w:pPr>
    </w:p>
    <w:p>
      <w:pPr>
        <w:pStyle w:val="Heading2"/>
        <w:spacing w:after="160" w:before="320" w:line="340"/>
      </w:pPr>
      <w:bookmarkStart w:id="100030" w:name="_Toc100030"/>
      <w:r>
        <w:rPr>
          <w:rFonts w:ascii="Calibri" w:eastAsia="Calibri"/>
          <w:b/>
          <w:bCs/>
          <w:color w:val="2A4A3A"/>
          <w:sz w:val="28"/>
          <w:szCs w:val="28"/>
        </w:rPr>
        <w:t xml:space="preserve">Rôle</w:t>
      </w:r>
      <w:bookmarkEnd w:id="100030"/>
    </w:p>
    <w:p>
      <w:pPr>
        <w:spacing w:after="160" w:line="312"/>
        <w:ind w:firstLine="360"/>
        <w:jc w:val="left"/>
      </w:pPr>
      <w:r>
        <w:rPr>
          <w:rFonts w:ascii="Calibri" w:eastAsia="Calibri"/>
          <w:color w:val="1A1A1A"/>
          <w:sz w:val="22"/>
          <w:szCs w:val="22"/>
        </w:rPr>
        <w:t xml:space="preserve">L'Univers 5 est le pilier invisible de l'application. Sans lui, aucune décision n'est véritablement légitime, aucune élection n'est incontestable, aucun règlement n'est opposable. La gouvernance transforme une somme d'individus en institution capable de décider ensemble.</w:t>
      </w:r>
    </w:p>
    <w:p>
      <w:pPr>
        <w:pStyle w:val="Heading2"/>
        <w:spacing w:after="160" w:before="320" w:line="340"/>
      </w:pPr>
      <w:bookmarkStart w:id="100031" w:name="_Toc100031"/>
      <w:r>
        <w:rPr>
          <w:rFonts w:ascii="Calibri" w:eastAsia="Calibri"/>
          <w:b/>
          <w:bCs/>
          <w:color w:val="2A4A3A"/>
          <w:sz w:val="28"/>
          <w:szCs w:val="28"/>
        </w:rPr>
        <w:t xml:space="preserve">Fonctionnalités clés</w:t>
      </w:r>
      <w:bookmarkEnd w:id="100031"/>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 niveaux de décision configurables —</w:t>
      </w:r>
      <w:r>
        <w:rPr>
          <w:rFonts w:ascii="Calibri" w:eastAsia="Calibri"/>
          <w:color w:val="1A1A1A"/>
          <w:sz w:val="22"/>
          <w:szCs w:val="22"/>
        </w:rPr>
        <w:t xml:space="preserve"> consultation, vote simple, vote des responsables, vote du conseil, décision du patriarche. Chaque type de sujet est rattaché à un niveau, configurable par la famille.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10 types de comités —</w:t>
      </w:r>
      <w:r>
        <w:rPr>
          <w:rFonts w:ascii="Calibri" w:eastAsia="Calibri"/>
          <w:color w:val="1A1A1A"/>
          <w:sz w:val="22"/>
          <w:szCs w:val="22"/>
        </w:rPr>
        <w:t xml:space="preserve"> exécutif, financier, social, événementiel, jeunesse, femmes, diaspora, communication, médiation, culturel. Composition, mandat, espace de travail, comptes-rendus.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Élections formelles —</w:t>
      </w:r>
      <w:r>
        <w:rPr>
          <w:rFonts w:ascii="Calibri" w:eastAsia="Calibri"/>
          <w:color w:val="1A1A1A"/>
          <w:sz w:val="22"/>
          <w:szCs w:val="22"/>
        </w:rPr>
        <w:t xml:space="preserve"> 5 étapes (annonce, candidatures, campagne, scrutin, proclamation), bulletins chiffrés, authentification 2FA, gestion des mandats et transitions.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Règlement intérieur consultable et amendable —</w:t>
      </w:r>
      <w:r>
        <w:rPr>
          <w:rFonts w:ascii="Calibri" w:eastAsia="Calibri"/>
          <w:color w:val="1A1A1A"/>
          <w:sz w:val="22"/>
          <w:szCs w:val="22"/>
        </w:rPr>
        <w:t xml:space="preserve"> 10 sections, versioning, amendement à majorité qualifiée 2/3, vérification de conformité des décisions.</w:t>
      </w:r>
    </w:p>
    <w:p>
      <w:pPr>
        <w:pStyle w:val="Heading2"/>
        <w:spacing w:after="160" w:before="320" w:line="340"/>
      </w:pPr>
      <w:bookmarkStart w:id="100032" w:name="_Toc100032"/>
      <w:r>
        <w:rPr>
          <w:rFonts w:ascii="Calibri" w:eastAsia="Calibri"/>
          <w:b/>
          <w:bCs/>
          <w:color w:val="2A4A3A"/>
          <w:sz w:val="28"/>
          <w:szCs w:val="28"/>
        </w:rPr>
        <w:t xml:space="preserve">Différenciateur</w:t>
      </w:r>
      <w:bookmarkEnd w:id="100032"/>
    </w:p>
    <w:p>
      <w:pPr>
        <w:spacing w:after="160" w:line="312"/>
        <w:ind w:firstLine="360"/>
        <w:jc w:val="left"/>
      </w:pPr>
      <w:r>
        <w:rPr>
          <w:rFonts w:ascii="Calibri" w:eastAsia="Calibri"/>
          <w:color w:val="1A1A1A"/>
          <w:sz w:val="22"/>
          <w:szCs w:val="22"/>
        </w:rPr>
        <w:t xml:space="preserve">Le respect de l'hybridité des familles africaines : tradition et démocratie coexistent, configurables par type de sujet. Un même système peut fonctionner selon la tradition pour la désignation du patriarche, et de manière démocratique pour l'élection du trésorier. Aucune solution existante n'offre cette flexibilité.</w:t>
      </w:r>
    </w:p>
    <w:p>
      <w:pPr>
        <w:pStyle w:val="Heading2"/>
        <w:spacing w:after="160" w:before="320" w:line="340"/>
      </w:pPr>
      <w:bookmarkStart w:id="100033" w:name="_Toc100033"/>
      <w:r>
        <w:rPr>
          <w:rFonts w:ascii="Calibri" w:eastAsia="Calibri"/>
          <w:b/>
          <w:bCs/>
          <w:color w:val="2A4A3A"/>
          <w:sz w:val="28"/>
          <w:szCs w:val="28"/>
        </w:rPr>
        <w:t xml:space="preserve">KPI phare</w:t>
      </w:r>
      <w:bookmarkEnd w:id="100033"/>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 60 %</w:t>
            </w:r>
            <w:r>
              <w:rPr>
                <w:sz w:val="36"/>
                <w:szCs w:val="36"/>
              </w:rPr>
              <w:t xml:space="preserve">  </w:t>
            </w:r>
            <w:r>
              <w:rPr>
                <w:rFonts w:ascii="Calibri" w:eastAsia="Calibri"/>
                <w:color w:val="1A1A1A"/>
                <w:sz w:val="22"/>
                <w:szCs w:val="22"/>
              </w:rPr>
              <w:t xml:space="preserve">de participation aux votes (membres concernés)</w:t>
            </w:r>
          </w:p>
          <w:p>
            <w:pPr>
              <w:spacing w:line="280"/>
              <w:jc w:val="left"/>
            </w:pPr>
            <w:r>
              <w:rPr>
                <w:rFonts w:ascii="Calibri" w:eastAsia="Calibri"/>
                <w:i/>
                <w:iCs/>
                <w:color w:val="5A5A5A"/>
                <w:sz w:val="20"/>
                <w:szCs w:val="20"/>
              </w:rPr>
              <w:t xml:space="preserve">Avec authentification 2FA et bulletins chiffrés</w:t>
            </w:r>
          </w:p>
        </w:tc>
      </w:tr>
    </w:tbl>
    <w:p>
      <w:pPr>
        <w:pStyle w:val="Heading1"/>
        <w:spacing w:after="240" w:before="480" w:line="360"/>
      </w:pPr>
      <w:bookmarkStart w:id="100034" w:name="_Toc100034"/>
      <w:r>
        <w:rPr>
          <w:rFonts w:ascii="Calibri" w:eastAsia="Calibri"/>
          <w:b/>
          <w:bCs/>
          <w:color w:val="2A4A3A"/>
          <w:sz w:val="32"/>
          <w:szCs w:val="32"/>
        </w:rPr>
        <w:t xml:space="preserve">8. Univers 6 — La Mémoire</w:t>
      </w:r>
      <w:bookmarkEnd w:id="100034"/>
    </w:p>
    <w:tbl>
      <w:tblPr>
        <w:tblW w:type="pct" w:w="5000"/>
        <w:tblBorders>
          <w:top w:val="single" w:color="C89F62" w:sz="12"/>
          <w:left w:val="none" w:color="FFFFFF" w:sz="0"/>
          <w:bottom w:val="single" w:color="2A4A3A" w:sz="4"/>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160"/>
              <w:left w:type="dxa" w:w="240"/>
              <w:bottom w:type="dxa" w:w="160"/>
              <w:right w:type="dxa" w:w="240"/>
            </w:tcMar>
          </w:tcPr>
          <w:p>
            <w:pPr>
              <w:spacing w:after="120" w:line="320"/>
              <w:jc w:val="left"/>
            </w:pPr>
            <w:r>
              <w:rPr>
                <w:rFonts w:ascii="Calibri" w:eastAsia="Calibri"/>
                <w:b/>
                <w:bCs/>
                <w:color w:val="C89F62"/>
                <w:spacing w:val="40"/>
                <w:sz w:val="18"/>
                <w:szCs w:val="18"/>
              </w:rPr>
              <w:t xml:space="preserve">UNIVERS 6</w:t>
            </w:r>
            <w:r>
              <w:rPr>
                <w:sz w:val="22"/>
                <w:szCs w:val="22"/>
              </w:rPr>
              <w:t xml:space="preserve">    </w:t>
            </w:r>
            <w:r>
              <w:rPr>
                <w:rFonts w:ascii="Calibri" w:eastAsia="Calibri"/>
                <w:b/>
                <w:bCs/>
                <w:color w:val="2A4A3A"/>
                <w:sz w:val="32"/>
                <w:szCs w:val="32"/>
              </w:rPr>
              <w:t xml:space="preserve">La Mémoire</w:t>
            </w:r>
          </w:p>
        </w:tc>
      </w:tr>
    </w:tbl>
    <w:p>
      <w:pPr>
        <w:spacing w:after="0" w:before="0"/>
      </w:pPr>
    </w:p>
    <w:p>
      <w:pPr>
        <w:pStyle w:val="Heading2"/>
        <w:spacing w:after="160" w:before="320" w:line="340"/>
      </w:pPr>
      <w:bookmarkStart w:id="100035" w:name="_Toc100035"/>
      <w:r>
        <w:rPr>
          <w:rFonts w:ascii="Calibri" w:eastAsia="Calibri"/>
          <w:b/>
          <w:bCs/>
          <w:color w:val="2A4A3A"/>
          <w:sz w:val="28"/>
          <w:szCs w:val="28"/>
        </w:rPr>
        <w:t xml:space="preserve">Rôle</w:t>
      </w:r>
      <w:bookmarkEnd w:id="100035"/>
    </w:p>
    <w:p>
      <w:pPr>
        <w:spacing w:after="160" w:line="312"/>
        <w:ind w:firstLine="360"/>
        <w:jc w:val="left"/>
      </w:pPr>
      <w:r>
        <w:rPr>
          <w:rFonts w:ascii="Calibri" w:eastAsia="Calibri"/>
          <w:color w:val="1A1A1A"/>
          <w:sz w:val="22"/>
          <w:szCs w:val="22"/>
        </w:rPr>
        <w:t xml:space="preserve">L'Univers 6 est la condition de la pérennité de la famille. Sans mémoire, il n'y a pas de transmission, et sans transmission, il n'y a pas de durée. Il capte, organise, conserve, et transmet ce qui mérite de durer — documents officiels, photos, témoignages des anciens, traditions.</w:t>
      </w:r>
    </w:p>
    <w:p>
      <w:pPr>
        <w:pStyle w:val="Heading2"/>
        <w:spacing w:after="160" w:before="320" w:line="340"/>
      </w:pPr>
      <w:bookmarkStart w:id="100036" w:name="_Toc100036"/>
      <w:r>
        <w:rPr>
          <w:rFonts w:ascii="Calibri" w:eastAsia="Calibri"/>
          <w:b/>
          <w:bCs/>
          <w:color w:val="2A4A3A"/>
          <w:sz w:val="28"/>
          <w:szCs w:val="28"/>
        </w:rPr>
        <w:t xml:space="preserve">Fonctionnalités clés</w:t>
      </w:r>
      <w:bookmarkEnd w:id="100036"/>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Archivage automatique —</w:t>
      </w:r>
      <w:r>
        <w:rPr>
          <w:rFonts w:ascii="Calibri" w:eastAsia="Calibri"/>
          <w:color w:val="1A1A1A"/>
          <w:sz w:val="22"/>
          <w:szCs w:val="22"/>
        </w:rPr>
        <w:t xml:space="preserve"> tout dossier clôturé dans U2/U3/U4/U5 est automatiquement archivé dans U6, avec cross-références entre archives.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Mémoire des anciens —</w:t>
      </w:r>
      <w:r>
        <w:rPr>
          <w:rFonts w:ascii="Calibri" w:eastAsia="Calibri"/>
          <w:color w:val="1A1A1A"/>
          <w:sz w:val="22"/>
          <w:szCs w:val="22"/>
        </w:rPr>
        <w:t xml:space="preserve"> interviews audio/vidéo avec transcription automatique, indexation par thèmes et chapitres, biographies structurées. Priorisation par âge (urgent : 50 % la première année, 90 % dans 3 ans).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Patrimoine immatériel —</w:t>
      </w:r>
      <w:r>
        <w:rPr>
          <w:rFonts w:ascii="Calibri" w:eastAsia="Calibri"/>
          <w:color w:val="1A1A1A"/>
          <w:sz w:val="22"/>
          <w:szCs w:val="22"/>
        </w:rPr>
        <w:t xml:space="preserve"> 7 types documentés (coutumes, recettes, chansons, proverbes, lieux symboliques, langues, savoir-faire), avec transmission active aux jeunes générations.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Conservation longue durée —</w:t>
      </w:r>
      <w:r>
        <w:rPr>
          <w:rFonts w:ascii="Calibri" w:eastAsia="Calibri"/>
          <w:color w:val="1A1A1A"/>
          <w:sz w:val="22"/>
          <w:szCs w:val="22"/>
        </w:rPr>
        <w:t xml:space="preserve"> triple stockage sur supports indépendants, formats durables (PDF/A, JPEG, MP3, MP4), migration périodique tous les 5 ans, sauvegarde externe trimestrielle.</w:t>
      </w:r>
    </w:p>
    <w:p>
      <w:pPr>
        <w:pStyle w:val="Heading2"/>
        <w:spacing w:after="160" w:before="320" w:line="340"/>
      </w:pPr>
      <w:bookmarkStart w:id="100037" w:name="_Toc100037"/>
      <w:r>
        <w:rPr>
          <w:rFonts w:ascii="Calibri" w:eastAsia="Calibri"/>
          <w:b/>
          <w:bCs/>
          <w:color w:val="2A4A3A"/>
          <w:sz w:val="28"/>
          <w:szCs w:val="28"/>
        </w:rPr>
        <w:t xml:space="preserve">Différenciateur</w:t>
      </w:r>
      <w:bookmarkEnd w:id="100037"/>
    </w:p>
    <w:p>
      <w:pPr>
        <w:spacing w:after="160" w:line="312"/>
        <w:ind w:firstLine="360"/>
        <w:jc w:val="left"/>
      </w:pPr>
      <w:r>
        <w:rPr>
          <w:rFonts w:ascii="Calibri" w:eastAsia="Calibri"/>
          <w:color w:val="1A1A1A"/>
          <w:sz w:val="22"/>
          <w:szCs w:val="22"/>
        </w:rPr>
        <w:t xml:space="preserve">Le caractère urgent de la collecte des interviews d'anciens, et la prise en charge explicite du patrimoine immatériel africain (langues locales, traditions, recettes). Aucune solution grand public ne propose cette dimension culturelle.</w:t>
      </w:r>
    </w:p>
    <w:p>
      <w:pPr>
        <w:pStyle w:val="Heading2"/>
        <w:spacing w:after="160" w:before="320" w:line="340"/>
      </w:pPr>
      <w:bookmarkStart w:id="100038" w:name="_Toc100038"/>
      <w:r>
        <w:rPr>
          <w:rFonts w:ascii="Calibri" w:eastAsia="Calibri"/>
          <w:b/>
          <w:bCs/>
          <w:color w:val="2A4A3A"/>
          <w:sz w:val="28"/>
          <w:szCs w:val="28"/>
        </w:rPr>
        <w:t xml:space="preserve">KPI phare</w:t>
      </w:r>
      <w:bookmarkEnd w:id="100038"/>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100 %</w:t>
            </w:r>
            <w:r>
              <w:rPr>
                <w:sz w:val="36"/>
                <w:szCs w:val="36"/>
              </w:rPr>
              <w:t xml:space="preserve">  </w:t>
            </w:r>
            <w:r>
              <w:rPr>
                <w:rFonts w:ascii="Calibri" w:eastAsia="Calibri"/>
                <w:color w:val="1A1A1A"/>
                <w:sz w:val="22"/>
                <w:szCs w:val="22"/>
              </w:rPr>
              <w:t xml:space="preserve">dossiers clôturés automatiquement archivés</w:t>
            </w:r>
          </w:p>
          <w:p>
            <w:pPr>
              <w:spacing w:line="280"/>
              <w:jc w:val="left"/>
            </w:pPr>
            <w:r>
              <w:rPr>
                <w:rFonts w:ascii="Calibri" w:eastAsia="Calibri"/>
                <w:i/>
                <w:iCs/>
                <w:color w:val="5A5A5A"/>
                <w:sz w:val="20"/>
                <w:szCs w:val="20"/>
              </w:rPr>
              <w:t xml:space="preserve">Aucune perte d'information, traçabilité perpétuelle</w:t>
            </w:r>
          </w:p>
        </w:tc>
      </w:tr>
    </w:tbl>
    <w:p>
      <w:pPr>
        <w:pStyle w:val="Heading1"/>
        <w:spacing w:after="240" w:before="480" w:line="360"/>
      </w:pPr>
      <w:bookmarkStart w:id="100039" w:name="_Toc100039"/>
      <w:r>
        <w:rPr>
          <w:rFonts w:ascii="Calibri" w:eastAsia="Calibri"/>
          <w:b/>
          <w:bCs/>
          <w:color w:val="2A4A3A"/>
          <w:sz w:val="32"/>
          <w:szCs w:val="32"/>
        </w:rPr>
        <w:t xml:space="preserve">9. Univers 7 — Le Réseau</w:t>
      </w:r>
      <w:bookmarkEnd w:id="100039"/>
    </w:p>
    <w:tbl>
      <w:tblPr>
        <w:tblW w:type="pct" w:w="5000"/>
        <w:tblBorders>
          <w:top w:val="single" w:color="C89F62" w:sz="12"/>
          <w:left w:val="none" w:color="FFFFFF" w:sz="0"/>
          <w:bottom w:val="single" w:color="2A4A3A" w:sz="4"/>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160"/>
              <w:left w:type="dxa" w:w="240"/>
              <w:bottom w:type="dxa" w:w="160"/>
              <w:right w:type="dxa" w:w="240"/>
            </w:tcMar>
          </w:tcPr>
          <w:p>
            <w:pPr>
              <w:spacing w:after="120" w:line="320"/>
              <w:jc w:val="left"/>
            </w:pPr>
            <w:r>
              <w:rPr>
                <w:rFonts w:ascii="Calibri" w:eastAsia="Calibri"/>
                <w:b/>
                <w:bCs/>
                <w:color w:val="C89F62"/>
                <w:spacing w:val="40"/>
                <w:sz w:val="18"/>
                <w:szCs w:val="18"/>
              </w:rPr>
              <w:t xml:space="preserve">UNIVERS 7</w:t>
            </w:r>
            <w:r>
              <w:rPr>
                <w:sz w:val="22"/>
                <w:szCs w:val="22"/>
              </w:rPr>
              <w:t xml:space="preserve">    </w:t>
            </w:r>
            <w:r>
              <w:rPr>
                <w:rFonts w:ascii="Calibri" w:eastAsia="Calibri"/>
                <w:b/>
                <w:bCs/>
                <w:color w:val="2A4A3A"/>
                <w:sz w:val="32"/>
                <w:szCs w:val="32"/>
              </w:rPr>
              <w:t xml:space="preserve">Le Réseau</w:t>
            </w:r>
          </w:p>
        </w:tc>
      </w:tr>
    </w:tbl>
    <w:p>
      <w:pPr>
        <w:spacing w:after="0" w:before="0"/>
      </w:pPr>
    </w:p>
    <w:p>
      <w:pPr>
        <w:pStyle w:val="Heading2"/>
        <w:spacing w:after="160" w:before="320" w:line="340"/>
      </w:pPr>
      <w:bookmarkStart w:id="100040" w:name="_Toc100040"/>
      <w:r>
        <w:rPr>
          <w:rFonts w:ascii="Calibri" w:eastAsia="Calibri"/>
          <w:b/>
          <w:bCs/>
          <w:color w:val="2A4A3A"/>
          <w:sz w:val="28"/>
          <w:szCs w:val="28"/>
        </w:rPr>
        <w:t xml:space="preserve">Rôle</w:t>
      </w:r>
      <w:bookmarkEnd w:id="100040"/>
    </w:p>
    <w:p>
      <w:pPr>
        <w:spacing w:after="160" w:line="312"/>
        <w:ind w:firstLine="360"/>
        <w:jc w:val="left"/>
      </w:pPr>
      <w:r>
        <w:rPr>
          <w:rFonts w:ascii="Calibri" w:eastAsia="Calibri"/>
          <w:color w:val="1A1A1A"/>
          <w:sz w:val="22"/>
          <w:szCs w:val="22"/>
        </w:rPr>
        <w:t xml:space="preserve">L'Univers 7 est le septième et dernier pilier. Il transforme la famille en réseau d'opportunités professionnelles et personnelles, sans dénaturer les relations de parenté. Il réactive le capital social latent de la famille, qui était invisible faute d'outil.</w:t>
      </w:r>
    </w:p>
    <w:p>
      <w:pPr>
        <w:pStyle w:val="Heading2"/>
        <w:spacing w:after="160" w:before="320" w:line="340"/>
      </w:pPr>
      <w:bookmarkStart w:id="100041" w:name="_Toc100041"/>
      <w:r>
        <w:rPr>
          <w:rFonts w:ascii="Calibri" w:eastAsia="Calibri"/>
          <w:b/>
          <w:bCs/>
          <w:color w:val="2A4A3A"/>
          <w:sz w:val="28"/>
          <w:szCs w:val="28"/>
        </w:rPr>
        <w:t xml:space="preserve">Fonctionnalités clés</w:t>
      </w:r>
      <w:bookmarkEnd w:id="100041"/>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Répertoire des compétences —</w:t>
      </w:r>
      <w:r>
        <w:rPr>
          <w:rFonts w:ascii="Calibri" w:eastAsia="Calibri"/>
          <w:color w:val="1A1A1A"/>
          <w:sz w:val="22"/>
          <w:szCs w:val="22"/>
        </w:rPr>
        <w:t xml:space="preserve"> 12 catégories (santé, droit, finance, ingénierie, éducation, commerce, artisanat, administration, communication, social, art, agriculture), profil vérifié par chef de branche.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Mentorat intergénérationnel —</w:t>
      </w:r>
      <w:r>
        <w:rPr>
          <w:rFonts w:ascii="Calibri" w:eastAsia="Calibri"/>
          <w:color w:val="1A1A1A"/>
          <w:sz w:val="22"/>
          <w:szCs w:val="22"/>
        </w:rPr>
        <w:t xml:space="preserve"> 5 types de programmes (court, annuel, de vie, de projet, diaspora), appariement assisté, suivi structuré, évaluation à mi-parcours et finale.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Réseau diaspora —</w:t>
      </w:r>
      <w:r>
        <w:rPr>
          <w:rFonts w:ascii="Calibri" w:eastAsia="Calibri"/>
          <w:color w:val="1A1A1A"/>
          <w:sz w:val="22"/>
          <w:szCs w:val="22"/>
        </w:rPr>
        <w:t xml:space="preserve"> relais désignés par pays, accueil des nouveaux arrivants (30 jours), fiches pratiques, entraide administrative, accompagnement au retour.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Opportunités professionnelles —</w:t>
      </w:r>
      <w:r>
        <w:rPr>
          <w:rFonts w:ascii="Calibri" w:eastAsia="Calibri"/>
          <w:color w:val="1A1A1A"/>
          <w:sz w:val="22"/>
          <w:szCs w:val="22"/>
        </w:rPr>
        <w:t xml:space="preserve"> 8 types (emploi, stage, affaires, appel d'offres, projet familial, investissement, formation, mission), modération a priori, gestion des conflits d'intérêts.</w:t>
      </w:r>
    </w:p>
    <w:p>
      <w:pPr>
        <w:pStyle w:val="Heading2"/>
        <w:spacing w:after="160" w:before="320" w:line="340"/>
      </w:pPr>
      <w:bookmarkStart w:id="100042" w:name="_Toc100042"/>
      <w:r>
        <w:rPr>
          <w:rFonts w:ascii="Calibri" w:eastAsia="Calibri"/>
          <w:b/>
          <w:bCs/>
          <w:color w:val="2A4A3A"/>
          <w:sz w:val="28"/>
          <w:szCs w:val="28"/>
        </w:rPr>
        <w:t xml:space="preserve">Différenciateur</w:t>
      </w:r>
      <w:bookmarkEnd w:id="100042"/>
    </w:p>
    <w:p>
      <w:pPr>
        <w:spacing w:after="160" w:line="312"/>
        <w:ind w:firstLine="360"/>
        <w:jc w:val="left"/>
      </w:pPr>
      <w:r>
        <w:rPr>
          <w:rFonts w:ascii="Calibri" w:eastAsia="Calibri"/>
          <w:color w:val="1A1A1A"/>
          <w:sz w:val="22"/>
          <w:szCs w:val="22"/>
        </w:rPr>
        <w:t xml:space="preserve">La transformation de la famille en réseau explicite, structuré et respectueux. La distinction claire entre entraide (bénévole) et mission rémunérée, et les mesures anti-harcèlement (blocage, plafond, tolérance zéro) qui font du réseau un espace sûr.</w:t>
      </w:r>
    </w:p>
    <w:p>
      <w:pPr>
        <w:pStyle w:val="Heading2"/>
        <w:spacing w:after="160" w:before="320" w:line="340"/>
      </w:pPr>
      <w:bookmarkStart w:id="100043" w:name="_Toc100043"/>
      <w:r>
        <w:rPr>
          <w:rFonts w:ascii="Calibri" w:eastAsia="Calibri"/>
          <w:b/>
          <w:bCs/>
          <w:color w:val="2A4A3A"/>
          <w:sz w:val="28"/>
          <w:szCs w:val="28"/>
        </w:rPr>
        <w:t xml:space="preserve">KPI phare</w:t>
      </w:r>
      <w:bookmarkEnd w:id="100043"/>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 60 %</w:t>
            </w:r>
            <w:r>
              <w:rPr>
                <w:sz w:val="36"/>
                <w:szCs w:val="36"/>
              </w:rPr>
              <w:t xml:space="preserve">  </w:t>
            </w:r>
            <w:r>
              <w:rPr>
                <w:rFonts w:ascii="Calibri" w:eastAsia="Calibri"/>
                <w:color w:val="1A1A1A"/>
                <w:sz w:val="22"/>
                <w:szCs w:val="22"/>
              </w:rPr>
              <w:t xml:space="preserve">de membres adultes avec profil de compétences</w:t>
            </w:r>
          </w:p>
          <w:p>
            <w:pPr>
              <w:spacing w:line="280"/>
              <w:jc w:val="left"/>
            </w:pPr>
            <w:r>
              <w:rPr>
                <w:rFonts w:ascii="Calibri" w:eastAsia="Calibri"/>
                <w:i/>
                <w:iCs/>
                <w:color w:val="5A5A5A"/>
                <w:sz w:val="20"/>
                <w:szCs w:val="20"/>
              </w:rPr>
              <w:t xml:space="preserve">Réseau actif et utile, valorisation des ressources familiales</w:t>
            </w:r>
          </w:p>
        </w:tc>
      </w:tr>
    </w:tbl>
    <w:p>
      <w:pPr>
        <w:pStyle w:val="Heading1"/>
        <w:spacing w:after="240" w:before="480" w:line="360"/>
      </w:pPr>
      <w:bookmarkStart w:id="100044" w:name="_Toc100044"/>
      <w:r>
        <w:rPr>
          <w:rFonts w:ascii="Calibri" w:eastAsia="Calibri"/>
          <w:b/>
          <w:bCs/>
          <w:color w:val="2A4A3A"/>
          <w:sz w:val="32"/>
          <w:szCs w:val="32"/>
        </w:rPr>
        <w:t xml:space="preserve">10. Architecture globale et inter-dépendances</w:t>
      </w:r>
      <w:bookmarkEnd w:id="100044"/>
    </w:p>
    <w:p>
      <w:pPr>
        <w:spacing w:after="160" w:line="312"/>
        <w:ind w:firstLine="360"/>
        <w:jc w:val="left"/>
      </w:pPr>
      <w:r>
        <w:rPr>
          <w:rFonts w:ascii="Calibri" w:eastAsia="Calibri"/>
          <w:color w:val="1A1A1A"/>
          <w:sz w:val="22"/>
          <w:szCs w:val="22"/>
        </w:rPr>
        <w:t xml:space="preserve">Les 7 univers forment un système cohérent, où chaque univers s'appuie sur les autres et les enrichit. Cette inter-dépendance est la force de la plateforme : elle crée un effet réseau, où la valeur de chaque univers augmente avec l'adoption des autres.</w:t>
      </w:r>
    </w:p>
    <w:p>
      <w:pPr>
        <w:pStyle w:val="Heading2"/>
        <w:spacing w:after="160" w:before="320" w:line="340"/>
      </w:pPr>
      <w:bookmarkStart w:id="100045" w:name="_Toc100045"/>
      <w:r>
        <w:rPr>
          <w:rFonts w:ascii="Calibri" w:eastAsia="Calibri"/>
          <w:b/>
          <w:bCs/>
          <w:color w:val="2A4A3A"/>
          <w:sz w:val="28"/>
          <w:szCs w:val="28"/>
        </w:rPr>
        <w:t xml:space="preserve">10.1 La fondation : Univers 1</w:t>
      </w:r>
      <w:bookmarkEnd w:id="100045"/>
    </w:p>
    <w:p>
      <w:pPr>
        <w:spacing w:after="160" w:line="312"/>
        <w:ind w:firstLine="360"/>
        <w:jc w:val="left"/>
      </w:pPr>
      <w:r>
        <w:rPr>
          <w:rFonts w:ascii="Calibri" w:eastAsia="Calibri"/>
          <w:color w:val="1A1A1A"/>
          <w:sz w:val="22"/>
          <w:szCs w:val="22"/>
        </w:rPr>
        <w:t xml:space="preserve">L'Univers 1 (La Famille) est le socle non négociable. Tous les autres univers dépendent de lui pour identifier les membres, les branches, les rôles, et les permissions. Sans U1 complet et fiable, aucun autre univers ne peut fonctionner correctement. C'est pourquoi U1 est livré en premier, avec un objectif de 90 % de complétude avant le déploiement des autres univers.</w:t>
      </w:r>
    </w:p>
    <w:p>
      <w:pPr>
        <w:pStyle w:val="Heading2"/>
        <w:spacing w:after="160" w:before="320" w:line="340"/>
      </w:pPr>
      <w:bookmarkStart w:id="100046" w:name="_Toc100046"/>
      <w:r>
        <w:rPr>
          <w:rFonts w:ascii="Calibri" w:eastAsia="Calibri"/>
          <w:b/>
          <w:bCs/>
          <w:color w:val="2A4A3A"/>
          <w:sz w:val="28"/>
          <w:szCs w:val="28"/>
        </w:rPr>
        <w:t xml:space="preserve">10.2 Les flux de données entre univers</w:t>
      </w:r>
      <w:bookmarkEnd w:id="100046"/>
    </w:p>
    <w:p>
      <w:pPr>
        <w:keepNext/>
        <w:spacing w:after="120" w:before="240"/>
        <w:jc w:val="left"/>
      </w:pPr>
      <w:r>
        <w:rPr>
          <w:rFonts w:ascii="Calibri" w:eastAsia="Calibri"/>
          <w:b/>
          <w:bCs/>
          <w:color w:val="2A4A3A"/>
          <w:sz w:val="20"/>
          <w:szCs w:val="20"/>
        </w:rPr>
        <w:t xml:space="preserve">Tableau 3 — Flux de données entre univers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Source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Destination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Donnée échangée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Déclencheur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U2 Vie familiale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U3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Création automatique d'un dossier de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Décès, maladie, sinistre déclaré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U3 Solidarité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U4 Finances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Écritures comptables, paiements Mobile Money</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Collecte, dépense validée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U4 Finances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 Gouvernance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Budget à voter, bilans annuels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Clôture exercice, vote budgétaire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U5 Gouvernance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U4 Finances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Décisions validées (cotisations, dépenses)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 motion adoptée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U2, U3, U4, U5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U6 Mémoire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Archivage automatique des dossiers clôturés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Clôture d'un dossier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U1 Famille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U7 Réseau</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branches, diaspora</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Profil publié, mise à jour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U6 Mémoire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U7 Réseau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Biographies, parcours pour mentorat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Biographie validée</w:t>
            </w:r>
          </w:p>
        </w:tc>
      </w:tr>
    </w:tbl>
    <w:p>
      <w:pPr>
        <w:pStyle w:val="Heading2"/>
        <w:spacing w:after="160" w:before="320" w:line="340"/>
      </w:pPr>
      <w:bookmarkStart w:id="100047" w:name="_Toc100047"/>
      <w:r>
        <w:rPr>
          <w:rFonts w:ascii="Calibri" w:eastAsia="Calibri"/>
          <w:b/>
          <w:bCs/>
          <w:color w:val="2A4A3A"/>
          <w:sz w:val="28"/>
          <w:szCs w:val="28"/>
        </w:rPr>
        <w:t xml:space="preserve">10.3 Effet réseau et valeur cumulée</w:t>
      </w:r>
      <w:bookmarkEnd w:id="100047"/>
    </w:p>
    <w:p>
      <w:pPr>
        <w:spacing w:after="160" w:line="312"/>
        <w:ind w:firstLine="360"/>
        <w:jc w:val="left"/>
      </w:pPr>
      <w:r>
        <w:rPr>
          <w:rFonts w:ascii="Calibri" w:eastAsia="Calibri"/>
          <w:color w:val="1A1A1A"/>
          <w:sz w:val="22"/>
          <w:szCs w:val="22"/>
        </w:rPr>
        <w:t xml:space="preserve">L'adoption d'un univers augmente la valeur des autres. Par exemple, plus l'Univers 1 est complet, plus l'Univers 2 peut cibler précisément les annonces. Plus l'Univers 4 est utilisé, plus l'Univers 3 peut exécuter des collectes transparentes. Plus l'Univers 6 est riche, plus l'Univers 7 peut proposer des mentors pertinents. Cet effet réseau crée une barrière à la sortie : une fois qu'une famille a adopté plusieurs univers, elle ne peut plus revenir en arrière sans perdre l'ensemble de la valeur accumulée.</w:t>
      </w:r>
    </w:p>
    <w:p>
      <w:pPr>
        <w:pStyle w:val="Heading1"/>
        <w:spacing w:after="240" w:before="480" w:line="360"/>
      </w:pPr>
      <w:bookmarkStart w:id="100048" w:name="_Toc100048"/>
      <w:r>
        <w:rPr>
          <w:rFonts w:ascii="Calibri" w:eastAsia="Calibri"/>
          <w:b/>
          <w:bCs/>
          <w:color w:val="2A4A3A"/>
          <w:sz w:val="32"/>
          <w:szCs w:val="32"/>
        </w:rPr>
        <w:t xml:space="preserve">11. Marché cible et stratégie d'adoption</w:t>
      </w:r>
      <w:bookmarkEnd w:id="100048"/>
    </w:p>
    <w:p>
      <w:pPr>
        <w:pStyle w:val="Heading2"/>
        <w:spacing w:after="160" w:before="320" w:line="340"/>
      </w:pPr>
      <w:bookmarkStart w:id="100049" w:name="_Toc100049"/>
      <w:r>
        <w:rPr>
          <w:rFonts w:ascii="Calibri" w:eastAsia="Calibri"/>
          <w:b/>
          <w:bCs/>
          <w:color w:val="2A4A3A"/>
          <w:sz w:val="28"/>
          <w:szCs w:val="28"/>
        </w:rPr>
        <w:t xml:space="preserve">11.1 Segmentation du marché</w:t>
      </w:r>
      <w:bookmarkEnd w:id="100049"/>
    </w:p>
    <w:p>
      <w:pPr>
        <w:spacing w:after="160" w:line="312"/>
        <w:ind w:firstLine="360"/>
        <w:jc w:val="left"/>
      </w:pPr>
      <w:r>
        <w:rPr>
          <w:rFonts w:ascii="Calibri" w:eastAsia="Calibri"/>
          <w:color w:val="1A1A1A"/>
          <w:sz w:val="22"/>
          <w:szCs w:val="22"/>
        </w:rPr>
        <w:t xml:space="preserve">Le marché se segmente en trois populations successives, permettant une progression maîtrisée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Phase 1 (Cameroun) —</w:t>
      </w:r>
      <w:r>
        <w:rPr>
          <w:rFonts w:ascii="Calibri" w:eastAsia="Calibri"/>
          <w:color w:val="1A1A1A"/>
          <w:sz w:val="22"/>
          <w:szCs w:val="22"/>
        </w:rPr>
        <w:t xml:space="preserve"> 3 000 à 5 000 grandes familles structurées, principalement dans les régions de l'Ouest, du Centre, du Littoral et du Sud. Familles pilotes pour valider le produit et créer des cas d'usage de référence.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Phase 2 (zone CEMAC) —</w:t>
      </w:r>
      <w:r>
        <w:rPr>
          <w:rFonts w:ascii="Calibri" w:eastAsia="Calibri"/>
          <w:color w:val="1A1A1A"/>
          <w:sz w:val="22"/>
          <w:szCs w:val="22"/>
        </w:rPr>
        <w:t xml:space="preserve"> 10 000 à 15 000 familles éligibles au Gabon, Tchad, RCA, Congo, Guinée équatoriale. Marché naturellement adjacent, même contexte culturel et mobile money.</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Phase 3 (Afrique francophone + diaspora) —</w:t>
      </w:r>
      <w:r>
        <w:rPr>
          <w:rFonts w:ascii="Calibri" w:eastAsia="Calibri"/>
          <w:color w:val="1A1A1A"/>
          <w:sz w:val="22"/>
          <w:szCs w:val="22"/>
        </w:rPr>
        <w:t xml:space="preserve"> 50 000+ familles potentielles, avec extension à d'autres communautés structurées (associations villageoises, congrégations).</w:t>
      </w:r>
    </w:p>
    <w:p>
      <w:pPr>
        <w:pStyle w:val="Heading2"/>
        <w:spacing w:after="160" w:before="320" w:line="340"/>
      </w:pPr>
      <w:bookmarkStart w:id="100050" w:name="_Toc100050"/>
      <w:r>
        <w:rPr>
          <w:rFonts w:ascii="Calibri" w:eastAsia="Calibri"/>
          <w:b/>
          <w:bCs/>
          <w:color w:val="2A4A3A"/>
          <w:sz w:val="28"/>
          <w:szCs w:val="28"/>
        </w:rPr>
        <w:t xml:space="preserve">11.2 Modèle économique</w:t>
      </w:r>
      <w:bookmarkEnd w:id="100050"/>
    </w:p>
    <w:p>
      <w:pPr>
        <w:keepNext/>
        <w:spacing w:after="120" w:before="240"/>
        <w:jc w:val="left"/>
      </w:pPr>
      <w:r>
        <w:rPr>
          <w:rFonts w:ascii="Calibri" w:eastAsia="Calibri"/>
          <w:b/>
          <w:bCs/>
          <w:color w:val="2A4A3A"/>
          <w:sz w:val="20"/>
          <w:szCs w:val="20"/>
        </w:rPr>
        <w:t xml:space="preserve">Tableau 4 — Modèle économique par segment</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Segment</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Modèle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Tarif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Familles pilotes (Phase 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Gratuit + accompagnement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0 FCFA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5-10 familles pilotes la première année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Petites familles (&lt; 50 membres)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Freemium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0 FCFA</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Découverte et adoption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Familles moyennes (50-200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Abonnement familial annuel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10 000 FCFA/an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Cœur de marché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Grandes familles (200+ membres)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Abonnement familial annuel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25 000 FCFA/an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Segment premium</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Services d'onboarding</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Facturation à la prestation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100 000 - 500 000 FCFA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humain initial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Services d'audit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Facturation annuelle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200 000 - 1 000 000 FCFA</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Familles souhaitant un audit externe</w:t>
            </w:r>
          </w:p>
        </w:tc>
      </w:tr>
    </w:tbl>
    <w:p>
      <w:pPr>
        <w:spacing w:after="160" w:line="312"/>
        <w:ind w:firstLine="360"/>
        <w:jc w:val="left"/>
      </w:pPr>
      <w:r>
        <w:rPr>
          <w:rFonts w:ascii="Calibri" w:eastAsia="Calibri"/>
          <w:color w:val="1A1A1A"/>
          <w:sz w:val="22"/>
          <w:szCs w:val="22"/>
        </w:rPr>
        <w:t xml:space="preserve">Le modèle est volontairement accessible : l'abonnement familial est prélevé sur la caisse familiale, ce qui le rend indolore pour les membres individuels. L'objectif n'est pas la rentabilité unitaire élevée, mais le volume et la rétention. Une famille qui a adopté FamilleConnect reste abonnée pendant des décennies.</w:t>
      </w:r>
    </w:p>
    <w:p>
      <w:pPr>
        <w:pStyle w:val="Heading2"/>
        <w:spacing w:after="160" w:before="320" w:line="340"/>
      </w:pPr>
      <w:bookmarkStart w:id="100051" w:name="_Toc100051"/>
      <w:r>
        <w:rPr>
          <w:rFonts w:ascii="Calibri" w:eastAsia="Calibri"/>
          <w:b/>
          <w:bCs/>
          <w:color w:val="2A4A3A"/>
          <w:sz w:val="28"/>
          <w:szCs w:val="28"/>
        </w:rPr>
        <w:t xml:space="preserve">11.3 Stratégie go-to-market</w:t>
      </w:r>
      <w:bookmarkEnd w:id="100051"/>
    </w:p>
    <w:p>
      <w:pPr>
        <w:spacing w:after="160" w:line="312"/>
        <w:ind w:firstLine="360"/>
        <w:jc w:val="left"/>
      </w:pPr>
      <w:r>
        <w:rPr>
          <w:rFonts w:ascii="Calibri" w:eastAsia="Calibri"/>
          <w:color w:val="1A1A1A"/>
          <w:sz w:val="22"/>
          <w:szCs w:val="22"/>
        </w:rPr>
        <w:t xml:space="preserve">La stratégie d'adoption repose sur 4 leviers complémentaires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Familles pilotes —</w:t>
      </w:r>
      <w:r>
        <w:rPr>
          <w:rFonts w:ascii="Calibri" w:eastAsia="Calibri"/>
          <w:color w:val="1A1A1A"/>
          <w:sz w:val="22"/>
          <w:szCs w:val="22"/>
        </w:rPr>
        <w:t xml:space="preserve"> 5 à 10 familles pilotes la première année, sélectionnées pour leur représentativité et leur engagement. Accompagnement humain renforcé, gratuité totale, contre témoignages et retours d'expérience.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Réseau d'ambassadeurs —</w:t>
      </w:r>
      <w:r>
        <w:rPr>
          <w:rFonts w:ascii="Calibri" w:eastAsia="Calibri"/>
          <w:color w:val="1A1A1A"/>
          <w:sz w:val="22"/>
          <w:szCs w:val="22"/>
        </w:rPr>
        <w:t xml:space="preserve"> chefs de famille, patriarches, membres influents. Programme de reconnaissance (badges, mentions au congrès), formation, outils de parrainage.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Partenariats institutionnels —</w:t>
      </w:r>
      <w:r>
        <w:rPr>
          <w:rFonts w:ascii="Calibri" w:eastAsia="Calibri"/>
          <w:color w:val="1A1A1A"/>
          <w:sz w:val="22"/>
          <w:szCs w:val="22"/>
        </w:rPr>
        <w:t xml:space="preserve"> associations familiales, associations villageoises, congrégations religieuses, institutions culturelles. Co-diffusion, co-marketing, co-création de cas d'usage.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Présence numérique —</w:t>
      </w:r>
      <w:r>
        <w:rPr>
          <w:rFonts w:ascii="Calibri" w:eastAsia="Calibri"/>
          <w:color w:val="1A1A1A"/>
          <w:sz w:val="22"/>
          <w:szCs w:val="22"/>
        </w:rPr>
        <w:t xml:space="preserve"> site web, réseaux sociaux, contenus (articles, vidéos, témoignages), SEO sur les mots-clés de la gestion familiale africaine.</w:t>
      </w:r>
    </w:p>
    <w:p>
      <w:pPr>
        <w:pStyle w:val="Heading2"/>
        <w:spacing w:after="160" w:before="320" w:line="340"/>
      </w:pPr>
      <w:bookmarkStart w:id="100052" w:name="_Toc100052"/>
      <w:r>
        <w:rPr>
          <w:rFonts w:ascii="Calibri" w:eastAsia="Calibri"/>
          <w:b/>
          <w:bCs/>
          <w:color w:val="2A4A3A"/>
          <w:sz w:val="28"/>
          <w:szCs w:val="28"/>
        </w:rPr>
        <w:t xml:space="preserve">11.4 Partenaires stratégiques potentiels</w:t>
      </w:r>
      <w:bookmarkEnd w:id="100052"/>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Opérateurs Mobile Money —</w:t>
      </w:r>
      <w:r>
        <w:rPr>
          <w:rFonts w:ascii="Calibri" w:eastAsia="Calibri"/>
          <w:color w:val="1A1A1A"/>
          <w:sz w:val="22"/>
          <w:szCs w:val="22"/>
        </w:rPr>
        <w:t xml:space="preserve"> MTN MoMo, Orange Money : intégration API, co-marketing, distribution.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Institutions financières —</w:t>
      </w:r>
      <w:r>
        <w:rPr>
          <w:rFonts w:ascii="Calibri" w:eastAsia="Calibri"/>
          <w:color w:val="1A1A1A"/>
          <w:sz w:val="22"/>
          <w:szCs w:val="22"/>
        </w:rPr>
        <w:t xml:space="preserve"> banques locales (Afriland, BICEC, SGBC) : comptes familiales, crédits, placements.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Institutions culturelles —</w:t>
      </w:r>
      <w:r>
        <w:rPr>
          <w:rFonts w:ascii="Calibri" w:eastAsia="Calibri"/>
          <w:color w:val="1A1A1A"/>
          <w:sz w:val="22"/>
          <w:szCs w:val="22"/>
        </w:rPr>
        <w:t xml:space="preserve"> ministère de la Culture, associations de défense du patrimoine, universités : reconnaissance, subventions, recherche.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Églises et congrégations —</w:t>
      </w:r>
      <w:r>
        <w:rPr>
          <w:rFonts w:ascii="Calibri" w:eastAsia="Calibri"/>
          <w:color w:val="1A1A1A"/>
          <w:sz w:val="22"/>
          <w:szCs w:val="22"/>
        </w:rPr>
        <w:t xml:space="preserve"> réseau de diffusion naturel, légitimité, accompagnement moral.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Diaspora organisée —</w:t>
      </w:r>
      <w:r>
        <w:rPr>
          <w:rFonts w:ascii="Calibri" w:eastAsia="Calibri"/>
          <w:color w:val="1A1A1A"/>
          <w:sz w:val="22"/>
          <w:szCs w:val="22"/>
        </w:rPr>
        <w:t xml:space="preserve"> associations de Camerounais de l'étranger, fédérations diaspora : relais dans les pays d'accueil.</w:t>
      </w:r>
    </w:p>
    <w:p>
      <w:pPr>
        <w:pStyle w:val="Heading1"/>
        <w:spacing w:after="240" w:before="480" w:line="360"/>
      </w:pPr>
      <w:bookmarkStart w:id="100053" w:name="_Toc100053"/>
      <w:r>
        <w:rPr>
          <w:rFonts w:ascii="Calibri" w:eastAsia="Calibri"/>
          <w:b/>
          <w:bCs/>
          <w:color w:val="2A4A3A"/>
          <w:sz w:val="32"/>
          <w:szCs w:val="32"/>
        </w:rPr>
        <w:t xml:space="preserve">12. Feuille de route de développement</w:t>
      </w:r>
      <w:bookmarkEnd w:id="100053"/>
    </w:p>
    <w:p>
      <w:pPr>
        <w:spacing w:after="160" w:line="312"/>
        <w:ind w:firstLine="360"/>
        <w:jc w:val="left"/>
      </w:pPr>
      <w:r>
        <w:rPr>
          <w:rFonts w:ascii="Calibri" w:eastAsia="Calibri"/>
          <w:color w:val="1A1A1A"/>
          <w:sz w:val="22"/>
          <w:szCs w:val="22"/>
        </w:rPr>
        <w:t xml:space="preserve">Le développement s'étale sur 24 à 30 mois, en 3 phases progressives. Chaque phase a des critères de sortie clairs, qui doivent être atteints avant le passage à la suivante.</w:t>
      </w:r>
    </w:p>
    <w:p>
      <w:pPr>
        <w:pStyle w:val="Heading2"/>
        <w:spacing w:after="160" w:before="320" w:line="340"/>
      </w:pPr>
      <w:bookmarkStart w:id="100054" w:name="_Toc100054"/>
      <w:r>
        <w:rPr>
          <w:rFonts w:ascii="Calibri" w:eastAsia="Calibri"/>
          <w:b/>
          <w:bCs/>
          <w:color w:val="2A4A3A"/>
          <w:sz w:val="28"/>
          <w:szCs w:val="28"/>
        </w:rPr>
        <w:t xml:space="preserve">12.1 Phase 1 — MVP (mois 1 à 9)</w:t>
      </w:r>
      <w:bookmarkEnd w:id="100054"/>
    </w:p>
    <w:p>
      <w:pPr>
        <w:keepNext/>
        <w:spacing w:after="120" w:before="240"/>
        <w:jc w:val="left"/>
      </w:pPr>
      <w:r>
        <w:rPr>
          <w:rFonts w:ascii="Calibri" w:eastAsia="Calibri"/>
          <w:b/>
          <w:bCs/>
          <w:color w:val="2A4A3A"/>
          <w:sz w:val="20"/>
          <w:szCs w:val="20"/>
        </w:rPr>
        <w:t xml:space="preserve">Tableau 5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Univers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 Phase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U1 —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Registre, branches, rôles minimaux, tableau de bord</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U4 — Finances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Caisse principale, cotisations trimestrielles, Mobile Money (MTN + Orange)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U4 — Finances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comptable immutable, double validation, reçus PDF</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U2 — Vie familiale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Catalogue 8 types essentiels, calendrier, dossier simple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U2 — Vie familiale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Workflow statique : décès (le plus critique)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Commun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Application mobile Android + interface web responsive, authentification 2FA</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 90 % de complétude du registre, ≥ 80 % de cotisation à jour, ≥ 95 % de rapprochement Mobile Money, 5 familles pilotes onboardées.</w:t>
      </w:r>
    </w:p>
    <w:p>
      <w:pPr>
        <w:pStyle w:val="Heading2"/>
        <w:spacing w:after="160" w:before="320" w:line="340"/>
      </w:pPr>
      <w:bookmarkStart w:id="100055" w:name="_Toc100055"/>
      <w:r>
        <w:rPr>
          <w:rFonts w:ascii="Calibri" w:eastAsia="Calibri"/>
          <w:b/>
          <w:bCs/>
          <w:color w:val="2A4A3A"/>
          <w:sz w:val="28"/>
          <w:szCs w:val="28"/>
        </w:rPr>
        <w:t xml:space="preserve">12.2 Phase 2 — Enrichissement (mois 10 à 18)</w:t>
      </w:r>
      <w:bookmarkEnd w:id="100055"/>
    </w:p>
    <w:p>
      <w:pPr>
        <w:keepNext/>
        <w:spacing w:after="120" w:before="240"/>
        <w:jc w:val="left"/>
      </w:pPr>
      <w:r>
        <w:rPr>
          <w:rFonts w:ascii="Calibri" w:eastAsia="Calibri"/>
          <w:b/>
          <w:bCs/>
          <w:color w:val="2A4A3A"/>
          <w:sz w:val="20"/>
          <w:szCs w:val="20"/>
        </w:rPr>
        <w:t xml:space="preserve">Tableau 6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Univers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 Phase 2</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U1 —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Arbre généalogique interactif, diaspora, confidentialité, recherche avancée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U2 — Vie familiale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Catalogue complet 23 types, workflows configurables, inscriptions, logistique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U3 —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complet, collecte ciblée, suivi des situations, aides sociales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U4 — Finances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Caisse multi-niveaux, budget annuel, comptabilité SYSCOHADA, mode audit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 — Gouvernance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Votes simples, comités, PV, règlement intérieur</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30 familles actives, ≥ 60 % de participation aux votes, ≥ 4/5 de satisfaction trésorier, clôture annuelle dans les 90 jours.</w:t>
      </w:r>
    </w:p>
    <w:p>
      <w:pPr>
        <w:pStyle w:val="Heading2"/>
        <w:spacing w:after="160" w:before="320" w:line="340"/>
      </w:pPr>
      <w:bookmarkStart w:id="100056" w:name="_Toc100056"/>
      <w:r>
        <w:rPr>
          <w:rFonts w:ascii="Calibri" w:eastAsia="Calibri"/>
          <w:b/>
          <w:bCs/>
          <w:color w:val="2A4A3A"/>
          <w:sz w:val="28"/>
          <w:szCs w:val="28"/>
        </w:rPr>
        <w:t xml:space="preserve">12.3 Phase 3 — Maturité (mois 19 à 30)</w:t>
      </w:r>
      <w:bookmarkEnd w:id="100056"/>
    </w:p>
    <w:p>
      <w:pPr>
        <w:keepNext/>
        <w:spacing w:after="120" w:before="240"/>
        <w:jc w:val="left"/>
      </w:pPr>
      <w:r>
        <w:rPr>
          <w:rFonts w:ascii="Calibri" w:eastAsia="Calibri"/>
          <w:b/>
          <w:bCs/>
          <w:color w:val="2A4A3A"/>
          <w:sz w:val="20"/>
          <w:szCs w:val="20"/>
        </w:rPr>
        <w:t xml:space="preserve">Tableau 7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Univers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 Phase 3</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U5 — Gouvernance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Élections formelles, votes des responsables, recours, assemblées hybrides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U6 — Mémoire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Bibliothèque, albums, mémoire des anciens (interviews), histoire, traditions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U7 — Réseau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Compétences, entraide, mentorat, opportunités, diaspora</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Commun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IA familiale (assistant langage naturel), mode hors-ligne robuste, notifications vocales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Commun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Multi-famille, extension à d'autres communautés structurées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100 familles actives, ≥ 50 % des anciens avec interview, satisfaction membres ≥ 4/5,IA opérationnelle.</w:t>
      </w:r>
    </w:p>
    <w:p>
      <w:pPr>
        <w:pStyle w:val="Heading2"/>
        <w:spacing w:after="160" w:before="320" w:line="340"/>
      </w:pPr>
      <w:bookmarkStart w:id="100057" w:name="_Toc100057"/>
      <w:r>
        <w:rPr>
          <w:rFonts w:ascii="Calibri" w:eastAsia="Calibri"/>
          <w:b/>
          <w:bCs/>
          <w:color w:val="2A4A3A"/>
          <w:sz w:val="28"/>
          <w:szCs w:val="28"/>
        </w:rPr>
        <w:t xml:space="preserve">12.4 Ressources et budget indicatif</w:t>
      </w:r>
      <w:bookmarkEnd w:id="100057"/>
    </w:p>
    <w:p>
      <w:pPr>
        <w:keepNext/>
        <w:spacing w:after="120" w:before="240"/>
        <w:jc w:val="left"/>
      </w:pPr>
      <w:r>
        <w:rPr>
          <w:rFonts w:ascii="Calibri" w:eastAsia="Calibri"/>
          <w:b/>
          <w:bCs/>
          <w:color w:val="2A4A3A"/>
          <w:sz w:val="20"/>
          <w:szCs w:val="20"/>
        </w:rPr>
        <w:t xml:space="preserve">Tableau 8 — Budget indicatif par phase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Phase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Durée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Équipe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Budget indicatif (FCFA)</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Phase 1 — MVP</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9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2 devs full-stack + 1 designer + 1 PM + 1 référent familles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40 – 60 millions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Phase 2 — Enrichissement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9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4 devs + 1 designer + 1 PM + 2 référents + 1 support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60 – 90 millions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Phase 3 — Maturité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12 mois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6 devs + 2 designers + 1 PM + 3 référents + 2 support + 1 IA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 – 150 millions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Total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30 mois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Équipe progressive jusqu'à 15 personnes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200 – 300 millions</w:t>
            </w:r>
          </w:p>
        </w:tc>
      </w:tr>
    </w:tbl>
    <w:p>
      <w:pPr>
        <w:spacing w:after="160" w:line="312"/>
        <w:ind w:firstLine="360"/>
        <w:jc w:val="left"/>
      </w:pPr>
      <w:r>
        <w:rPr>
          <w:rFonts w:ascii="Calibri" w:eastAsia="Calibri"/>
          <w:color w:val="1A1A1A"/>
          <w:sz w:val="22"/>
          <w:szCs w:val="22"/>
        </w:rPr>
        <w:t xml:space="preserve">Ce budget est indicatif et comprend les salaires, l'infrastructure, les frais d'opération, et le marketing. Il est calibré pour une équipe basée au Cameroun, avec quelques expertises internationales ponctuelles. Des économies sont possibles par le recours à des développeurs juniors formés sur le projet, et par la mutualisation de l'infrastructure.</w:t>
      </w:r>
    </w:p>
    <w:p>
      <w:pPr>
        <w:pStyle w:val="Heading1"/>
        <w:spacing w:after="240" w:before="480" w:line="360"/>
      </w:pPr>
      <w:bookmarkStart w:id="100058" w:name="_Toc100058"/>
      <w:r>
        <w:rPr>
          <w:rFonts w:ascii="Calibri" w:eastAsia="Calibri"/>
          <w:b/>
          <w:bCs/>
          <w:color w:val="2A4A3A"/>
          <w:sz w:val="32"/>
          <w:szCs w:val="32"/>
        </w:rPr>
        <w:t xml:space="preserve">13. Risques et mitigations</w:t>
      </w:r>
      <w:bookmarkEnd w:id="100058"/>
    </w:p>
    <w:p>
      <w:pPr>
        <w:spacing w:after="160" w:line="312"/>
        <w:ind w:firstLine="360"/>
        <w:jc w:val="left"/>
      </w:pPr>
      <w:r>
        <w:rPr>
          <w:rFonts w:ascii="Calibri" w:eastAsia="Calibri"/>
          <w:color w:val="1A1A1A"/>
          <w:sz w:val="22"/>
          <w:szCs w:val="22"/>
        </w:rPr>
        <w:t xml:space="preserve">Le projet comporte des risques, comme toute aventure entrepreneuriale. Les principaux sont identifiés, avec des stratégies de mitigation pour chacun.</w:t>
      </w:r>
    </w:p>
    <w:p>
      <w:pPr>
        <w:keepNext/>
        <w:spacing w:after="120" w:before="240"/>
        <w:jc w:val="left"/>
      </w:pPr>
      <w:r>
        <w:rPr>
          <w:rFonts w:ascii="Calibri" w:eastAsia="Calibri"/>
          <w:b/>
          <w:bCs/>
          <w:color w:val="2A4A3A"/>
          <w:sz w:val="20"/>
          <w:szCs w:val="20"/>
        </w:rPr>
        <w:t xml:space="preserve">Tableau 9 — Top 8 risques et mitigations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Risque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Probabilité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Impact</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Mitigation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insuffisante par les aînés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Élevée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Critique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Interface gros caractères, notifications vocales, accompagnement humain référent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Perte de confiance financière (fraude)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Faible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Critique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immutable, double validation, audit aléatoire, sanction exemplaire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Dépendance aux opérateurs Mobile Money</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Moyenne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Élevé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Double intégration MTN + Orange, mode espèces de secours, veille réglementaire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Conflits familiaux aggravés par la transparence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Moyenne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Moyen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médiation, procédure de recours, confidentialité des situations sensibles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Concurrence d'une solution grand public (WhatsApp, Meta)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Élevée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Moyen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Spécialisation familiale africaine, effet réseau, lock-in par la mémoire accumulée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Coût d'infrastructure sous-estimé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Moyenne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Moyen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Modèle freemium limité, mutualisation, optimisation continue des coûts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Évolution réglementaire (RGPD, données personnelles)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Faible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Moyen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Veille juridique, conformité by design, hébergement local envisageable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Difficultés de recrutement technique au Cameroun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Moyenne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Élevé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Formation interne, partenariats écoles, télétravail partiel avec diaspora</w:t>
            </w:r>
          </w:p>
        </w:tc>
      </w:tr>
    </w:tbl>
    <w:p>
      <w:pPr>
        <w:pStyle w:val="Heading1"/>
        <w:spacing w:after="240" w:before="480" w:line="360"/>
      </w:pPr>
      <w:bookmarkStart w:id="100059" w:name="_Toc100059"/>
      <w:r>
        <w:rPr>
          <w:rFonts w:ascii="Calibri" w:eastAsia="Calibri"/>
          <w:b/>
          <w:bCs/>
          <w:color w:val="2A4A3A"/>
          <w:sz w:val="32"/>
          <w:szCs w:val="32"/>
        </w:rPr>
        <w:t xml:space="preserve">14. Indicateurs de succès globaux</w:t>
      </w:r>
      <w:bookmarkEnd w:id="100059"/>
    </w:p>
    <w:p>
      <w:pPr>
        <w:spacing w:after="160" w:line="312"/>
        <w:ind w:firstLine="360"/>
        <w:jc w:val="left"/>
      </w:pPr>
      <w:r>
        <w:rPr>
          <w:rFonts w:ascii="Calibri" w:eastAsia="Calibri"/>
          <w:color w:val="1A1A1A"/>
          <w:sz w:val="22"/>
          <w:szCs w:val="22"/>
        </w:rPr>
        <w:t xml:space="preserve">Les indicateurs ci-dessous permettent de mesurer la santé globale de la plateforme. Ils sont consultables en temps réel par le comité de pilotage sur un tableau de bord dédié.</w:t>
      </w:r>
    </w:p>
    <w:p>
      <w:pPr>
        <w:pStyle w:val="Heading2"/>
        <w:spacing w:after="160" w:before="320" w:line="340"/>
      </w:pPr>
      <w:bookmarkStart w:id="100060" w:name="_Toc100060"/>
      <w:r>
        <w:rPr>
          <w:rFonts w:ascii="Calibri" w:eastAsia="Calibri"/>
          <w:b/>
          <w:bCs/>
          <w:color w:val="2A4A3A"/>
          <w:sz w:val="28"/>
          <w:szCs w:val="28"/>
        </w:rPr>
        <w:t xml:space="preserve">14.1 KPI année 1</w:t>
      </w:r>
      <w:bookmarkEnd w:id="100060"/>
    </w:p>
    <w:p>
      <w:pPr>
        <w:keepNext/>
        <w:spacing w:after="120" w:before="240"/>
        <w:jc w:val="left"/>
      </w:pPr>
      <w:r>
        <w:rPr>
          <w:rFonts w:ascii="Calibri" w:eastAsia="Calibri"/>
          <w:b/>
          <w:bCs/>
          <w:color w:val="2A4A3A"/>
          <w:sz w:val="20"/>
          <w:szCs w:val="20"/>
        </w:rPr>
        <w:t xml:space="preserve">Tableau 10 — KPI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Familles pilotes actives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 – 10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enregistrés cumulés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1 500 – 3 000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complétude du registre (U1)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cotisation à jour (U4)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d'annonce de décès (U2)</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30 min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événement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déclenchement de collecte (U3)</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 h</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dossier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globale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bl>
    <w:p>
      <w:pPr>
        <w:pStyle w:val="Heading2"/>
        <w:spacing w:after="160" w:before="320" w:line="340"/>
      </w:pPr>
      <w:bookmarkStart w:id="100061" w:name="_Toc100061"/>
      <w:r>
        <w:rPr>
          <w:rFonts w:ascii="Calibri" w:eastAsia="Calibri"/>
          <w:b/>
          <w:bCs/>
          <w:color w:val="2A4A3A"/>
          <w:sz w:val="28"/>
          <w:szCs w:val="28"/>
        </w:rPr>
        <w:t xml:space="preserve">14.2 KPI année 3</w:t>
      </w:r>
      <w:bookmarkEnd w:id="100061"/>
    </w:p>
    <w:p>
      <w:pPr>
        <w:keepNext/>
        <w:spacing w:after="120" w:before="240"/>
        <w:jc w:val="left"/>
      </w:pPr>
      <w:r>
        <w:rPr>
          <w:rFonts w:ascii="Calibri" w:eastAsia="Calibri"/>
          <w:b/>
          <w:bCs/>
          <w:color w:val="2A4A3A"/>
          <w:sz w:val="20"/>
          <w:szCs w:val="20"/>
        </w:rPr>
        <w:t xml:space="preserve">Tableau 11 — KPI année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Familles abonnées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enregistrés cumulés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30 000+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Revenus annuels récurrents (ARR)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 – 200 millions FCFA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rétention des familles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participation aux votes (U5)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vote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Interviews d'anciens enregistrées (U6)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500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Mentorats actifs (U7)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200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globale des membres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bl>
    <w:p>
      <w:pPr>
        <w:pStyle w:val="Heading1"/>
        <w:spacing w:after="240" w:before="480" w:line="360"/>
      </w:pPr>
      <w:bookmarkStart w:id="100062" w:name="_Toc100062"/>
      <w:r>
        <w:rPr>
          <w:rFonts w:ascii="Calibri" w:eastAsia="Calibri"/>
          <w:b/>
          <w:bCs/>
          <w:color w:val="2A4A3A"/>
          <w:sz w:val="32"/>
          <w:szCs w:val="32"/>
        </w:rPr>
        <w:t xml:space="preserve">15. Opportunité d'investissement et de partenariat</w:t>
      </w:r>
      <w:bookmarkEnd w:id="100062"/>
    </w:p>
    <w:p>
      <w:pPr>
        <w:pStyle w:val="Heading2"/>
        <w:spacing w:after="160" w:before="320" w:line="340"/>
      </w:pPr>
      <w:bookmarkStart w:id="100063" w:name="_Toc100063"/>
      <w:r>
        <w:rPr>
          <w:rFonts w:ascii="Calibri" w:eastAsia="Calibri"/>
          <w:b/>
          <w:bCs/>
          <w:color w:val="2A4A3A"/>
          <w:sz w:val="28"/>
          <w:szCs w:val="28"/>
        </w:rPr>
        <w:t xml:space="preserve">15.1 Ce que nous cherchons</w:t>
      </w:r>
      <w:bookmarkEnd w:id="100063"/>
    </w:p>
    <w:p>
      <w:pPr>
        <w:spacing w:after="160" w:line="312"/>
        <w:ind w:firstLine="360"/>
        <w:jc w:val="left"/>
      </w:pPr>
      <w:r>
        <w:rPr>
          <w:rFonts w:ascii="Calibri" w:eastAsia="Calibri"/>
          <w:color w:val="1A1A1A"/>
          <w:sz w:val="22"/>
          <w:szCs w:val="22"/>
        </w:rPr>
        <w:t xml:space="preserve">FamilleConnect recherche trois types de partenaires pour accélérer son développement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Investisseurs financiers —</w:t>
      </w:r>
      <w:r>
        <w:rPr>
          <w:rFonts w:ascii="Calibri" w:eastAsia="Calibri"/>
          <w:color w:val="1A1A1A"/>
          <w:sz w:val="22"/>
          <w:szCs w:val="22"/>
        </w:rPr>
        <w:t xml:space="preserve"> pour financer le développement de la Phase 1 (MVP) et de la Phase 2 (enrichissement). Ticket recherché : 100 à 200 millions FCFA sur 24 mois, contre equity.</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Partenaires techniques —</w:t>
      </w:r>
      <w:r>
        <w:rPr>
          <w:rFonts w:ascii="Calibri" w:eastAsia="Calibri"/>
          <w:color w:val="1A1A1A"/>
          <w:sz w:val="22"/>
          <w:szCs w:val="22"/>
        </w:rPr>
        <w:t xml:space="preserve"> opérateurs Mobile Money, institutions financières, hébergeurs, pour mutualiser l'infrastructure et bénéficier d'intégrations natives.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Familles pilotes —</w:t>
      </w:r>
      <w:r>
        <w:rPr>
          <w:rFonts w:ascii="Calibri" w:eastAsia="Calibri"/>
          <w:color w:val="1A1A1A"/>
          <w:sz w:val="22"/>
          <w:szCs w:val="22"/>
        </w:rPr>
        <w:t xml:space="preserve"> 5 à 10 grandes familles camerounaises engagées, prêtes à adopter la plateforme en phase MVP et à témoigner. Accompagnement humain renforcé et gratuité totale en échange.</w:t>
      </w:r>
    </w:p>
    <w:p>
      <w:pPr>
        <w:pStyle w:val="Heading2"/>
        <w:spacing w:after="160" w:before="320" w:line="340"/>
      </w:pPr>
      <w:bookmarkStart w:id="100064" w:name="_Toc100064"/>
      <w:r>
        <w:rPr>
          <w:rFonts w:ascii="Calibri" w:eastAsia="Calibri"/>
          <w:b/>
          <w:bCs/>
          <w:color w:val="2A4A3A"/>
          <w:sz w:val="28"/>
          <w:szCs w:val="28"/>
        </w:rPr>
        <w:t xml:space="preserve">15.2 Utilisation des fonds</w:t>
      </w:r>
      <w:bookmarkEnd w:id="100064"/>
    </w:p>
    <w:p>
      <w:pPr>
        <w:keepNext/>
        <w:spacing w:after="120" w:before="240"/>
        <w:jc w:val="left"/>
      </w:pPr>
      <w:r>
        <w:rPr>
          <w:rFonts w:ascii="Calibri" w:eastAsia="Calibri"/>
          <w:b/>
          <w:bCs/>
          <w:color w:val="2A4A3A"/>
          <w:sz w:val="20"/>
          <w:szCs w:val="20"/>
        </w:rPr>
        <w:t xml:space="preserve">Tableau 12 — Répartition indicative des fonds levés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Poste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Part</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Salaires équipe technique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Développeurs, designer, PM</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Infrastructure et licenses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15 %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Hébergement, API Mobile Money, sauvegardes, outils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Accompagnement familles pilotes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Référents familiaux, onboarding, support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Marketing et développement commercial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Site web, contenus, événements, partenariats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Reserve et imprévus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Marge de sécurité</w:t>
            </w:r>
          </w:p>
        </w:tc>
      </w:tr>
    </w:tbl>
    <w:p>
      <w:pPr>
        <w:pStyle w:val="Heading2"/>
        <w:spacing w:after="160" w:before="320" w:line="340"/>
      </w:pPr>
      <w:bookmarkStart w:id="100065" w:name="_Toc100065"/>
      <w:r>
        <w:rPr>
          <w:rFonts w:ascii="Calibri" w:eastAsia="Calibri"/>
          <w:b/>
          <w:bCs/>
          <w:color w:val="2A4A3A"/>
          <w:sz w:val="28"/>
          <w:szCs w:val="28"/>
        </w:rPr>
        <w:t xml:space="preserve">15.3 Retour potentiel</w:t>
      </w:r>
      <w:bookmarkEnd w:id="100065"/>
    </w:p>
    <w:p>
      <w:pPr>
        <w:spacing w:after="160" w:line="312"/>
        <w:ind w:firstLine="360"/>
        <w:jc w:val="left"/>
      </w:pPr>
      <w:r>
        <w:rPr>
          <w:rFonts w:ascii="Calibri" w:eastAsia="Calibri"/>
          <w:color w:val="1A1A1A"/>
          <w:sz w:val="22"/>
          <w:szCs w:val="22"/>
        </w:rPr>
        <w:t xml:space="preserve">Le retour sur investissement repose sur plusieurs leviers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Abonnements familiaux —</w:t>
      </w:r>
      <w:r>
        <w:rPr>
          <w:rFonts w:ascii="Calibri" w:eastAsia="Calibri"/>
          <w:color w:val="1A1A1A"/>
          <w:sz w:val="22"/>
          <w:szCs w:val="22"/>
        </w:rPr>
        <w:t xml:space="preserve"> avec 1 000 familles abonnées à 15 000 FCFA/an en moyenne, l'ARR atteint 15 millions FCFA. Avec 5 000 familles (5 ans), 75 millions.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Services à valeur ajoutée —</w:t>
      </w:r>
      <w:r>
        <w:rPr>
          <w:rFonts w:ascii="Calibri" w:eastAsia="Calibri"/>
          <w:color w:val="1A1A1A"/>
          <w:sz w:val="22"/>
          <w:szCs w:val="22"/>
        </w:rPr>
        <w:t xml:space="preserve"> onboarding (500 000 FCFA par famille premium), audit (500 000 FCFA par audit), formation (200 000 FCFA par session). Potentiel de 50 millions FCFA/an à maturité.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Données agrégées (anonymisées) —</w:t>
      </w:r>
      <w:r>
        <w:rPr>
          <w:rFonts w:ascii="Calibri" w:eastAsia="Calibri"/>
          <w:color w:val="1A1A1A"/>
          <w:sz w:val="22"/>
          <w:szCs w:val="22"/>
        </w:rPr>
        <w:t xml:space="preserve"> études de marché, recherches académiques, rapports sectoriels. Potentiel secondaire mais significatif.</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Extension à d'autres communautés —</w:t>
      </w:r>
      <w:r>
        <w:rPr>
          <w:rFonts w:ascii="Calibri" w:eastAsia="Calibri"/>
          <w:color w:val="1A1A1A"/>
          <w:sz w:val="22"/>
          <w:szCs w:val="22"/>
        </w:rPr>
        <w:t xml:space="preserve"> associations villageoises, congrégations, tontines. Marché multiplicateur x5 à x10.</w:t>
      </w:r>
    </w:p>
    <w:p>
      <w:pPr>
        <w:spacing w:after="160" w:line="312"/>
        <w:ind w:firstLine="360"/>
        <w:jc w:val="left"/>
      </w:pPr>
      <w:r>
        <w:rPr>
          <w:rFonts w:ascii="Calibri" w:eastAsia="Calibri"/>
          <w:color w:val="1A1A1A"/>
          <w:sz w:val="22"/>
          <w:szCs w:val="22"/>
        </w:rPr>
        <w:t xml:space="preserve">Le point d'équilibre est atteint avec environ 500 familles abonnées, soit 18 à 24 mois après le lancement commercial (post-Phase 1). La rentabilité significative intervient en année 4, avec 2 000+ familles abonnées.</w:t>
      </w:r>
    </w:p>
    <w:p>
      <w:pPr>
        <w:pStyle w:val="Heading2"/>
        <w:spacing w:after="160" w:before="320" w:line="340"/>
      </w:pPr>
      <w:bookmarkStart w:id="100066" w:name="_Toc100066"/>
      <w:r>
        <w:rPr>
          <w:rFonts w:ascii="Calibri" w:eastAsia="Calibri"/>
          <w:b/>
          <w:bCs/>
          <w:color w:val="2A4A3A"/>
          <w:sz w:val="28"/>
          <w:szCs w:val="28"/>
        </w:rPr>
        <w:t xml:space="preserve">15.4 Modèles de partenariat</w:t>
      </w:r>
      <w:bookmarkEnd w:id="100066"/>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Partenariat de distribution —</w:t>
      </w:r>
      <w:r>
        <w:rPr>
          <w:rFonts w:ascii="Calibri" w:eastAsia="Calibri"/>
          <w:color w:val="1A1A1A"/>
          <w:sz w:val="22"/>
          <w:szCs w:val="22"/>
        </w:rPr>
        <w:t xml:space="preserve"> un partenaire (banque, opérateur, institution) co-diffuse FamilleConnect auprès de son réseau, contre partage de revenus.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Partenariat technologique —</w:t>
      </w:r>
      <w:r>
        <w:rPr>
          <w:rFonts w:ascii="Calibri" w:eastAsia="Calibri"/>
          <w:color w:val="1A1A1A"/>
          <w:sz w:val="22"/>
          <w:szCs w:val="22"/>
        </w:rPr>
        <w:t xml:space="preserve"> un opérateur (MTN, Orange) intègre FamilleConnect à son écosystème, contre visibilité et intégration privilégiée.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Partenariat institutionnel —</w:t>
      </w:r>
      <w:r>
        <w:rPr>
          <w:rFonts w:ascii="Calibri" w:eastAsia="Calibri"/>
          <w:color w:val="1A1A1A"/>
          <w:sz w:val="22"/>
          <w:szCs w:val="22"/>
        </w:rPr>
        <w:t xml:space="preserve"> une institution (ministère, université, association culturelle) apporte légitimité et réseau, contre témoignage et co-création.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Investissement en capital —</w:t>
      </w:r>
      <w:r>
        <w:rPr>
          <w:rFonts w:ascii="Calibri" w:eastAsia="Calibri"/>
          <w:color w:val="1A1A1A"/>
          <w:sz w:val="22"/>
          <w:szCs w:val="22"/>
        </w:rPr>
        <w:t xml:space="preserve"> un investisseur (fond, business angel, family office) apporte des fonds et un réseau, contre equity et gouvernance.</w:t>
      </w:r>
    </w:p>
    <w:p>
      <w:pPr>
        <w:pStyle w:val="Heading1"/>
        <w:spacing w:after="240" w:before="480" w:line="360"/>
      </w:pPr>
      <w:bookmarkStart w:id="100067" w:name="_Toc100067"/>
      <w:r>
        <w:rPr>
          <w:rFonts w:ascii="Calibri" w:eastAsia="Calibri"/>
          <w:b/>
          <w:bCs/>
          <w:color w:val="2A4A3A"/>
          <w:sz w:val="32"/>
          <w:szCs w:val="32"/>
        </w:rPr>
        <w:t xml:space="preserve">16. Conclusion et appel à l'action</w:t>
      </w:r>
      <w:bookmarkEnd w:id="100067"/>
    </w:p>
    <w:p>
      <w:pPr>
        <w:spacing w:after="160" w:line="312"/>
        <w:ind w:firstLine="360"/>
        <w:jc w:val="left"/>
      </w:pPr>
      <w:r>
        <w:rPr>
          <w:rFonts w:ascii="Calibri" w:eastAsia="Calibri"/>
          <w:color w:val="1A1A1A"/>
          <w:sz w:val="22"/>
          <w:szCs w:val="22"/>
        </w:rPr>
        <w:t xml:space="preserve">FamilleConnect répond à un besoin profond et largement partagé : celui des grandes familles africaines de préserver leur identité, leur solidarité, leur mémoire, et leur capacité à décider ensemble, dans un monde qui se digitalise et se disperse. Le projet n'est pas un gadget technologique de plus : il est l'infrastructure numérique d'une institution millénaire, l'outil qui permettra aux familles de durer dans le siècle numérique.</w:t>
      </w:r>
    </w:p>
    <w:p>
      <w:pPr>
        <w:spacing w:after="160" w:line="312"/>
        <w:ind w:firstLine="360"/>
        <w:jc w:val="left"/>
      </w:pPr>
      <w:r>
        <w:rPr>
          <w:rFonts w:ascii="Calibri" w:eastAsia="Calibri"/>
          <w:color w:val="1A1A1A"/>
          <w:sz w:val="22"/>
          <w:szCs w:val="22"/>
        </w:rPr>
        <w:t xml:space="preserve">Les fondations sont posées. Les 7 univers sont spécifiés dans le détail, avec près de 46 000 mots de spécifications fonctionnelles prêtes pour le développement. L'architecture est cohérente, inter-opérable, et respectueuse des réalités africaines. Le marché est identifié, le modèle économique est viable, la feuille de route est calée. Il reste maintenant à passer de la spécification à la réalisation, et c'est l'étape qui nécessite des ressources et des partenaires.</w:t>
      </w:r>
    </w:p>
    <w:p>
      <w:pPr>
        <w:spacing w:after="160" w:line="312"/>
        <w:ind w:firstLine="360"/>
        <w:jc w:val="left"/>
      </w:pPr>
      <w:r>
        <w:rPr>
          <w:rFonts w:ascii="Calibri" w:eastAsia="Calibri"/>
          <w:color w:val="1A1A1A"/>
          <w:sz w:val="22"/>
          <w:szCs w:val="22"/>
        </w:rPr>
        <w:t xml:space="preserve">Nous invitons les comités de pilotage, investisseurs, et partenaires stratégiques intéressés par cette aventure à nous contacter pour échanger sur les modalités de collaboration. Plusieurs formes sont possibles : investissement en capital, partenariat technologique, partenariat de distribution, ou simple accompagnement de familles pilotes. Chaque contribution compte, et chaque partenaire apporte une valeur spécifique au projet.</w:t>
      </w:r>
    </w:p>
    <w:p>
      <w:pPr>
        <w:pStyle w:val="Heading2"/>
        <w:spacing w:after="160" w:before="320" w:line="340"/>
      </w:pPr>
      <w:bookmarkStart w:id="100068" w:name="_Toc100068"/>
      <w:r>
        <w:rPr>
          <w:rFonts w:ascii="Calibri" w:eastAsia="Calibri"/>
          <w:b/>
          <w:bCs/>
          <w:color w:val="2A4A3A"/>
          <w:sz w:val="28"/>
          <w:szCs w:val="28"/>
        </w:rPr>
        <w:t xml:space="preserve">Prochaines étapes immédiates</w:t>
      </w:r>
      <w:bookmarkEnd w:id="100068"/>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la spécification globale des 7 univers par le comité de pilotage et par 2 familles pilotes engagées.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écrans clés (5 par univers, soit 35 maquettes au total).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de l'architecture technique globale et choix de la stack.</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Recrutement de l'équipe Phase 1 (2 développeurs full-stack, 1 designer, 1 PM, 1 référent familles pilotes).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Sélection et onboarding des 5 à 10 familles pilotes (signature d'un accord d'engagement).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6.</w:t>
      </w:r>
      <w:r>
        <w:rPr>
          <w:rFonts w:ascii="Calibri" w:eastAsia="Calibri"/>
          <w:color w:val="1A1A1A"/>
          <w:sz w:val="22"/>
          <w:szCs w:val="22"/>
        </w:rPr>
        <w:t xml:space="preserve"> Lancement du développement du MVP, avec un objectif de mise en production à 9 mois.</w:t>
      </w:r>
    </w:p>
    <w:p>
      <w:pPr>
        <w:pStyle w:val="Heading2"/>
        <w:spacing w:after="160" w:before="320" w:line="340"/>
      </w:pPr>
      <w:bookmarkStart w:id="100069" w:name="_Toc100069"/>
      <w:r>
        <w:rPr>
          <w:rFonts w:ascii="Calibri" w:eastAsia="Calibri"/>
          <w:b/>
          <w:bCs/>
          <w:color w:val="2A4A3A"/>
          <w:sz w:val="28"/>
          <w:szCs w:val="28"/>
        </w:rPr>
        <w:t xml:space="preserve">Contact</w:t>
      </w:r>
      <w:bookmarkEnd w:id="100069"/>
    </w:p>
    <w:p>
      <w:pPr>
        <w:spacing w:after="160" w:line="312"/>
        <w:ind w:firstLine="360"/>
        <w:jc w:val="left"/>
      </w:pPr>
      <w:r>
        <w:rPr>
          <w:rFonts w:ascii="Calibri" w:eastAsia="Calibri"/>
          <w:color w:val="1A1A1A"/>
          <w:sz w:val="22"/>
          <w:szCs w:val="22"/>
        </w:rPr>
        <w:t xml:space="preserve">Pour toute question, manifestation d'intérêt, ou proposition de partenariat, merci de contacter l'équipe FamilleConnect via les canaux dédiés. Nous nous engageons à répondre sous 7 jours, et à organiser une réunion de présentation approfondie sous 30 jours pour les partenaires sérieux.</w:t>
      </w:r>
    </w:p>
    <w:p>
      <w:pPr>
        <w:pBdr>
          <w:left w:val="single" w:color="C89F62" w:sz="18" w:space="12"/>
        </w:pBdr>
        <w:spacing w:after="200" w:before="120" w:line="312"/>
        <w:ind w:left="480" w:right="480"/>
        <w:jc w:val="left"/>
      </w:pPr>
      <w:r>
        <w:rPr>
          <w:rFonts w:ascii="Calibri" w:eastAsia="Calibri"/>
          <w:i/>
          <w:iCs/>
          <w:color w:val="1A1A1A"/>
          <w:sz w:val="22"/>
          <w:szCs w:val="22"/>
        </w:rPr>
        <w:t xml:space="preserve">FamilleConnect : l'infrastructure numérique des grandes familles africaines. Parce que la famille mérite de durer, au-delà des générations et au-delà des modes.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FamilleConnect  ·  Document de synthèse  ·  Les 7 univers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FamilleConnect — Document de synthèse</dc:title>
  <dc:creator>FamilleConnect</dc:creator>
  <dc:description>Synthèse globale des 7 univers pour comité de pilotage, investisseurs, partenaires</dc:description>
  <cp:lastModifiedBy>Un-named</cp:lastModifiedBy>
  <cp:revision>1</cp:revision>
  <dcterms:created xsi:type="dcterms:W3CDTF">2026-09-30T18:19:45.441Z</dcterms:created>
  <dcterms:modified xsi:type="dcterms:W3CDTF">2026-09-30T18:19:45.441Z</dcterms:modified>
</cp:coreProperties>
</file>

<file path=docProps/custom.xml><?xml version="1.0" encoding="utf-8"?>
<Properties xmlns="http://schemas.openxmlformats.org/officeDocument/2006/custom-properties" xmlns:vt="http://schemas.openxmlformats.org/officeDocument/2006/docPropsVTypes"/>
</file>