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273245" w14:textId="78F4B4A5" w:rsidR="00D814C8" w:rsidRPr="00DE4F9D" w:rsidRDefault="00DE4F9D">
      <w:pPr>
        <w:pStyle w:val="Heading1"/>
        <w:rPr>
          <w:rFonts w:ascii="Aptos" w:hAnsi="Aptos"/>
          <w:color w:val="1F497D" w:themeColor="text2"/>
          <w:lang w:val="el-GR"/>
        </w:rPr>
      </w:pPr>
      <w:r w:rsidRPr="00DE4F9D">
        <w:rPr>
          <w:rFonts w:ascii="Aptos" w:hAnsi="Aptos"/>
          <w:color w:val="1F497D" w:themeColor="text2"/>
        </w:rPr>
        <w:t>WEEK</w:t>
      </w:r>
      <w:r w:rsidRPr="00DE4F9D">
        <w:rPr>
          <w:rFonts w:ascii="Aptos" w:hAnsi="Aptos"/>
          <w:color w:val="1F497D" w:themeColor="text2"/>
          <w:lang w:val="el-GR"/>
        </w:rPr>
        <w:t xml:space="preserve"> 7 - Ανάλυση Χαρτοφυλακίου με </w:t>
      </w:r>
      <w:r w:rsidRPr="00DE4F9D">
        <w:rPr>
          <w:rFonts w:ascii="Aptos" w:hAnsi="Aptos"/>
          <w:color w:val="1F497D" w:themeColor="text2"/>
        </w:rPr>
        <w:t>PCA</w:t>
      </w:r>
      <w:r w:rsidRPr="00DE4F9D">
        <w:rPr>
          <w:rFonts w:ascii="Aptos" w:hAnsi="Aptos"/>
          <w:color w:val="1F497D" w:themeColor="text2"/>
          <w:lang w:val="el-GR"/>
        </w:rPr>
        <w:t xml:space="preserve"> και </w:t>
      </w:r>
      <w:r w:rsidRPr="00DE4F9D">
        <w:rPr>
          <w:rFonts w:ascii="Aptos" w:hAnsi="Aptos"/>
          <w:color w:val="1F497D" w:themeColor="text2"/>
        </w:rPr>
        <w:t>K</w:t>
      </w:r>
      <w:r w:rsidRPr="00DE4F9D">
        <w:rPr>
          <w:rFonts w:ascii="Aptos" w:hAnsi="Aptos"/>
          <w:color w:val="1F497D" w:themeColor="text2"/>
          <w:lang w:val="el-GR"/>
        </w:rPr>
        <w:t>-</w:t>
      </w:r>
      <w:r w:rsidRPr="00DE4F9D">
        <w:rPr>
          <w:rFonts w:ascii="Aptos" w:hAnsi="Aptos"/>
          <w:color w:val="1F497D" w:themeColor="text2"/>
        </w:rPr>
        <w:t>Means</w:t>
      </w:r>
    </w:p>
    <w:p w14:paraId="43C05EF4" w14:textId="77777777" w:rsidR="00D814C8" w:rsidRPr="00DE4F9D" w:rsidRDefault="00000000">
      <w:pPr>
        <w:pStyle w:val="Heading2"/>
        <w:rPr>
          <w:rFonts w:ascii="Aptos" w:hAnsi="Aptos"/>
          <w:color w:val="1F497D" w:themeColor="text2"/>
          <w:lang w:val="el-GR"/>
        </w:rPr>
      </w:pPr>
      <w:r w:rsidRPr="00DE4F9D">
        <w:rPr>
          <w:rFonts w:ascii="Aptos" w:hAnsi="Aptos"/>
          <w:color w:val="1F497D" w:themeColor="text2"/>
          <w:lang w:val="el-GR"/>
        </w:rPr>
        <w:t>1. Εισαγωγή</w:t>
      </w:r>
    </w:p>
    <w:p w14:paraId="7B83CA12" w14:textId="5B3A2725" w:rsidR="001B1AE7" w:rsidRPr="004B3CDB" w:rsidRDefault="001B1AE7">
      <w:pPr>
        <w:pStyle w:val="Heading2"/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</w:pP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Το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assignment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του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Week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7 στοχεύει στην ανάλυση και στην ομαδοποίηση χαρτοφυλακίων, στηριζόμενη σε τριετή σειρά πραγματικών δεδομένων 50 μετοχών που λήφθηκαν από το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Yahoo</w:t>
      </w:r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Finance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. Χρησιμοποιήσαμε τις τεχνικές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Principal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Component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Analysis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(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PCA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) και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K</w:t>
      </w:r>
      <w:r w:rsidRPr="004B3CDB">
        <w:rPr>
          <w:rFonts w:ascii="Cambria Math" w:eastAsiaTheme="minorEastAsia" w:hAnsi="Cambria Math" w:cs="Cambria Math"/>
          <w:b w:val="0"/>
          <w:bCs w:val="0"/>
          <w:color w:val="auto"/>
          <w:sz w:val="20"/>
          <w:szCs w:val="20"/>
          <w:lang w:val="el-GR"/>
        </w:rPr>
        <w:t>‑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Means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Clustering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, με την πρόθεση να αποτυπώσουμε τις κρυφές συνδέσεις μεταξύ των τίτλων και να εντοπίσουμε ομάδες (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clusters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) που παρουσιάζουν παρόμοια χαρακτηριστικά κινδύνου και απόδοσης. Στο τελικό στάδιο, </w:t>
      </w:r>
      <w:proofErr w:type="spellStart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συναρμολογήθηκαν</w:t>
      </w:r>
      <w:proofErr w:type="spellEnd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ισοσταθμισμένα (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equal</w:t>
      </w:r>
      <w:r w:rsidRPr="004B3CDB">
        <w:rPr>
          <w:rFonts w:ascii="Cambria Math" w:eastAsiaTheme="minorEastAsia" w:hAnsi="Cambria Math" w:cs="Cambria Math"/>
          <w:b w:val="0"/>
          <w:bCs w:val="0"/>
          <w:color w:val="auto"/>
          <w:sz w:val="20"/>
          <w:szCs w:val="20"/>
          <w:lang w:val="el-GR"/>
        </w:rPr>
        <w:t>‑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weighted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) χαρτοφυλάκια ανά σύμπλεγμα και εκτιμήθηκαν οι βασικοί δείκτες τόσο της απόδοσης όσο και του κινδύνου.</w:t>
      </w:r>
    </w:p>
    <w:p w14:paraId="1BD10C6E" w14:textId="77777777" w:rsidR="00DE4F9D" w:rsidRPr="00DE4F9D" w:rsidRDefault="00000000">
      <w:pPr>
        <w:pStyle w:val="Heading2"/>
        <w:rPr>
          <w:rFonts w:ascii="Aptos" w:hAnsi="Aptos"/>
          <w:color w:val="1F497D" w:themeColor="text2"/>
          <w:lang w:val="el-GR"/>
        </w:rPr>
      </w:pPr>
      <w:r w:rsidRPr="00DE4F9D">
        <w:rPr>
          <w:rFonts w:ascii="Aptos" w:hAnsi="Aptos"/>
          <w:color w:val="1F497D" w:themeColor="text2"/>
          <w:lang w:val="el-GR"/>
        </w:rPr>
        <w:t>2. Δεδομένα και Επεξεργασία</w:t>
      </w:r>
    </w:p>
    <w:p w14:paraId="301DAEEB" w14:textId="3D08F5F8" w:rsidR="001B1AE7" w:rsidRPr="004B3CDB" w:rsidRDefault="001B1AE7">
      <w:pPr>
        <w:pStyle w:val="Heading2"/>
        <w:rPr>
          <w:rFonts w:ascii="Aptos" w:hAnsi="Aptos"/>
          <w:color w:val="1F497D" w:themeColor="text2"/>
          <w:sz w:val="20"/>
          <w:szCs w:val="20"/>
          <w:lang w:val="el-GR"/>
        </w:rPr>
      </w:pP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Η ανάλυση στηρίχθηκε σε ημερήσια δεδομένα – προσαρμοσμένες τιμές κλεισίματος (</w:t>
      </w:r>
      <w:proofErr w:type="spellStart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Adj</w:t>
      </w:r>
      <w:proofErr w:type="spellEnd"/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proofErr w:type="spellStart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Close</w:t>
      </w:r>
      <w:proofErr w:type="spellEnd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) και όγκο συναλλαγών – για πενήντα μετοχές μεγάλων και μεσαίων κεφαλαιοποιήσεων, οι οποίες αντιπροσωπεύουν ευρύ φάσμα κλάδων, όπως τεχνολογία, χρηματοοικονομικά, ενέργεια, καταναλωτικά αγαθά κ.ά. Για κάθε μετοχή υπολογίστηκαν τρία χαρακτηριστικά (</w:t>
      </w:r>
      <w:proofErr w:type="spellStart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features</w:t>
      </w:r>
      <w:proofErr w:type="spellEnd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):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το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annual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proofErr w:type="spellStart"/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volatily</w:t>
      </w:r>
      <w:proofErr w:type="spellEnd"/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annualized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,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το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average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volume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και το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average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market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 xml:space="preserve"> </w:t>
      </w:r>
      <w:r w:rsidR="00DE4F9D"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</w:rPr>
        <w:t>cap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, όλα αυτά σε κυλιόμενα παράθυρα διάρκειας 1,</w:t>
      </w:r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3,</w:t>
      </w:r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5,</w:t>
      </w:r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10 και</w:t>
      </w:r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30</w:t>
      </w:r>
      <w:r w:rsidRPr="004B3CDB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l-GR"/>
        </w:rPr>
        <w:t> </w:t>
      </w:r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ημερών. Όλες οι μεταβλητές υποβλήθηκαν σε τυποποίηση (</w:t>
      </w:r>
      <w:proofErr w:type="spellStart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standardization</w:t>
      </w:r>
      <w:proofErr w:type="spellEnd"/>
      <w:r w:rsidRPr="004B3CDB">
        <w:rPr>
          <w:rFonts w:ascii="Aptos" w:eastAsiaTheme="minorEastAsia" w:hAnsi="Aptos" w:cstheme="minorBidi"/>
          <w:b w:val="0"/>
          <w:bCs w:val="0"/>
          <w:color w:val="auto"/>
          <w:sz w:val="20"/>
          <w:szCs w:val="20"/>
          <w:lang w:val="el-GR"/>
        </w:rPr>
        <w:t>) ώστε η μέση τιμή τους να είναι 0 και η διασπορά 1. Το βήμα αυτό είναι κρίσιμο, διότι εγγυάται ότι οι μεταβλητές με διαφορετικές μονάδες μέτρησης θα έχουν ίση βαρύτητα στην ανάλυση PCA.</w:t>
      </w:r>
    </w:p>
    <w:p w14:paraId="50749ACF" w14:textId="0A3BB865" w:rsidR="00D814C8" w:rsidRPr="004B3CDB" w:rsidRDefault="00000000" w:rsidP="00DE4F9D">
      <w:pPr>
        <w:pStyle w:val="Heading2"/>
        <w:spacing w:after="240"/>
        <w:rPr>
          <w:rFonts w:ascii="Aptos" w:hAnsi="Aptos"/>
          <w:color w:val="1F497D" w:themeColor="text2"/>
          <w:lang w:val="el-GR"/>
        </w:rPr>
      </w:pPr>
      <w:r w:rsidRPr="004B3CDB">
        <w:rPr>
          <w:rFonts w:ascii="Aptos" w:hAnsi="Aptos"/>
          <w:color w:val="1F497D" w:themeColor="text2"/>
          <w:lang w:val="el-GR"/>
        </w:rPr>
        <w:t xml:space="preserve">3. </w:t>
      </w:r>
      <w:r w:rsidRPr="004B3CDB">
        <w:rPr>
          <w:rFonts w:ascii="Aptos" w:hAnsi="Aptos"/>
          <w:color w:val="1F497D" w:themeColor="text2"/>
        </w:rPr>
        <w:t>Principal</w:t>
      </w:r>
      <w:r w:rsidRPr="004B3CDB">
        <w:rPr>
          <w:rFonts w:ascii="Aptos" w:hAnsi="Aptos"/>
          <w:color w:val="1F497D" w:themeColor="text2"/>
          <w:lang w:val="el-GR"/>
        </w:rPr>
        <w:t xml:space="preserve"> </w:t>
      </w:r>
      <w:r w:rsidRPr="004B3CDB">
        <w:rPr>
          <w:rFonts w:ascii="Aptos" w:hAnsi="Aptos"/>
          <w:color w:val="1F497D" w:themeColor="text2"/>
        </w:rPr>
        <w:t>Component</w:t>
      </w:r>
      <w:r w:rsidRPr="004B3CDB">
        <w:rPr>
          <w:rFonts w:ascii="Aptos" w:hAnsi="Aptos"/>
          <w:color w:val="1F497D" w:themeColor="text2"/>
          <w:lang w:val="el-GR"/>
        </w:rPr>
        <w:t xml:space="preserve"> </w:t>
      </w:r>
      <w:r w:rsidRPr="004B3CDB">
        <w:rPr>
          <w:rFonts w:ascii="Aptos" w:hAnsi="Aptos"/>
          <w:color w:val="1F497D" w:themeColor="text2"/>
        </w:rPr>
        <w:t>Analysis</w:t>
      </w:r>
      <w:r w:rsidRPr="004B3CDB">
        <w:rPr>
          <w:rFonts w:ascii="Aptos" w:hAnsi="Aptos"/>
          <w:color w:val="1F497D" w:themeColor="text2"/>
          <w:lang w:val="el-GR"/>
        </w:rPr>
        <w:t xml:space="preserve"> (</w:t>
      </w:r>
      <w:r w:rsidRPr="004B3CDB">
        <w:rPr>
          <w:rFonts w:ascii="Aptos" w:hAnsi="Aptos"/>
          <w:color w:val="1F497D" w:themeColor="text2"/>
        </w:rPr>
        <w:t>PCA</w:t>
      </w:r>
      <w:r w:rsidRPr="004B3CDB">
        <w:rPr>
          <w:rFonts w:ascii="Aptos" w:hAnsi="Aptos"/>
          <w:color w:val="1F497D" w:themeColor="text2"/>
          <w:lang w:val="el-GR"/>
        </w:rPr>
        <w:t>)</w:t>
      </w:r>
    </w:p>
    <w:p w14:paraId="54899643" w14:textId="77777777" w:rsidR="004B3CDB" w:rsidRDefault="001B1AE7">
      <w:pPr>
        <w:rPr>
          <w:rFonts w:ascii="Aptos" w:hAnsi="Aptos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 xml:space="preserve">Για την απλοποίηση του </w:t>
      </w:r>
      <w:proofErr w:type="spellStart"/>
      <w:r w:rsidRPr="004B3CDB">
        <w:rPr>
          <w:rFonts w:ascii="Aptos" w:hAnsi="Aptos"/>
          <w:sz w:val="20"/>
          <w:szCs w:val="20"/>
          <w:lang w:val="el-GR"/>
        </w:rPr>
        <w:t>dataset</w:t>
      </w:r>
      <w:proofErr w:type="spellEnd"/>
      <w:r w:rsidRPr="004B3CDB">
        <w:rPr>
          <w:rFonts w:ascii="Aptos" w:hAnsi="Aptos"/>
          <w:sz w:val="20"/>
          <w:szCs w:val="20"/>
          <w:lang w:val="el-GR"/>
        </w:rPr>
        <w:t xml:space="preserve"> εφαρμόστηκε η ανάλυση κύριων συνιστωσών (PCA). Η κύρια επιδίωξη ήταν να εντοπιστούν εκείνες οι κύριες συνιστώσες — τα </w:t>
      </w:r>
      <w:proofErr w:type="spellStart"/>
      <w:r w:rsidRPr="004B3CDB">
        <w:rPr>
          <w:rFonts w:ascii="Aptos" w:hAnsi="Aptos"/>
          <w:sz w:val="20"/>
          <w:szCs w:val="20"/>
          <w:lang w:val="el-GR"/>
        </w:rPr>
        <w:t>principal</w:t>
      </w:r>
      <w:proofErr w:type="spellEnd"/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proofErr w:type="spellStart"/>
      <w:r w:rsidRPr="004B3CDB">
        <w:rPr>
          <w:rFonts w:ascii="Aptos" w:hAnsi="Aptos"/>
          <w:sz w:val="20"/>
          <w:szCs w:val="20"/>
          <w:lang w:val="el-GR"/>
        </w:rPr>
        <w:t>components</w:t>
      </w:r>
      <w:proofErr w:type="spellEnd"/>
      <w:r w:rsidRPr="004B3CDB">
        <w:rPr>
          <w:rFonts w:ascii="Aptos" w:hAnsi="Aptos"/>
          <w:sz w:val="20"/>
          <w:szCs w:val="20"/>
          <w:lang w:val="el-GR"/>
        </w:rPr>
        <w:t xml:space="preserve"> — που εξηγούν το μεγαλύτερο τμήμα της συνολικής διακύμανσης των δεδομένων. Επιλέχθηκαν όσες συνιστώσες απαιτήθηκαν ώστε το αθροιστικό ποσοστό εξηγούμενης διακύμανσης να ξεπεράσει τ</w:t>
      </w:r>
      <w:r w:rsidR="004B3CDB" w:rsidRPr="004B3CDB">
        <w:rPr>
          <w:rFonts w:ascii="Aptos" w:hAnsi="Aptos"/>
          <w:sz w:val="20"/>
          <w:szCs w:val="20"/>
          <w:lang w:val="el-GR"/>
        </w:rPr>
        <w:t xml:space="preserve">ο </w:t>
      </w:r>
      <w:r w:rsidRPr="004B3CDB">
        <w:rPr>
          <w:rFonts w:ascii="Aptos" w:hAnsi="Aptos"/>
          <w:sz w:val="20"/>
          <w:szCs w:val="20"/>
          <w:lang w:val="el-GR"/>
        </w:rPr>
        <w:t>90</w:t>
      </w:r>
      <w:r w:rsidRPr="004B3CDB">
        <w:rPr>
          <w:rFonts w:ascii="Arial" w:hAnsi="Arial" w:cs="Arial"/>
          <w:sz w:val="20"/>
          <w:szCs w:val="20"/>
          <w:lang w:val="el-GR"/>
        </w:rPr>
        <w:t> </w:t>
      </w:r>
      <w:r w:rsidRPr="004B3CDB">
        <w:rPr>
          <w:rFonts w:ascii="Aptos" w:hAnsi="Aptos"/>
          <w:sz w:val="20"/>
          <w:szCs w:val="20"/>
          <w:lang w:val="el-GR"/>
        </w:rPr>
        <w:t>%, εξασφαλίζοντας ότι η ουσιαστική πληροφορία παραμένει αμετάβλητη.</w:t>
      </w:r>
    </w:p>
    <w:p w14:paraId="245A1E2D" w14:textId="32F3F84E" w:rsidR="00D814C8" w:rsidRPr="004B3CDB" w:rsidRDefault="00000000" w:rsidP="004B3CDB">
      <w:pPr>
        <w:jc w:val="center"/>
        <w:rPr>
          <w:rFonts w:ascii="Aptos" w:hAnsi="Aptos"/>
          <w:lang w:val="el-GR"/>
        </w:rPr>
      </w:pPr>
      <w:r w:rsidRPr="004B3CDB">
        <w:rPr>
          <w:rFonts w:ascii="Aptos" w:hAnsi="Aptos"/>
          <w:noProof/>
        </w:rPr>
        <w:drawing>
          <wp:inline distT="0" distB="0" distL="0" distR="0" wp14:anchorId="7A4646B2" wp14:editId="1996756C">
            <wp:extent cx="3631902" cy="2294466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scatter_pc1_pc2_multiwind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8709" cy="23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D95B" w14:textId="77777777" w:rsidR="00EE0686" w:rsidRDefault="00000000">
      <w:pPr>
        <w:rPr>
          <w:rFonts w:ascii="Aptos" w:hAnsi="Aptos"/>
          <w:sz w:val="20"/>
          <w:szCs w:val="20"/>
        </w:rPr>
      </w:pPr>
      <w:r w:rsidRPr="004B3CDB">
        <w:rPr>
          <w:rFonts w:ascii="Aptos" w:hAnsi="Aptos"/>
          <w:sz w:val="20"/>
          <w:szCs w:val="20"/>
          <w:lang w:val="el-GR"/>
        </w:rPr>
        <w:lastRenderedPageBreak/>
        <w:t>Στο παραπάνω διάγραμμα παρατηρούμε τη διάταξη των μετοχών στον χώρο των δύο πρώτων κύριων συνιστωσών (</w:t>
      </w:r>
      <w:r w:rsidRPr="004B3CDB">
        <w:rPr>
          <w:rFonts w:ascii="Aptos" w:hAnsi="Aptos"/>
          <w:sz w:val="20"/>
          <w:szCs w:val="20"/>
        </w:rPr>
        <w:t>PC</w:t>
      </w:r>
      <w:r w:rsidRPr="004B3CDB">
        <w:rPr>
          <w:rFonts w:ascii="Aptos" w:hAnsi="Aptos"/>
          <w:sz w:val="20"/>
          <w:szCs w:val="20"/>
          <w:lang w:val="el-GR"/>
        </w:rPr>
        <w:t xml:space="preserve">1 και </w:t>
      </w:r>
      <w:r w:rsidRPr="004B3CDB">
        <w:rPr>
          <w:rFonts w:ascii="Aptos" w:hAnsi="Aptos"/>
          <w:sz w:val="20"/>
          <w:szCs w:val="20"/>
        </w:rPr>
        <w:t>PC</w:t>
      </w:r>
      <w:r w:rsidRPr="004B3CDB">
        <w:rPr>
          <w:rFonts w:ascii="Aptos" w:hAnsi="Aptos"/>
          <w:sz w:val="20"/>
          <w:szCs w:val="20"/>
          <w:lang w:val="el-GR"/>
        </w:rPr>
        <w:t>2). Μετοχές με παρόμοια χαρακτηριστικά τείνουν να συγκεντρώνονται κοντά, γεγονός που υποδηλώνει πιθανές ομοιότητες στη συμπεριφορά τους ως προς τη μεταβλητότητα, τον όγκο και την κεφαλαιοποίηση.</w:t>
      </w:r>
    </w:p>
    <w:p w14:paraId="3044799E" w14:textId="3423152B" w:rsidR="00D814C8" w:rsidRPr="004B3CDB" w:rsidRDefault="00EE0686" w:rsidP="00EE0686">
      <w:pPr>
        <w:jc w:val="center"/>
        <w:rPr>
          <w:rFonts w:ascii="Aptos" w:hAnsi="Aptos"/>
          <w:sz w:val="20"/>
          <w:szCs w:val="20"/>
          <w:lang w:val="el-GR"/>
        </w:rPr>
      </w:pPr>
      <w:r>
        <w:rPr>
          <w:rFonts w:ascii="Aptos" w:hAnsi="Aptos"/>
          <w:noProof/>
          <w:sz w:val="20"/>
          <w:szCs w:val="20"/>
          <w:lang w:val="el-GR"/>
        </w:rPr>
        <w:drawing>
          <wp:inline distT="0" distB="0" distL="0" distR="0" wp14:anchorId="669D7CA8" wp14:editId="095FA0B4">
            <wp:extent cx="3018503" cy="884240"/>
            <wp:effectExtent l="0" t="0" r="4445" b="5080"/>
            <wp:docPr id="42225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5277" name="Picture 4222552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6222" cy="8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0FF" w14:textId="77777777" w:rsidR="00D814C8" w:rsidRPr="004B3CDB" w:rsidRDefault="00000000" w:rsidP="004B3CDB">
      <w:pPr>
        <w:pStyle w:val="Heading2"/>
        <w:spacing w:after="240"/>
        <w:rPr>
          <w:color w:val="1F497D" w:themeColor="text2"/>
          <w:lang w:val="el-GR"/>
        </w:rPr>
      </w:pPr>
      <w:r w:rsidRPr="004B3CDB">
        <w:rPr>
          <w:color w:val="1F497D" w:themeColor="text2"/>
          <w:lang w:val="el-GR"/>
        </w:rPr>
        <w:t xml:space="preserve">4. </w:t>
      </w:r>
      <w:r w:rsidRPr="004B3CDB">
        <w:rPr>
          <w:color w:val="1F497D" w:themeColor="text2"/>
        </w:rPr>
        <w:t>K</w:t>
      </w:r>
      <w:r w:rsidRPr="004B3CDB">
        <w:rPr>
          <w:color w:val="1F497D" w:themeColor="text2"/>
          <w:lang w:val="el-GR"/>
        </w:rPr>
        <w:t>-</w:t>
      </w:r>
      <w:r w:rsidRPr="004B3CDB">
        <w:rPr>
          <w:color w:val="1F497D" w:themeColor="text2"/>
        </w:rPr>
        <w:t>Means</w:t>
      </w:r>
      <w:r w:rsidRPr="004B3CDB">
        <w:rPr>
          <w:color w:val="1F497D" w:themeColor="text2"/>
          <w:lang w:val="el-GR"/>
        </w:rPr>
        <w:t xml:space="preserve"> </w:t>
      </w:r>
      <w:r w:rsidRPr="004B3CDB">
        <w:rPr>
          <w:color w:val="1F497D" w:themeColor="text2"/>
        </w:rPr>
        <w:t>Clustering</w:t>
      </w:r>
    </w:p>
    <w:p w14:paraId="1BCDD53C" w14:textId="77777777" w:rsidR="00D814C8" w:rsidRPr="004B3CDB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 xml:space="preserve">Η μέθοδος </w:t>
      </w:r>
      <w:r w:rsidRPr="004B3CDB">
        <w:rPr>
          <w:rFonts w:ascii="Aptos" w:hAnsi="Aptos"/>
          <w:sz w:val="20"/>
          <w:szCs w:val="20"/>
        </w:rPr>
        <w:t>K</w:t>
      </w:r>
      <w:r w:rsidRPr="004B3CDB">
        <w:rPr>
          <w:rFonts w:ascii="Aptos" w:hAnsi="Aptos"/>
          <w:sz w:val="20"/>
          <w:szCs w:val="20"/>
          <w:lang w:val="el-GR"/>
        </w:rPr>
        <w:t>-</w:t>
      </w:r>
      <w:r w:rsidRPr="004B3CDB">
        <w:rPr>
          <w:rFonts w:ascii="Aptos" w:hAnsi="Aptos"/>
          <w:sz w:val="20"/>
          <w:szCs w:val="20"/>
        </w:rPr>
        <w:t>Means</w:t>
      </w:r>
      <w:r w:rsidRPr="004B3CDB">
        <w:rPr>
          <w:rFonts w:ascii="Aptos" w:hAnsi="Aptos"/>
          <w:sz w:val="20"/>
          <w:szCs w:val="20"/>
          <w:lang w:val="el-GR"/>
        </w:rPr>
        <w:t xml:space="preserve"> εφαρμόστηκε στα δεδομένα που προέκυψαν από την </w:t>
      </w:r>
      <w:r w:rsidRPr="004B3CDB">
        <w:rPr>
          <w:rFonts w:ascii="Aptos" w:hAnsi="Aptos"/>
          <w:sz w:val="20"/>
          <w:szCs w:val="20"/>
        </w:rPr>
        <w:t>PCA</w:t>
      </w:r>
      <w:r w:rsidRPr="004B3CDB">
        <w:rPr>
          <w:rFonts w:ascii="Aptos" w:hAnsi="Aptos"/>
          <w:sz w:val="20"/>
          <w:szCs w:val="20"/>
          <w:lang w:val="el-GR"/>
        </w:rPr>
        <w:t xml:space="preserve">. Για την επιλογή του βέλτιστου αριθμού </w:t>
      </w:r>
      <w:r w:rsidRPr="004B3CDB">
        <w:rPr>
          <w:rFonts w:ascii="Aptos" w:hAnsi="Aptos"/>
          <w:sz w:val="20"/>
          <w:szCs w:val="20"/>
        </w:rPr>
        <w:t>clusters</w:t>
      </w:r>
      <w:r w:rsidRPr="004B3CDB">
        <w:rPr>
          <w:rFonts w:ascii="Aptos" w:hAnsi="Aptos"/>
          <w:sz w:val="20"/>
          <w:szCs w:val="20"/>
          <w:lang w:val="el-GR"/>
        </w:rPr>
        <w:t xml:space="preserve"> (</w:t>
      </w:r>
      <w:r w:rsidRPr="004B3CDB">
        <w:rPr>
          <w:rFonts w:ascii="Aptos" w:hAnsi="Aptos"/>
          <w:sz w:val="20"/>
          <w:szCs w:val="20"/>
        </w:rPr>
        <w:t>k</w:t>
      </w:r>
      <w:r w:rsidRPr="004B3CDB">
        <w:rPr>
          <w:rFonts w:ascii="Aptos" w:hAnsi="Aptos"/>
          <w:sz w:val="20"/>
          <w:szCs w:val="20"/>
          <w:lang w:val="el-GR"/>
        </w:rPr>
        <w:t xml:space="preserve">) χρησιμοποιήθηκε η μέθοδος </w:t>
      </w:r>
      <w:r w:rsidRPr="004B3CDB">
        <w:rPr>
          <w:rFonts w:ascii="Aptos" w:hAnsi="Aptos"/>
          <w:sz w:val="20"/>
          <w:szCs w:val="20"/>
        </w:rPr>
        <w:t>Elbow</w:t>
      </w:r>
      <w:r w:rsidRPr="004B3CDB">
        <w:rPr>
          <w:rFonts w:ascii="Aptos" w:hAnsi="Aptos"/>
          <w:sz w:val="20"/>
          <w:szCs w:val="20"/>
          <w:lang w:val="el-GR"/>
        </w:rPr>
        <w:t xml:space="preserve">, η οποία εξετάζει τη μεταβολή του </w:t>
      </w:r>
      <w:r w:rsidRPr="004B3CDB">
        <w:rPr>
          <w:rFonts w:ascii="Aptos" w:hAnsi="Aptos"/>
          <w:sz w:val="20"/>
          <w:szCs w:val="20"/>
        </w:rPr>
        <w:t>WCSS</w:t>
      </w:r>
      <w:r w:rsidRPr="004B3CDB">
        <w:rPr>
          <w:rFonts w:ascii="Aptos" w:hAnsi="Aptos"/>
          <w:sz w:val="20"/>
          <w:szCs w:val="20"/>
          <w:lang w:val="el-GR"/>
        </w:rPr>
        <w:t xml:space="preserve"> (</w:t>
      </w:r>
      <w:r w:rsidRPr="004B3CDB">
        <w:rPr>
          <w:rFonts w:ascii="Aptos" w:hAnsi="Aptos"/>
          <w:sz w:val="20"/>
          <w:szCs w:val="20"/>
        </w:rPr>
        <w:t>Within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Cluster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Sum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of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Squares</w:t>
      </w:r>
      <w:r w:rsidRPr="004B3CDB">
        <w:rPr>
          <w:rFonts w:ascii="Aptos" w:hAnsi="Aptos"/>
          <w:sz w:val="20"/>
          <w:szCs w:val="20"/>
          <w:lang w:val="el-GR"/>
        </w:rPr>
        <w:t xml:space="preserve">) σε σχέση με το </w:t>
      </w:r>
      <w:r w:rsidRPr="004B3CDB">
        <w:rPr>
          <w:rFonts w:ascii="Aptos" w:hAnsi="Aptos"/>
          <w:sz w:val="20"/>
          <w:szCs w:val="20"/>
        </w:rPr>
        <w:t>k</w:t>
      </w:r>
      <w:r w:rsidRPr="004B3CDB">
        <w:rPr>
          <w:rFonts w:ascii="Aptos" w:hAnsi="Aptos"/>
          <w:sz w:val="20"/>
          <w:szCs w:val="20"/>
          <w:lang w:val="el-GR"/>
        </w:rPr>
        <w:t xml:space="preserve">, καθώς και ο δείκτης </w:t>
      </w:r>
      <w:r w:rsidRPr="004B3CDB">
        <w:rPr>
          <w:rFonts w:ascii="Aptos" w:hAnsi="Aptos"/>
          <w:sz w:val="20"/>
          <w:szCs w:val="20"/>
        </w:rPr>
        <w:t>Silhouette</w:t>
      </w:r>
      <w:r w:rsidRPr="004B3CDB">
        <w:rPr>
          <w:rFonts w:ascii="Aptos" w:hAnsi="Aptos"/>
          <w:sz w:val="20"/>
          <w:szCs w:val="20"/>
          <w:lang w:val="el-GR"/>
        </w:rPr>
        <w:t xml:space="preserve"> που μετρά τη συνοχή των ομάδων.</w:t>
      </w:r>
    </w:p>
    <w:p w14:paraId="427A162B" w14:textId="77777777" w:rsidR="00D814C8" w:rsidRDefault="00000000" w:rsidP="004B3CDB">
      <w:pPr>
        <w:jc w:val="center"/>
      </w:pPr>
      <w:r>
        <w:rPr>
          <w:noProof/>
        </w:rPr>
        <w:drawing>
          <wp:inline distT="0" distB="0" distL="0" distR="0" wp14:anchorId="7ABAF438" wp14:editId="1E416BBF">
            <wp:extent cx="4404570" cy="1568824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k_selection_p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5228" cy="158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5260" w14:textId="77777777" w:rsidR="00D814C8" w:rsidRPr="004B3CDB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 xml:space="preserve">Από το διάγραμμα </w:t>
      </w:r>
      <w:r w:rsidRPr="004B3CDB">
        <w:rPr>
          <w:rFonts w:ascii="Aptos" w:hAnsi="Aptos"/>
          <w:sz w:val="20"/>
          <w:szCs w:val="20"/>
        </w:rPr>
        <w:t>Elbow</w:t>
      </w:r>
      <w:r w:rsidRPr="004B3CDB">
        <w:rPr>
          <w:rFonts w:ascii="Aptos" w:hAnsi="Aptos"/>
          <w:sz w:val="20"/>
          <w:szCs w:val="20"/>
          <w:lang w:val="el-GR"/>
        </w:rPr>
        <w:t xml:space="preserve">, παρατηρήθηκε ότι το βέλτιστο </w:t>
      </w:r>
      <w:r w:rsidRPr="004B3CDB">
        <w:rPr>
          <w:rFonts w:ascii="Aptos" w:hAnsi="Aptos"/>
          <w:sz w:val="20"/>
          <w:szCs w:val="20"/>
        </w:rPr>
        <w:t>k</w:t>
      </w:r>
      <w:r w:rsidRPr="004B3CDB">
        <w:rPr>
          <w:rFonts w:ascii="Aptos" w:hAnsi="Aptos"/>
          <w:sz w:val="20"/>
          <w:szCs w:val="20"/>
          <w:lang w:val="el-GR"/>
        </w:rPr>
        <w:t xml:space="preserve"> εντοπίζεται γύρω στις 2–3 ομάδες, γεγονός που υποδηλώνει ότι υπάρχουν δύο κύριες κατηγορίες μετοχών στο </w:t>
      </w:r>
      <w:r w:rsidRPr="004B3CDB">
        <w:rPr>
          <w:rFonts w:ascii="Aptos" w:hAnsi="Aptos"/>
          <w:sz w:val="20"/>
          <w:szCs w:val="20"/>
        </w:rPr>
        <w:t>dataset</w:t>
      </w:r>
      <w:r w:rsidRPr="004B3CDB">
        <w:rPr>
          <w:rFonts w:ascii="Aptos" w:hAnsi="Aptos"/>
          <w:sz w:val="20"/>
          <w:szCs w:val="20"/>
          <w:lang w:val="el-GR"/>
        </w:rPr>
        <w:t>.</w:t>
      </w:r>
    </w:p>
    <w:p w14:paraId="04089184" w14:textId="40F27BF3" w:rsidR="00D814C8" w:rsidRDefault="00000000" w:rsidP="004B3CDB">
      <w:pPr>
        <w:jc w:val="center"/>
      </w:pPr>
      <w:r>
        <w:rPr>
          <w:noProof/>
        </w:rPr>
        <w:drawing>
          <wp:inline distT="0" distB="0" distL="0" distR="0" wp14:anchorId="0A4E5B68" wp14:editId="0478FA77">
            <wp:extent cx="2358830" cy="207084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pca_scatter_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8157" cy="209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21343" wp14:editId="6D285FDC">
            <wp:extent cx="2343505" cy="208877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pca_scatter_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1338" cy="209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2308" w14:textId="0EFDA1E3" w:rsidR="00D814C8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>Στα παραπάνω διαγράμματα (2</w:t>
      </w:r>
      <w:r w:rsidRPr="004B3CDB">
        <w:rPr>
          <w:rFonts w:ascii="Aptos" w:hAnsi="Aptos"/>
          <w:sz w:val="20"/>
          <w:szCs w:val="20"/>
        </w:rPr>
        <w:t>D</w:t>
      </w:r>
      <w:r w:rsidRPr="004B3CDB">
        <w:rPr>
          <w:rFonts w:ascii="Aptos" w:hAnsi="Aptos"/>
          <w:sz w:val="20"/>
          <w:szCs w:val="20"/>
          <w:lang w:val="el-GR"/>
        </w:rPr>
        <w:t xml:space="preserve"> και 3</w:t>
      </w:r>
      <w:r w:rsidRPr="004B3CDB">
        <w:rPr>
          <w:rFonts w:ascii="Aptos" w:hAnsi="Aptos"/>
          <w:sz w:val="20"/>
          <w:szCs w:val="20"/>
        </w:rPr>
        <w:t>D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scatter</w:t>
      </w:r>
      <w:r w:rsidRPr="004B3CDB">
        <w:rPr>
          <w:rFonts w:ascii="Aptos" w:hAnsi="Aptos"/>
          <w:sz w:val="20"/>
          <w:szCs w:val="20"/>
          <w:lang w:val="el-GR"/>
        </w:rPr>
        <w:t>) παρουσιάζονται οι ομάδες (</w:t>
      </w:r>
      <w:r w:rsidRPr="004B3CDB">
        <w:rPr>
          <w:rFonts w:ascii="Aptos" w:hAnsi="Aptos"/>
          <w:sz w:val="20"/>
          <w:szCs w:val="20"/>
        </w:rPr>
        <w:t>clusters</w:t>
      </w:r>
      <w:r w:rsidRPr="004B3CDB">
        <w:rPr>
          <w:rFonts w:ascii="Aptos" w:hAnsi="Aptos"/>
          <w:sz w:val="20"/>
          <w:szCs w:val="20"/>
          <w:lang w:val="el-GR"/>
        </w:rPr>
        <w:t xml:space="preserve">) στον χώρο των κυρίων συνιστωσών. Οι ομάδες εμφανίζουν </w:t>
      </w:r>
      <w:r w:rsidR="008C2CA6">
        <w:rPr>
          <w:rFonts w:ascii="Aptos" w:hAnsi="Aptos"/>
          <w:sz w:val="20"/>
          <w:szCs w:val="20"/>
          <w:lang w:val="el-GR"/>
        </w:rPr>
        <w:t>μέτριο</w:t>
      </w:r>
      <w:r w:rsidRPr="004B3CDB">
        <w:rPr>
          <w:rFonts w:ascii="Aptos" w:hAnsi="Aptos"/>
          <w:sz w:val="20"/>
          <w:szCs w:val="20"/>
          <w:lang w:val="el-GR"/>
        </w:rPr>
        <w:t xml:space="preserve"> διαχωρισμό, με την πρώτη να περιλαμβάνει </w:t>
      </w:r>
      <w:r w:rsidRPr="004B3CDB">
        <w:rPr>
          <w:rFonts w:ascii="Aptos" w:hAnsi="Aptos"/>
          <w:sz w:val="20"/>
          <w:szCs w:val="20"/>
          <w:lang w:val="el-GR"/>
        </w:rPr>
        <w:lastRenderedPageBreak/>
        <w:t>μετοχές υψηλότερης κεφαλαιοποίησης και χαμηλότερης μεταβλητότητας, και τη δεύτερη μετοχές με υψηλότερο ρίσκο και πιθανώς μεγαλύτερες αποδόσεις.</w:t>
      </w:r>
    </w:p>
    <w:p w14:paraId="7423DEF1" w14:textId="77777777" w:rsidR="00D814C8" w:rsidRPr="004B3CDB" w:rsidRDefault="00000000">
      <w:pPr>
        <w:pStyle w:val="Heading3"/>
        <w:rPr>
          <w:color w:val="1F497D" w:themeColor="text2"/>
        </w:rPr>
      </w:pPr>
      <w:proofErr w:type="spellStart"/>
      <w:r w:rsidRPr="004B3CDB">
        <w:rPr>
          <w:color w:val="1F497D" w:themeColor="text2"/>
        </w:rPr>
        <w:t>Πίν</w:t>
      </w:r>
      <w:proofErr w:type="spellEnd"/>
      <w:r w:rsidRPr="004B3CDB">
        <w:rPr>
          <w:color w:val="1F497D" w:themeColor="text2"/>
        </w:rPr>
        <w:t>ακας 1. Σύνθεση Clusters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14C8" w14:paraId="6900C377" w14:textId="77777777">
        <w:tc>
          <w:tcPr>
            <w:tcW w:w="2880" w:type="dxa"/>
          </w:tcPr>
          <w:p w14:paraId="1F2CB91E" w14:textId="77777777" w:rsidR="00D814C8" w:rsidRPr="004B3CDB" w:rsidRDefault="00000000" w:rsidP="004B3CD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cluster</w:t>
            </w:r>
          </w:p>
        </w:tc>
        <w:tc>
          <w:tcPr>
            <w:tcW w:w="2880" w:type="dxa"/>
          </w:tcPr>
          <w:p w14:paraId="11C6673A" w14:textId="77777777" w:rsidR="00D814C8" w:rsidRPr="004B3CDB" w:rsidRDefault="00000000" w:rsidP="004B3CD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size</w:t>
            </w:r>
          </w:p>
        </w:tc>
        <w:tc>
          <w:tcPr>
            <w:tcW w:w="2880" w:type="dxa"/>
          </w:tcPr>
          <w:p w14:paraId="0372DFCF" w14:textId="70AB7144" w:rsidR="00D814C8" w:rsidRDefault="00D814C8" w:rsidP="004B3CDB">
            <w:pPr>
              <w:spacing w:after="0"/>
            </w:pPr>
          </w:p>
        </w:tc>
      </w:tr>
      <w:tr w:rsidR="004B3CDB" w14:paraId="5AE7A04F" w14:textId="77777777">
        <w:trPr>
          <w:gridAfter w:val="1"/>
          <w:wAfter w:w="2880" w:type="dxa"/>
        </w:trPr>
        <w:tc>
          <w:tcPr>
            <w:tcW w:w="2880" w:type="dxa"/>
          </w:tcPr>
          <w:p w14:paraId="5D57A011" w14:textId="77777777" w:rsidR="004B3CDB" w:rsidRPr="004B3CDB" w:rsidRDefault="004B3CDB" w:rsidP="004B3CD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</w:t>
            </w:r>
          </w:p>
        </w:tc>
        <w:tc>
          <w:tcPr>
            <w:tcW w:w="2880" w:type="dxa"/>
          </w:tcPr>
          <w:p w14:paraId="05A4A557" w14:textId="77777777" w:rsidR="004B3CDB" w:rsidRPr="004B3CDB" w:rsidRDefault="004B3CDB" w:rsidP="004B3CD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46</w:t>
            </w:r>
          </w:p>
        </w:tc>
      </w:tr>
      <w:tr w:rsidR="004B3CDB" w14:paraId="2DBD3634" w14:textId="77777777">
        <w:trPr>
          <w:gridAfter w:val="1"/>
          <w:wAfter w:w="2880" w:type="dxa"/>
        </w:trPr>
        <w:tc>
          <w:tcPr>
            <w:tcW w:w="2880" w:type="dxa"/>
          </w:tcPr>
          <w:p w14:paraId="02FDEE70" w14:textId="77777777" w:rsidR="004B3CDB" w:rsidRPr="004B3CDB" w:rsidRDefault="004B3CDB" w:rsidP="004B3CD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880" w:type="dxa"/>
          </w:tcPr>
          <w:p w14:paraId="62B0FC34" w14:textId="77777777" w:rsidR="004B3CDB" w:rsidRPr="004B3CDB" w:rsidRDefault="004B3CDB" w:rsidP="004B3CD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4</w:t>
            </w:r>
          </w:p>
        </w:tc>
      </w:tr>
    </w:tbl>
    <w:p w14:paraId="4ED539E3" w14:textId="77777777" w:rsidR="00D814C8" w:rsidRPr="004B3CDB" w:rsidRDefault="00000000" w:rsidP="004B3CDB">
      <w:pPr>
        <w:pStyle w:val="Heading2"/>
        <w:spacing w:after="240"/>
        <w:rPr>
          <w:rFonts w:ascii="Aptos" w:hAnsi="Aptos"/>
          <w:color w:val="1F497D" w:themeColor="text2"/>
        </w:rPr>
      </w:pPr>
      <w:r w:rsidRPr="004B3CDB">
        <w:rPr>
          <w:rFonts w:ascii="Aptos" w:hAnsi="Aptos"/>
          <w:color w:val="1F497D" w:themeColor="text2"/>
        </w:rPr>
        <w:t>5. Χαρτοφυλάκια ανά Cluster (Equal-Weighted)</w:t>
      </w:r>
    </w:p>
    <w:p w14:paraId="651AA0DD" w14:textId="77777777" w:rsidR="00D814C8" w:rsidRPr="004B3CDB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 xml:space="preserve">Για κάθε </w:t>
      </w:r>
      <w:r w:rsidRPr="004B3CDB">
        <w:rPr>
          <w:rFonts w:ascii="Aptos" w:hAnsi="Aptos"/>
          <w:sz w:val="20"/>
          <w:szCs w:val="20"/>
        </w:rPr>
        <w:t>cluster</w:t>
      </w:r>
      <w:r w:rsidRPr="004B3CDB">
        <w:rPr>
          <w:rFonts w:ascii="Aptos" w:hAnsi="Aptos"/>
          <w:sz w:val="20"/>
          <w:szCs w:val="20"/>
          <w:lang w:val="el-GR"/>
        </w:rPr>
        <w:t xml:space="preserve"> δημιουργήθηκε ένα χαρτοφυλάκιο ίσων βαρών, όπου κάθε μετοχή συμμετέχει ισομερώς. Αυτή η προσέγγιση εξαλείφει την επίδραση της κεφαλαιοποίησης και επιτρέπει δίκαιη σύγκριση μεταξύ των ομάδων. Παρακάτω φαίνεται η εξέλιξη της αξίας των χαρτοφυλακίων (</w:t>
      </w:r>
      <w:r w:rsidRPr="004B3CDB">
        <w:rPr>
          <w:rFonts w:ascii="Aptos" w:hAnsi="Aptos"/>
          <w:sz w:val="20"/>
          <w:szCs w:val="20"/>
        </w:rPr>
        <w:t>equity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curves</w:t>
      </w:r>
      <w:r w:rsidRPr="004B3CDB">
        <w:rPr>
          <w:rFonts w:ascii="Aptos" w:hAnsi="Aptos"/>
          <w:sz w:val="20"/>
          <w:szCs w:val="20"/>
          <w:lang w:val="el-GR"/>
        </w:rPr>
        <w:t xml:space="preserve">) ανά </w:t>
      </w:r>
      <w:r w:rsidRPr="004B3CDB">
        <w:rPr>
          <w:rFonts w:ascii="Aptos" w:hAnsi="Aptos"/>
          <w:sz w:val="20"/>
          <w:szCs w:val="20"/>
        </w:rPr>
        <w:t>cluster</w:t>
      </w:r>
      <w:r w:rsidRPr="004B3CDB">
        <w:rPr>
          <w:rFonts w:ascii="Aptos" w:hAnsi="Aptos"/>
          <w:sz w:val="20"/>
          <w:szCs w:val="20"/>
          <w:lang w:val="el-GR"/>
        </w:rPr>
        <w:t>.</w:t>
      </w:r>
    </w:p>
    <w:p w14:paraId="499A3199" w14:textId="77777777" w:rsidR="00D814C8" w:rsidRPr="004B3CDB" w:rsidRDefault="00000000" w:rsidP="004B3CDB">
      <w:pPr>
        <w:jc w:val="center"/>
        <w:rPr>
          <w:rFonts w:ascii="Aptos" w:hAnsi="Aptos"/>
        </w:rPr>
      </w:pPr>
      <w:r w:rsidRPr="004B3CDB">
        <w:rPr>
          <w:rFonts w:ascii="Aptos" w:hAnsi="Aptos"/>
          <w:noProof/>
        </w:rPr>
        <w:drawing>
          <wp:inline distT="0" distB="0" distL="0" distR="0" wp14:anchorId="61C72E11" wp14:editId="79080BE3">
            <wp:extent cx="4114800" cy="2588868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2025-11-12 2146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302" cy="260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A954" w14:textId="2887DA17" w:rsidR="00D814C8" w:rsidRPr="004B3CDB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 xml:space="preserve">Παρατηρείται ότι τα χαρτοφυλάκια παρουσιάζουν διαφορετική συμπεριφορά: το χαρτοφυλάκιο του </w:t>
      </w:r>
      <w:r w:rsidRPr="004B3CDB">
        <w:rPr>
          <w:rFonts w:ascii="Aptos" w:hAnsi="Aptos"/>
          <w:sz w:val="20"/>
          <w:szCs w:val="20"/>
        </w:rPr>
        <w:t>cluster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="00775F87">
        <w:rPr>
          <w:rFonts w:ascii="Aptos" w:hAnsi="Aptos"/>
          <w:sz w:val="20"/>
          <w:szCs w:val="20"/>
          <w:lang w:val="el-GR"/>
        </w:rPr>
        <w:t xml:space="preserve">0 </w:t>
      </w:r>
      <w:r w:rsidRPr="004B3CDB">
        <w:rPr>
          <w:rFonts w:ascii="Aptos" w:hAnsi="Aptos"/>
          <w:sz w:val="20"/>
          <w:szCs w:val="20"/>
          <w:lang w:val="el-GR"/>
        </w:rPr>
        <w:t>έχει πιο σταθερή ανοδική πορεία, ενώ το</w:t>
      </w:r>
      <w:r w:rsidR="00775F87">
        <w:rPr>
          <w:rFonts w:ascii="Aptos" w:hAnsi="Aptos"/>
          <w:sz w:val="20"/>
          <w:szCs w:val="20"/>
          <w:lang w:val="el-GR"/>
        </w:rPr>
        <w:t xml:space="preserve">υ </w:t>
      </w:r>
      <w:r w:rsidR="00775F87">
        <w:rPr>
          <w:rFonts w:ascii="Aptos" w:hAnsi="Aptos"/>
          <w:sz w:val="20"/>
          <w:szCs w:val="20"/>
        </w:rPr>
        <w:t>cluster</w:t>
      </w:r>
      <w:r w:rsidR="00775F87" w:rsidRPr="00775F87">
        <w:rPr>
          <w:rFonts w:ascii="Aptos" w:hAnsi="Aptos"/>
          <w:sz w:val="20"/>
          <w:szCs w:val="20"/>
          <w:lang w:val="el-GR"/>
        </w:rPr>
        <w:t xml:space="preserve"> </w:t>
      </w:r>
      <w:r w:rsidR="00775F87">
        <w:rPr>
          <w:rFonts w:ascii="Aptos" w:hAnsi="Aptos"/>
          <w:sz w:val="20"/>
          <w:szCs w:val="20"/>
          <w:lang w:val="el-GR"/>
        </w:rPr>
        <w:t>1</w:t>
      </w:r>
      <w:r w:rsidRPr="004B3CDB">
        <w:rPr>
          <w:rFonts w:ascii="Aptos" w:hAnsi="Aptos"/>
          <w:sz w:val="20"/>
          <w:szCs w:val="20"/>
          <w:lang w:val="el-GR"/>
        </w:rPr>
        <w:t xml:space="preserve"> παρουσιάζει υψηλότερη μεταβλητότητα αλλά και μεγαλύτερη πιθανότητα </w:t>
      </w:r>
      <w:proofErr w:type="spellStart"/>
      <w:r w:rsidRPr="004B3CDB">
        <w:rPr>
          <w:rFonts w:ascii="Aptos" w:hAnsi="Aptos"/>
          <w:sz w:val="20"/>
          <w:szCs w:val="20"/>
          <w:lang w:val="el-GR"/>
        </w:rPr>
        <w:t>υπεραπόδοσης</w:t>
      </w:r>
      <w:proofErr w:type="spellEnd"/>
      <w:r w:rsidRPr="004B3CDB">
        <w:rPr>
          <w:rFonts w:ascii="Aptos" w:hAnsi="Aptos"/>
          <w:sz w:val="20"/>
          <w:szCs w:val="20"/>
          <w:lang w:val="el-GR"/>
        </w:rPr>
        <w:t>.</w:t>
      </w:r>
    </w:p>
    <w:p w14:paraId="7905C0D2" w14:textId="77777777" w:rsidR="00D814C8" w:rsidRPr="004B3CDB" w:rsidRDefault="00000000" w:rsidP="004B3CDB">
      <w:pPr>
        <w:pStyle w:val="Heading2"/>
        <w:spacing w:after="240"/>
        <w:rPr>
          <w:rFonts w:ascii="Aptos" w:hAnsi="Aptos"/>
          <w:color w:val="1F497D" w:themeColor="text2"/>
          <w:lang w:val="el-GR"/>
        </w:rPr>
      </w:pPr>
      <w:r w:rsidRPr="004B3CDB">
        <w:rPr>
          <w:rFonts w:ascii="Aptos" w:hAnsi="Aptos"/>
          <w:color w:val="1F497D" w:themeColor="text2"/>
          <w:lang w:val="el-GR"/>
        </w:rPr>
        <w:t>6. Αποτελέσματα Απόδοσης</w:t>
      </w:r>
    </w:p>
    <w:p w14:paraId="6CC3392A" w14:textId="77777777" w:rsidR="00D814C8" w:rsidRPr="004B3CDB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t>Οι βασικοί δείκτες απόδοσης για κάθε χαρτοφυλάκιο παρουσιάζονται στον παρακάτω πίνακα.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6"/>
        <w:gridCol w:w="1869"/>
        <w:gridCol w:w="1386"/>
        <w:gridCol w:w="1360"/>
        <w:gridCol w:w="1577"/>
        <w:gridCol w:w="801"/>
        <w:gridCol w:w="801"/>
      </w:tblGrid>
      <w:tr w:rsidR="00D814C8" w:rsidRPr="004B3CDB" w14:paraId="48A27000" w14:textId="77777777">
        <w:tc>
          <w:tcPr>
            <w:tcW w:w="1234" w:type="dxa"/>
          </w:tcPr>
          <w:p w14:paraId="1874EA49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Cluster</w:t>
            </w:r>
          </w:p>
        </w:tc>
        <w:tc>
          <w:tcPr>
            <w:tcW w:w="1234" w:type="dxa"/>
          </w:tcPr>
          <w:p w14:paraId="584CA6E5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Cumulative_Return</w:t>
            </w:r>
          </w:p>
        </w:tc>
        <w:tc>
          <w:tcPr>
            <w:tcW w:w="1234" w:type="dxa"/>
          </w:tcPr>
          <w:p w14:paraId="0FAB77C3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Volatility_Ann</w:t>
            </w:r>
          </w:p>
        </w:tc>
        <w:tc>
          <w:tcPr>
            <w:tcW w:w="1234" w:type="dxa"/>
          </w:tcPr>
          <w:p w14:paraId="401E1BC7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Sharpe_Ratio</w:t>
            </w:r>
          </w:p>
        </w:tc>
        <w:tc>
          <w:tcPr>
            <w:tcW w:w="1234" w:type="dxa"/>
          </w:tcPr>
          <w:p w14:paraId="5E1C7403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Max_Drawdown</w:t>
            </w:r>
          </w:p>
        </w:tc>
        <w:tc>
          <w:tcPr>
            <w:tcW w:w="1234" w:type="dxa"/>
          </w:tcPr>
          <w:p w14:paraId="049B8550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Alpha</w:t>
            </w:r>
          </w:p>
        </w:tc>
        <w:tc>
          <w:tcPr>
            <w:tcW w:w="1234" w:type="dxa"/>
          </w:tcPr>
          <w:p w14:paraId="5D5608F4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Beta</w:t>
            </w:r>
          </w:p>
        </w:tc>
      </w:tr>
      <w:tr w:rsidR="00D814C8" w:rsidRPr="004B3CDB" w14:paraId="22751847" w14:textId="77777777">
        <w:tc>
          <w:tcPr>
            <w:tcW w:w="1234" w:type="dxa"/>
          </w:tcPr>
          <w:p w14:paraId="1AAF9767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0.0</w:t>
            </w:r>
          </w:p>
        </w:tc>
        <w:tc>
          <w:tcPr>
            <w:tcW w:w="1234" w:type="dxa"/>
          </w:tcPr>
          <w:p w14:paraId="5D50175E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0.6897</w:t>
            </w:r>
          </w:p>
        </w:tc>
        <w:tc>
          <w:tcPr>
            <w:tcW w:w="1234" w:type="dxa"/>
          </w:tcPr>
          <w:p w14:paraId="649D5FE4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0.1432</w:t>
            </w:r>
          </w:p>
        </w:tc>
        <w:tc>
          <w:tcPr>
            <w:tcW w:w="1234" w:type="dxa"/>
          </w:tcPr>
          <w:p w14:paraId="04749981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1.1079</w:t>
            </w:r>
          </w:p>
        </w:tc>
        <w:tc>
          <w:tcPr>
            <w:tcW w:w="1234" w:type="dxa"/>
          </w:tcPr>
          <w:p w14:paraId="08319E04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-0.1798</w:t>
            </w:r>
          </w:p>
        </w:tc>
        <w:tc>
          <w:tcPr>
            <w:tcW w:w="1234" w:type="dxa"/>
          </w:tcPr>
          <w:p w14:paraId="7287C31C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0.0113</w:t>
            </w:r>
          </w:p>
        </w:tc>
        <w:tc>
          <w:tcPr>
            <w:tcW w:w="1234" w:type="dxa"/>
          </w:tcPr>
          <w:p w14:paraId="5D550A32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0.8461</w:t>
            </w:r>
          </w:p>
        </w:tc>
      </w:tr>
      <w:tr w:rsidR="00D814C8" w:rsidRPr="004B3CDB" w14:paraId="3EA134D5" w14:textId="77777777">
        <w:tc>
          <w:tcPr>
            <w:tcW w:w="1234" w:type="dxa"/>
          </w:tcPr>
          <w:p w14:paraId="013115CB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1.0</w:t>
            </w:r>
          </w:p>
        </w:tc>
        <w:tc>
          <w:tcPr>
            <w:tcW w:w="1234" w:type="dxa"/>
          </w:tcPr>
          <w:p w14:paraId="531DB07C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2.8823</w:t>
            </w:r>
          </w:p>
        </w:tc>
        <w:tc>
          <w:tcPr>
            <w:tcW w:w="1234" w:type="dxa"/>
          </w:tcPr>
          <w:p w14:paraId="3508778A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0.2688</w:t>
            </w:r>
          </w:p>
        </w:tc>
        <w:tc>
          <w:tcPr>
            <w:tcW w:w="1234" w:type="dxa"/>
          </w:tcPr>
          <w:p w14:paraId="20DEBD0E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1.68</w:t>
            </w:r>
          </w:p>
        </w:tc>
        <w:tc>
          <w:tcPr>
            <w:tcW w:w="1234" w:type="dxa"/>
          </w:tcPr>
          <w:p w14:paraId="1C078659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-0.2663</w:t>
            </w:r>
          </w:p>
        </w:tc>
        <w:tc>
          <w:tcPr>
            <w:tcW w:w="1234" w:type="dxa"/>
          </w:tcPr>
          <w:p w14:paraId="67B9CA03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0.1737</w:t>
            </w:r>
          </w:p>
        </w:tc>
        <w:tc>
          <w:tcPr>
            <w:tcW w:w="1234" w:type="dxa"/>
          </w:tcPr>
          <w:p w14:paraId="5D87D272" w14:textId="77777777" w:rsidR="00D814C8" w:rsidRPr="004B3CDB" w:rsidRDefault="00000000">
            <w:pPr>
              <w:rPr>
                <w:rFonts w:ascii="Aptos" w:hAnsi="Aptos"/>
                <w:sz w:val="20"/>
                <w:szCs w:val="20"/>
              </w:rPr>
            </w:pPr>
            <w:r w:rsidRPr="004B3CDB">
              <w:rPr>
                <w:rFonts w:ascii="Aptos" w:hAnsi="Aptos"/>
                <w:sz w:val="20"/>
                <w:szCs w:val="20"/>
              </w:rPr>
              <w:t>1.5056</w:t>
            </w:r>
          </w:p>
        </w:tc>
      </w:tr>
    </w:tbl>
    <w:p w14:paraId="4974ABEA" w14:textId="49D81258" w:rsidR="00D814C8" w:rsidRPr="004B3CDB" w:rsidRDefault="00000000">
      <w:pPr>
        <w:rPr>
          <w:rFonts w:ascii="Aptos" w:hAnsi="Aptos"/>
          <w:sz w:val="20"/>
          <w:szCs w:val="20"/>
          <w:lang w:val="el-GR"/>
        </w:rPr>
      </w:pPr>
      <w:r w:rsidRPr="004B3CDB">
        <w:rPr>
          <w:rFonts w:ascii="Aptos" w:hAnsi="Aptos"/>
          <w:sz w:val="20"/>
          <w:szCs w:val="20"/>
          <w:lang w:val="el-GR"/>
        </w:rPr>
        <w:lastRenderedPageBreak/>
        <w:t xml:space="preserve">Από τα αποτελέσματα προκύπτει ότι το χαρτοφυλάκιο </w:t>
      </w:r>
      <w:r w:rsidR="00775F87">
        <w:rPr>
          <w:rFonts w:ascii="Aptos" w:hAnsi="Aptos"/>
          <w:sz w:val="20"/>
          <w:szCs w:val="20"/>
          <w:lang w:val="el-GR"/>
        </w:rPr>
        <w:t xml:space="preserve">του </w:t>
      </w:r>
      <w:r w:rsidR="00775F87">
        <w:rPr>
          <w:rFonts w:ascii="Aptos" w:hAnsi="Aptos"/>
          <w:sz w:val="20"/>
          <w:szCs w:val="20"/>
        </w:rPr>
        <w:t>c</w:t>
      </w:r>
      <w:r w:rsidRPr="004B3CDB">
        <w:rPr>
          <w:rFonts w:ascii="Aptos" w:hAnsi="Aptos"/>
          <w:sz w:val="20"/>
          <w:szCs w:val="20"/>
        </w:rPr>
        <w:t>luster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="00775F87" w:rsidRPr="00775F87">
        <w:rPr>
          <w:rFonts w:ascii="Aptos" w:hAnsi="Aptos"/>
          <w:sz w:val="20"/>
          <w:szCs w:val="20"/>
          <w:lang w:val="el-GR"/>
        </w:rPr>
        <w:t>1</w:t>
      </w:r>
      <w:r w:rsidRPr="004B3CDB">
        <w:rPr>
          <w:rFonts w:ascii="Aptos" w:hAnsi="Aptos"/>
          <w:sz w:val="20"/>
          <w:szCs w:val="20"/>
          <w:lang w:val="el-GR"/>
        </w:rPr>
        <w:t xml:space="preserve"> παρουσίασε υψηλότερη συνολική απόδοση, αλλά και αυξημένη μεταβλητότητα. Αντίθετα, το</w:t>
      </w:r>
      <w:r w:rsidR="00775F87" w:rsidRPr="00775F87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  <w:lang w:val="el-GR"/>
        </w:rPr>
        <w:t xml:space="preserve"> χαρτοφυλάκιο </w:t>
      </w:r>
      <w:r w:rsidR="00775F87">
        <w:rPr>
          <w:rFonts w:ascii="Aptos" w:hAnsi="Aptos"/>
          <w:sz w:val="20"/>
          <w:szCs w:val="20"/>
          <w:lang w:val="el-GR"/>
        </w:rPr>
        <w:t xml:space="preserve">του </w:t>
      </w:r>
      <w:r w:rsidR="00775F87">
        <w:rPr>
          <w:rFonts w:ascii="Aptos" w:hAnsi="Aptos"/>
          <w:sz w:val="20"/>
          <w:szCs w:val="20"/>
        </w:rPr>
        <w:t>cluster</w:t>
      </w:r>
      <w:r w:rsidR="00775F87" w:rsidRPr="00775F87">
        <w:rPr>
          <w:rFonts w:ascii="Aptos" w:hAnsi="Aptos"/>
          <w:sz w:val="20"/>
          <w:szCs w:val="20"/>
          <w:lang w:val="el-GR"/>
        </w:rPr>
        <w:t xml:space="preserve"> 0 </w:t>
      </w:r>
      <w:r w:rsidRPr="004B3CDB">
        <w:rPr>
          <w:rFonts w:ascii="Aptos" w:hAnsi="Aptos"/>
          <w:sz w:val="20"/>
          <w:szCs w:val="20"/>
          <w:lang w:val="el-GR"/>
        </w:rPr>
        <w:t xml:space="preserve">εμφάνισε μικρότερο ρίσκο και υψηλότερο </w:t>
      </w:r>
      <w:r w:rsidRPr="004B3CDB">
        <w:rPr>
          <w:rFonts w:ascii="Aptos" w:hAnsi="Aptos"/>
          <w:sz w:val="20"/>
          <w:szCs w:val="20"/>
        </w:rPr>
        <w:t>Sharpe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ratio</w:t>
      </w:r>
      <w:r w:rsidRPr="004B3CDB">
        <w:rPr>
          <w:rFonts w:ascii="Aptos" w:hAnsi="Aptos"/>
          <w:sz w:val="20"/>
          <w:szCs w:val="20"/>
          <w:lang w:val="el-GR"/>
        </w:rPr>
        <w:t xml:space="preserve">, γεγονός που το καθιστά πιο αποδοτικό σε όρους </w:t>
      </w:r>
      <w:r w:rsidRPr="004B3CDB">
        <w:rPr>
          <w:rFonts w:ascii="Aptos" w:hAnsi="Aptos"/>
          <w:sz w:val="20"/>
          <w:szCs w:val="20"/>
        </w:rPr>
        <w:t>risk</w:t>
      </w:r>
      <w:r w:rsidRPr="004B3CDB">
        <w:rPr>
          <w:rFonts w:ascii="Aptos" w:hAnsi="Aptos"/>
          <w:sz w:val="20"/>
          <w:szCs w:val="20"/>
          <w:lang w:val="el-GR"/>
        </w:rPr>
        <w:t>-</w:t>
      </w:r>
      <w:r w:rsidRPr="004B3CDB">
        <w:rPr>
          <w:rFonts w:ascii="Aptos" w:hAnsi="Aptos"/>
          <w:sz w:val="20"/>
          <w:szCs w:val="20"/>
        </w:rPr>
        <w:t>adjusted</w:t>
      </w:r>
      <w:r w:rsidRPr="004B3CDB">
        <w:rPr>
          <w:rFonts w:ascii="Aptos" w:hAnsi="Aptos"/>
          <w:sz w:val="20"/>
          <w:szCs w:val="20"/>
          <w:lang w:val="el-GR"/>
        </w:rPr>
        <w:t xml:space="preserve"> </w:t>
      </w:r>
      <w:r w:rsidRPr="004B3CDB">
        <w:rPr>
          <w:rFonts w:ascii="Aptos" w:hAnsi="Aptos"/>
          <w:sz w:val="20"/>
          <w:szCs w:val="20"/>
        </w:rPr>
        <w:t>performance</w:t>
      </w:r>
      <w:r w:rsidRPr="004B3CDB">
        <w:rPr>
          <w:rFonts w:ascii="Aptos" w:hAnsi="Aptos"/>
          <w:sz w:val="20"/>
          <w:szCs w:val="20"/>
          <w:lang w:val="el-GR"/>
        </w:rPr>
        <w:t>.</w:t>
      </w:r>
    </w:p>
    <w:p w14:paraId="1BF4165D" w14:textId="77777777" w:rsidR="00D814C8" w:rsidRPr="004B3CDB" w:rsidRDefault="00000000" w:rsidP="004B3CDB">
      <w:pPr>
        <w:pStyle w:val="Heading2"/>
        <w:spacing w:after="240"/>
        <w:rPr>
          <w:rFonts w:ascii="Aptos" w:hAnsi="Aptos"/>
          <w:color w:val="1F497D" w:themeColor="text2"/>
          <w:lang w:val="el-GR"/>
        </w:rPr>
      </w:pPr>
      <w:r w:rsidRPr="004B3CDB">
        <w:rPr>
          <w:rFonts w:ascii="Aptos" w:hAnsi="Aptos"/>
          <w:color w:val="1F497D" w:themeColor="text2"/>
          <w:lang w:val="el-GR"/>
        </w:rPr>
        <w:t>7. Συμπεράσματα</w:t>
      </w:r>
    </w:p>
    <w:p w14:paraId="798B90FE" w14:textId="60D34272" w:rsidR="00D814C8" w:rsidRPr="004B3CDB" w:rsidRDefault="00775F87">
      <w:pPr>
        <w:rPr>
          <w:rFonts w:ascii="Aptos" w:hAnsi="Aptos"/>
          <w:sz w:val="20"/>
          <w:szCs w:val="20"/>
          <w:lang w:val="el-GR"/>
        </w:rPr>
      </w:pPr>
      <w:r w:rsidRPr="00775F87">
        <w:rPr>
          <w:rFonts w:ascii="Aptos" w:hAnsi="Aptos"/>
          <w:sz w:val="20"/>
          <w:szCs w:val="20"/>
          <w:lang w:val="el-GR"/>
        </w:rPr>
        <w:t>Η συνδυαστική χρήση της ανάλυσης κύριων συνιστωσών (PCA) με τον αλγόριθμο K</w:t>
      </w:r>
      <w:r w:rsidRPr="00775F87">
        <w:rPr>
          <w:rFonts w:ascii="Cambria Math" w:hAnsi="Cambria Math" w:cs="Cambria Math"/>
          <w:sz w:val="20"/>
          <w:szCs w:val="20"/>
          <w:lang w:val="el-GR"/>
        </w:rPr>
        <w:t>‑</w:t>
      </w:r>
      <w:proofErr w:type="spellStart"/>
      <w:r w:rsidRPr="00775F87">
        <w:rPr>
          <w:rFonts w:ascii="Aptos" w:hAnsi="Aptos"/>
          <w:sz w:val="20"/>
          <w:szCs w:val="20"/>
          <w:lang w:val="el-GR"/>
        </w:rPr>
        <w:t>Means</w:t>
      </w:r>
      <w:proofErr w:type="spellEnd"/>
      <w:r w:rsidRPr="00775F87">
        <w:rPr>
          <w:rFonts w:ascii="Aptos" w:hAnsi="Aptos"/>
          <w:sz w:val="20"/>
          <w:szCs w:val="20"/>
          <w:lang w:val="el-GR"/>
        </w:rPr>
        <w:t xml:space="preserve"> αποδείχθηκε εξαιρετικά χρήσιμη για την αποκρυπτογράφηση των αλληλεπιδράσεων μεταξύ των μετοχών και τη διαχωριστική τους ομαδοποίηση βάσει κοινών χαρακτηριστικών κινδύνου και απόδοσης. Η PCA κατάφερε να συμπιέσει τις διαστάσεις του συνόλου δεδομένων, διατηρώντας σχεδόν όλη τη σχετική πληροφορία, ενώ το K</w:t>
      </w:r>
      <w:r w:rsidRPr="00775F87">
        <w:rPr>
          <w:rFonts w:ascii="Cambria Math" w:hAnsi="Cambria Math" w:cs="Cambria Math"/>
          <w:sz w:val="20"/>
          <w:szCs w:val="20"/>
          <w:lang w:val="el-GR"/>
        </w:rPr>
        <w:t>‑</w:t>
      </w:r>
      <w:proofErr w:type="spellStart"/>
      <w:r w:rsidRPr="00775F87">
        <w:rPr>
          <w:rFonts w:ascii="Aptos" w:hAnsi="Aptos"/>
          <w:sz w:val="20"/>
          <w:szCs w:val="20"/>
          <w:lang w:val="el-GR"/>
        </w:rPr>
        <w:t>Means</w:t>
      </w:r>
      <w:proofErr w:type="spellEnd"/>
      <w:r w:rsidRPr="00775F87">
        <w:rPr>
          <w:rFonts w:ascii="Aptos" w:hAnsi="Aptos"/>
          <w:sz w:val="20"/>
          <w:szCs w:val="20"/>
          <w:lang w:val="el-GR"/>
        </w:rPr>
        <w:t xml:space="preserve"> ανέδειξε ομάδες με σαφώς διακριτό επενδυτικό προφίλ. Τα </w:t>
      </w:r>
      <w:proofErr w:type="spellStart"/>
      <w:r w:rsidRPr="00775F87">
        <w:rPr>
          <w:rFonts w:ascii="Aptos" w:hAnsi="Aptos"/>
          <w:sz w:val="20"/>
          <w:szCs w:val="20"/>
          <w:lang w:val="el-GR"/>
        </w:rPr>
        <w:t>equal</w:t>
      </w:r>
      <w:r w:rsidRPr="00775F87">
        <w:rPr>
          <w:rFonts w:ascii="Cambria Math" w:hAnsi="Cambria Math" w:cs="Cambria Math"/>
          <w:sz w:val="20"/>
          <w:szCs w:val="20"/>
          <w:lang w:val="el-GR"/>
        </w:rPr>
        <w:t>‑</w:t>
      </w:r>
      <w:r w:rsidRPr="00775F87">
        <w:rPr>
          <w:rFonts w:ascii="Aptos" w:hAnsi="Aptos"/>
          <w:sz w:val="20"/>
          <w:szCs w:val="20"/>
          <w:lang w:val="el-GR"/>
        </w:rPr>
        <w:t>weighted</w:t>
      </w:r>
      <w:proofErr w:type="spellEnd"/>
      <w:r w:rsidRPr="00775F87">
        <w:rPr>
          <w:rFonts w:ascii="Aptos" w:hAnsi="Aptos"/>
          <w:sz w:val="20"/>
          <w:szCs w:val="20"/>
          <w:lang w:val="el-GR"/>
        </w:rPr>
        <w:t xml:space="preserve"> χαρτοφυλάκια τόνισαν τη διαφοροποίηση μεταξύ αυτών των ομάδων, προσφέροντας πολύτιμες ενδείξεις για τη διαχείριση του ρίσκου και τη στρατηγική κατανομή του κεφαλαίου.</w:t>
      </w:r>
    </w:p>
    <w:sectPr w:rsidR="00D814C8" w:rsidRPr="004B3C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886294">
    <w:abstractNumId w:val="8"/>
  </w:num>
  <w:num w:numId="2" w16cid:durableId="1754738110">
    <w:abstractNumId w:val="6"/>
  </w:num>
  <w:num w:numId="3" w16cid:durableId="119809627">
    <w:abstractNumId w:val="5"/>
  </w:num>
  <w:num w:numId="4" w16cid:durableId="1458137889">
    <w:abstractNumId w:val="4"/>
  </w:num>
  <w:num w:numId="5" w16cid:durableId="1989287580">
    <w:abstractNumId w:val="7"/>
  </w:num>
  <w:num w:numId="6" w16cid:durableId="437798892">
    <w:abstractNumId w:val="3"/>
  </w:num>
  <w:num w:numId="7" w16cid:durableId="459153824">
    <w:abstractNumId w:val="2"/>
  </w:num>
  <w:num w:numId="8" w16cid:durableId="508256158">
    <w:abstractNumId w:val="1"/>
  </w:num>
  <w:num w:numId="9" w16cid:durableId="59062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AE7"/>
    <w:rsid w:val="0029639D"/>
    <w:rsid w:val="00326F90"/>
    <w:rsid w:val="004B3CDB"/>
    <w:rsid w:val="00596F7F"/>
    <w:rsid w:val="00667A64"/>
    <w:rsid w:val="00775F87"/>
    <w:rsid w:val="008C2CA6"/>
    <w:rsid w:val="00A70C49"/>
    <w:rsid w:val="00AA1D8D"/>
    <w:rsid w:val="00B47730"/>
    <w:rsid w:val="00CB0664"/>
    <w:rsid w:val="00D814C8"/>
    <w:rsid w:val="00DE4F9D"/>
    <w:rsid w:val="00EE0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D7F251"/>
  <w14:defaultImageDpi w14:val="300"/>
  <w15:docId w15:val="{56C8E883-7543-7E4B-B6DD-6FAE1393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Giorgos Lachanoudis</cp:lastModifiedBy>
  <cp:revision>4</cp:revision>
  <dcterms:created xsi:type="dcterms:W3CDTF">2025-11-12T21:15:00Z</dcterms:created>
  <dcterms:modified xsi:type="dcterms:W3CDTF">2025-11-13T12:34:00Z</dcterms:modified>
  <cp:category/>
</cp:coreProperties>
</file>