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1D767" w14:textId="76285281" w:rsidR="00112E37" w:rsidRDefault="00FF55CE" w:rsidP="008602E0">
      <w:pPr>
        <w:pStyle w:val="Heading1"/>
      </w:pPr>
      <w:r>
        <w:t>TBL</w:t>
      </w:r>
      <w:r w:rsidR="00D562A1">
        <w:t xml:space="preserve"> 3: </w:t>
      </w:r>
      <w:r w:rsidR="008602E0">
        <w:t>HIGH-RESOLUTION MAGNETIC SURVEY IN LOCATING ABANDONED BRINE W</w:t>
      </w:r>
      <w:bookmarkStart w:id="0" w:name="_GoBack"/>
      <w:bookmarkEnd w:id="0"/>
      <w:r w:rsidR="008602E0">
        <w:t>ELLS IN HUTCHINSON, KANSAS (Xia and Williams)</w:t>
      </w:r>
    </w:p>
    <w:p w14:paraId="0C93BE68" w14:textId="77777777" w:rsidR="00D562A1" w:rsidRDefault="00D562A1"/>
    <w:p w14:paraId="1AFC472B" w14:textId="77777777" w:rsidR="00D562A1" w:rsidRDefault="00D562A1" w:rsidP="00D562A1">
      <w:pPr>
        <w:pStyle w:val="Heading2"/>
      </w:pPr>
      <w:r>
        <w:t>Overview</w:t>
      </w:r>
    </w:p>
    <w:p w14:paraId="5B42F69D" w14:textId="77777777" w:rsidR="00D562A1" w:rsidRDefault="00D562A1" w:rsidP="00D562A1"/>
    <w:p w14:paraId="05EDF0C3" w14:textId="677401DB" w:rsidR="00B67C42" w:rsidRDefault="008602E0" w:rsidP="008602E0">
      <w:r>
        <w:t>Many improperly abandoned wells exist in Canada and the US. They are di</w:t>
      </w:r>
      <w:r w:rsidR="00206A41">
        <w:t>ffi</w:t>
      </w:r>
      <w:r>
        <w:t xml:space="preserve">cult to </w:t>
      </w:r>
      <w:r w:rsidR="00206A41">
        <w:t>fi</w:t>
      </w:r>
      <w:r>
        <w:t>nd</w:t>
      </w:r>
      <w:r w:rsidR="00206A41">
        <w:t xml:space="preserve"> </w:t>
      </w:r>
      <w:r>
        <w:t>as they are often covered by soil so they are not visible by eye. Their small diameter</w:t>
      </w:r>
      <w:r w:rsidR="00206A41">
        <w:t xml:space="preserve"> </w:t>
      </w:r>
      <w:r>
        <w:t>makes them di</w:t>
      </w:r>
      <w:r w:rsidR="00206A41">
        <w:t>ffi</w:t>
      </w:r>
      <w:r>
        <w:t>cult to locate by direct probing of the ground. In this case study, the</w:t>
      </w:r>
      <w:r w:rsidR="00206A41">
        <w:t xml:space="preserve"> </w:t>
      </w:r>
      <w:r>
        <w:t>authors use magnetic surveys to locate abandoned wells.</w:t>
      </w:r>
    </w:p>
    <w:p w14:paraId="38DD9337" w14:textId="77777777" w:rsidR="00D562A1" w:rsidRDefault="00D562A1" w:rsidP="00D562A1"/>
    <w:p w14:paraId="27656C04" w14:textId="62904413" w:rsidR="00D562A1" w:rsidRDefault="00206A41" w:rsidP="002D00F6">
      <w:pPr>
        <w:pStyle w:val="Heading2"/>
      </w:pPr>
      <w:r>
        <w:t>Setup</w:t>
      </w:r>
    </w:p>
    <w:p w14:paraId="78ED906B" w14:textId="77777777" w:rsidR="002D00F6" w:rsidRDefault="002D00F6" w:rsidP="00D562A1"/>
    <w:p w14:paraId="19EEFE2C" w14:textId="0C301700" w:rsidR="00E5313F" w:rsidRDefault="00206A41" w:rsidP="00206A41">
      <w:r>
        <w:t>Q1. What (a) motivated the study? and (b) was the primary objective of the geophysical study?</w:t>
      </w:r>
    </w:p>
    <w:p w14:paraId="2BEF09FB" w14:textId="77777777" w:rsidR="00206A41" w:rsidRDefault="00206A41" w:rsidP="00206A41"/>
    <w:p w14:paraId="28BC2B3A" w14:textId="77777777" w:rsidR="00206A41" w:rsidRDefault="00206A41" w:rsidP="00206A41"/>
    <w:p w14:paraId="2A405BEB" w14:textId="77777777" w:rsidR="00AC205E" w:rsidRDefault="00AC205E" w:rsidP="00206A41"/>
    <w:p w14:paraId="63911715" w14:textId="77777777" w:rsidR="00E7634E" w:rsidRDefault="00E7634E" w:rsidP="006F5923"/>
    <w:p w14:paraId="24ACB77B" w14:textId="506C65AE" w:rsidR="00E5313F" w:rsidRDefault="00E5313F" w:rsidP="00206A41">
      <w:r>
        <w:t xml:space="preserve">Q2: </w:t>
      </w:r>
      <w:r w:rsidR="00206A41">
        <w:t>The authors gathered background information about the problem at hand. Name two of the sources or methods they used.</w:t>
      </w:r>
    </w:p>
    <w:p w14:paraId="706C2E4A" w14:textId="77777777" w:rsidR="00E5313F" w:rsidRDefault="00E5313F" w:rsidP="006F5923"/>
    <w:p w14:paraId="02130EAE" w14:textId="77777777" w:rsidR="00AC205E" w:rsidRDefault="00AC205E" w:rsidP="006F5923"/>
    <w:p w14:paraId="3026E78D" w14:textId="77777777" w:rsidR="00AC205E" w:rsidRDefault="00AC205E" w:rsidP="006F5923"/>
    <w:p w14:paraId="6926DF6E" w14:textId="502293CF" w:rsidR="006F5923" w:rsidRDefault="0084477C" w:rsidP="00217CB5">
      <w:pPr>
        <w:pStyle w:val="Heading2"/>
      </w:pPr>
      <w:r>
        <w:t>Physical properties</w:t>
      </w:r>
    </w:p>
    <w:p w14:paraId="06FEFB09" w14:textId="77777777" w:rsidR="00217CB5" w:rsidRDefault="00217CB5" w:rsidP="00D562A1"/>
    <w:p w14:paraId="1FD22F3F" w14:textId="77777777" w:rsidR="0084477C" w:rsidRDefault="0084477C" w:rsidP="0084477C">
      <w:r>
        <w:t>Q3. Which physical property is used as the primary diagnostic physical property? Why is it diagnostic in this setting?</w:t>
      </w:r>
    </w:p>
    <w:p w14:paraId="26477D3D" w14:textId="77777777" w:rsidR="0084477C" w:rsidRDefault="0084477C" w:rsidP="0084477C"/>
    <w:p w14:paraId="5F1A7A93" w14:textId="77777777" w:rsidR="00DA0A8C" w:rsidRDefault="00DA0A8C" w:rsidP="0084477C"/>
    <w:p w14:paraId="217797A1" w14:textId="77777777" w:rsidR="00AC205E" w:rsidRDefault="00AC205E" w:rsidP="0084477C"/>
    <w:p w14:paraId="3D4803EE" w14:textId="77777777" w:rsidR="00AC205E" w:rsidRDefault="00AC205E" w:rsidP="0084477C"/>
    <w:p w14:paraId="15DD351E" w14:textId="77777777" w:rsidR="00DA0A8C" w:rsidRDefault="00DA0A8C" w:rsidP="0084477C"/>
    <w:p w14:paraId="4104A853" w14:textId="0F7E42F3" w:rsidR="004102C6" w:rsidRDefault="00B96C76" w:rsidP="004102C6">
      <w:pPr>
        <w:pStyle w:val="Heading2"/>
      </w:pPr>
      <w:r>
        <w:t>Survey</w:t>
      </w:r>
    </w:p>
    <w:p w14:paraId="1A2E8B7D" w14:textId="77777777" w:rsidR="00B96C76" w:rsidRDefault="00B96C76" w:rsidP="00B96C76"/>
    <w:p w14:paraId="3D2A013D" w14:textId="70738126" w:rsidR="00B96C76" w:rsidRPr="00B96C76" w:rsidRDefault="00B96C76" w:rsidP="00B96C76">
      <w:r w:rsidRPr="00B96C76">
        <w:t>Q5. What instrument was used and what was measured?</w:t>
      </w:r>
    </w:p>
    <w:p w14:paraId="6ABA4ED8" w14:textId="77777777" w:rsidR="004102C6" w:rsidRDefault="004102C6" w:rsidP="00D562A1"/>
    <w:p w14:paraId="7BCB31F2" w14:textId="77777777" w:rsidR="00AC205E" w:rsidRDefault="00AC205E" w:rsidP="00D562A1"/>
    <w:p w14:paraId="159952FE" w14:textId="77777777" w:rsidR="00871472" w:rsidRDefault="00871472" w:rsidP="00D562A1"/>
    <w:p w14:paraId="59CB582E" w14:textId="27BA7C56" w:rsidR="00871472" w:rsidRDefault="00871472" w:rsidP="00D562A1">
      <w:r>
        <w:lastRenderedPageBreak/>
        <w:t>Q6</w:t>
      </w:r>
      <w:r w:rsidRPr="00871472">
        <w:t>. Why was a base station not deemed necessary?</w:t>
      </w:r>
    </w:p>
    <w:p w14:paraId="726C4151" w14:textId="77777777" w:rsidR="00B61B0E" w:rsidRDefault="00B61B0E" w:rsidP="008D7900"/>
    <w:p w14:paraId="2746E9A0" w14:textId="77777777" w:rsidR="00871472" w:rsidRDefault="00871472" w:rsidP="008D7900"/>
    <w:p w14:paraId="72888E62" w14:textId="77777777" w:rsidR="00AC205E" w:rsidRDefault="00AC205E" w:rsidP="008D7900"/>
    <w:p w14:paraId="65229E15" w14:textId="77777777" w:rsidR="007C7123" w:rsidRDefault="007C7123" w:rsidP="008D7900"/>
    <w:p w14:paraId="7C176B62" w14:textId="77777777" w:rsidR="007C7123" w:rsidRDefault="007C7123" w:rsidP="008D7900"/>
    <w:p w14:paraId="297F940D" w14:textId="505F96D5" w:rsidR="007C7123" w:rsidRDefault="007C7123" w:rsidP="007C7123">
      <w:pPr>
        <w:pStyle w:val="Heading2"/>
      </w:pPr>
      <w:r>
        <w:t>Data</w:t>
      </w:r>
    </w:p>
    <w:p w14:paraId="1E5F7D88" w14:textId="77777777" w:rsidR="007C7123" w:rsidRDefault="007C7123" w:rsidP="008D7900"/>
    <w:p w14:paraId="3E12B623" w14:textId="118F6A49" w:rsidR="00B61B0E" w:rsidRDefault="007C7123" w:rsidP="008D7900">
      <w:r>
        <w:t xml:space="preserve">Q7: Although no base station was used, the data were corrected and adjusted before plotting for visual analysis. </w:t>
      </w:r>
      <w:r w:rsidR="00845EC4">
        <w:t>List the corrections or adjustments applied in the paper.</w:t>
      </w:r>
    </w:p>
    <w:p w14:paraId="6EE24457" w14:textId="77777777" w:rsidR="00B61B0E" w:rsidRDefault="00B61B0E" w:rsidP="008D7900"/>
    <w:p w14:paraId="20D5F3ED" w14:textId="77777777" w:rsidR="00AC205E" w:rsidRDefault="00AC205E" w:rsidP="008D7900"/>
    <w:p w14:paraId="4AFB9ABF" w14:textId="77777777" w:rsidR="00AC205E" w:rsidRDefault="00AC205E" w:rsidP="008D7900"/>
    <w:p w14:paraId="316C6E73" w14:textId="77777777" w:rsidR="00AC205E" w:rsidRDefault="00AC205E" w:rsidP="008D7900"/>
    <w:p w14:paraId="27D5FC2F" w14:textId="77777777" w:rsidR="00AC205E" w:rsidRDefault="00AC205E" w:rsidP="008D7900"/>
    <w:p w14:paraId="573858B6" w14:textId="77777777" w:rsidR="00AC205E" w:rsidRDefault="00AC205E" w:rsidP="008D7900"/>
    <w:p w14:paraId="27B01C74" w14:textId="3309368B" w:rsidR="00AC205E" w:rsidRDefault="00AC205E" w:rsidP="00AC205E">
      <w:pPr>
        <w:pStyle w:val="Heading2"/>
      </w:pPr>
      <w:r>
        <w:t>Interpretation</w:t>
      </w:r>
    </w:p>
    <w:p w14:paraId="0ECB9469" w14:textId="77777777" w:rsidR="00AC205E" w:rsidRDefault="00AC205E" w:rsidP="008D7900"/>
    <w:p w14:paraId="037E4765" w14:textId="0F7D0D83" w:rsidR="00AC205E" w:rsidRDefault="00DA0A8C" w:rsidP="008D7900">
      <w:r>
        <w:t xml:space="preserve">Q8: The paper refers to </w:t>
      </w:r>
      <w:r w:rsidR="0085065C">
        <w:t>“monopole”</w:t>
      </w:r>
      <w:r>
        <w:t xml:space="preserve"> anomaly</w:t>
      </w:r>
      <w:r w:rsidR="0085065C">
        <w:t>. However, in physics, a magnetic monopole doesn’t exist. Why is “monopole” a valid concept here</w:t>
      </w:r>
      <w:r>
        <w:t xml:space="preserve"> (</w:t>
      </w:r>
      <w:hyperlink r:id="rId5" w:anchor="approximating-targets-using-magnetic-charges" w:history="1">
        <w:r w:rsidRPr="00DA0A8C">
          <w:rPr>
            <w:rStyle w:val="Hyperlink"/>
          </w:rPr>
          <w:t>GPG Link</w:t>
        </w:r>
      </w:hyperlink>
      <w:r>
        <w:t>)</w:t>
      </w:r>
      <w:r w:rsidR="0085065C">
        <w:t>?</w:t>
      </w:r>
    </w:p>
    <w:p w14:paraId="4B7C21B2" w14:textId="605D8493" w:rsidR="00DA0A8C" w:rsidRDefault="00DA0A8C" w:rsidP="008D7900">
      <w:r>
        <w:t>Convey your answers by showing the sign and distribution of magnetic charges for the following circumstances.</w:t>
      </w:r>
    </w:p>
    <w:p w14:paraId="0A64A5E2" w14:textId="77777777" w:rsidR="00052BC1" w:rsidRDefault="00052BC1" w:rsidP="008D7900"/>
    <w:p w14:paraId="523C8606" w14:textId="77777777" w:rsidR="00052BC1" w:rsidRDefault="00052BC1" w:rsidP="008D7900"/>
    <w:p w14:paraId="76EE737C" w14:textId="77777777" w:rsidR="00052BC1" w:rsidRDefault="00052BC1" w:rsidP="008D7900"/>
    <w:p w14:paraId="34D15E0C" w14:textId="77777777" w:rsidR="00052BC1" w:rsidRDefault="00052BC1" w:rsidP="008D7900"/>
    <w:p w14:paraId="5F11D1E4" w14:textId="77777777" w:rsidR="00052BC1" w:rsidRDefault="00052BC1" w:rsidP="008D7900"/>
    <w:p w14:paraId="45BEE002" w14:textId="77777777" w:rsidR="00052BC1" w:rsidRDefault="00052BC1" w:rsidP="008D7900"/>
    <w:p w14:paraId="742591F6" w14:textId="77777777" w:rsidR="00DA0A8C" w:rsidRDefault="00DA0A8C" w:rsidP="008D7900"/>
    <w:p w14:paraId="4A2D38CE" w14:textId="6B5A0C29" w:rsidR="00052BC1" w:rsidRDefault="00052BC1" w:rsidP="00052BC1">
      <w:pPr>
        <w:jc w:val="center"/>
      </w:pPr>
      <w:r w:rsidRPr="00052BC1">
        <w:rPr>
          <w:noProof/>
        </w:rPr>
        <w:drawing>
          <wp:inline distT="0" distB="0" distL="0" distR="0" wp14:anchorId="78917F72" wp14:editId="3759C844">
            <wp:extent cx="5016853" cy="2004419"/>
            <wp:effectExtent l="0" t="0" r="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091" cy="200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0149" w14:textId="77777777" w:rsidR="0085065C" w:rsidRDefault="0085065C" w:rsidP="008D7900"/>
    <w:p w14:paraId="0FDFD343" w14:textId="77777777" w:rsidR="0085065C" w:rsidRDefault="0085065C" w:rsidP="008D7900"/>
    <w:p w14:paraId="3483F79C" w14:textId="77777777" w:rsidR="00052BC1" w:rsidRDefault="00052BC1">
      <w:r>
        <w:br w:type="page"/>
      </w:r>
    </w:p>
    <w:p w14:paraId="0C52DDF8" w14:textId="7C399144" w:rsidR="00E049EA" w:rsidRDefault="0085065C" w:rsidP="008D7900">
      <w:r>
        <w:lastRenderedPageBreak/>
        <w:t xml:space="preserve">Q9: </w:t>
      </w:r>
      <w:r w:rsidR="00052BC1">
        <w:t>The diagram below show</w:t>
      </w:r>
      <w:r w:rsidR="00772B95">
        <w:t>s</w:t>
      </w:r>
      <w:r w:rsidR="00052BC1">
        <w:t xml:space="preserve"> a </w:t>
      </w:r>
      <w:r w:rsidR="00E049EA">
        <w:t>magneti</w:t>
      </w:r>
      <w:r w:rsidR="00A42153">
        <w:t xml:space="preserve">c positive charge below surface. Sketch the expected total field magnetic anomaly. Earth field is vertically down (Inclination: 90 degree). </w:t>
      </w:r>
    </w:p>
    <w:p w14:paraId="621A1A81" w14:textId="77777777" w:rsidR="00E049EA" w:rsidRDefault="00E049EA" w:rsidP="008D7900"/>
    <w:p w14:paraId="3A95A8A7" w14:textId="77777777" w:rsidR="009610FA" w:rsidRDefault="009610FA" w:rsidP="008D7900"/>
    <w:p w14:paraId="1E77B589" w14:textId="77777777" w:rsidR="00E049EA" w:rsidRDefault="00E049EA" w:rsidP="008D7900"/>
    <w:p w14:paraId="717C071B" w14:textId="77777777" w:rsidR="00E049EA" w:rsidRDefault="00E049EA" w:rsidP="008D7900"/>
    <w:p w14:paraId="6EF98715" w14:textId="77777777" w:rsidR="009610FA" w:rsidRDefault="009610FA" w:rsidP="008D7900"/>
    <w:p w14:paraId="4EA91F70" w14:textId="13202DBE" w:rsidR="00E049EA" w:rsidRDefault="009610FA" w:rsidP="009610FA">
      <w:pPr>
        <w:jc w:val="center"/>
      </w:pPr>
      <w:r w:rsidRPr="009610FA">
        <w:rPr>
          <w:noProof/>
        </w:rPr>
        <w:drawing>
          <wp:inline distT="0" distB="0" distL="0" distR="0" wp14:anchorId="5831E9DE" wp14:editId="1C26AA85">
            <wp:extent cx="4964347" cy="2464936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190" cy="247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1305" w14:textId="77777777" w:rsidR="009610FA" w:rsidRDefault="009610FA" w:rsidP="00E049EA"/>
    <w:p w14:paraId="54878B58" w14:textId="77777777" w:rsidR="009610FA" w:rsidRDefault="009610FA" w:rsidP="00E049EA"/>
    <w:p w14:paraId="4927E5AD" w14:textId="44DD635C" w:rsidR="00E049EA" w:rsidRDefault="00E049EA" w:rsidP="008D7900">
      <w:r>
        <w:t>Q10. Draw a magnetic negative charge below surface and the associated field lines. On top of the surface, draw the expected total field magnetic anomaly. Does a positive monopole or a negative monopole better predict the field data?</w:t>
      </w:r>
    </w:p>
    <w:p w14:paraId="3A8E812C" w14:textId="77777777" w:rsidR="009610FA" w:rsidRDefault="009610FA" w:rsidP="008D7900"/>
    <w:p w14:paraId="1A73D661" w14:textId="77777777" w:rsidR="009610FA" w:rsidRDefault="009610FA" w:rsidP="008D7900"/>
    <w:p w14:paraId="68F3F431" w14:textId="77777777" w:rsidR="009610FA" w:rsidRDefault="009610FA" w:rsidP="008D7900"/>
    <w:p w14:paraId="07FE3C65" w14:textId="77777777" w:rsidR="009610FA" w:rsidRDefault="009610FA" w:rsidP="008D7900"/>
    <w:p w14:paraId="53757670" w14:textId="77777777" w:rsidR="009610FA" w:rsidRDefault="009610FA" w:rsidP="008D7900"/>
    <w:p w14:paraId="5C4D8BD7" w14:textId="25FA9930" w:rsidR="009610FA" w:rsidRDefault="009610FA" w:rsidP="009610FA">
      <w:pPr>
        <w:jc w:val="center"/>
      </w:pPr>
      <w:r w:rsidRPr="009610FA">
        <w:rPr>
          <w:noProof/>
        </w:rPr>
        <w:drawing>
          <wp:inline distT="0" distB="0" distL="0" distR="0" wp14:anchorId="19D3975D" wp14:editId="5E4281E0">
            <wp:extent cx="4973740" cy="2469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740" cy="24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4866" w14:textId="5B7DFB04" w:rsidR="00E049EA" w:rsidRDefault="00C649EA" w:rsidP="008D7900">
      <w:r w:rsidRPr="00C649E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ED2306" wp14:editId="125B4F1D">
            <wp:simplePos x="0" y="0"/>
            <wp:positionH relativeFrom="column">
              <wp:posOffset>4622800</wp:posOffset>
            </wp:positionH>
            <wp:positionV relativeFrom="paragraph">
              <wp:posOffset>230505</wp:posOffset>
            </wp:positionV>
            <wp:extent cx="838200" cy="1207770"/>
            <wp:effectExtent l="0" t="0" r="0" b="11430"/>
            <wp:wrapTight wrapText="bothSides">
              <wp:wrapPolygon edited="0">
                <wp:start x="8509" y="0"/>
                <wp:lineTo x="0" y="7268"/>
                <wp:lineTo x="0" y="20896"/>
                <wp:lineTo x="1964" y="21350"/>
                <wp:lineTo x="17673" y="21350"/>
                <wp:lineTo x="20291" y="21350"/>
                <wp:lineTo x="20945" y="19533"/>
                <wp:lineTo x="20945" y="3180"/>
                <wp:lineTo x="18327" y="1363"/>
                <wp:lineTo x="11127" y="0"/>
                <wp:lineTo x="8509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0FA">
        <w:t>Q11</w:t>
      </w:r>
      <w:r>
        <w:t>.</w:t>
      </w:r>
      <w:r w:rsidR="009610FA">
        <w:t xml:space="preserve"> Use GPG: Compute the charge on the top of the pipe. Assume following parameters.</w:t>
      </w:r>
    </w:p>
    <w:p w14:paraId="369AD324" w14:textId="77777777" w:rsidR="00C649EA" w:rsidRDefault="00C649EA" w:rsidP="00C649EA"/>
    <w:p w14:paraId="5501D279" w14:textId="59F9B412" w:rsidR="00C649EA" w:rsidRDefault="00C649EA" w:rsidP="00C649EA">
      <w:pPr>
        <w:rPr>
          <w:rFonts w:ascii="kappa" w:hAnsi="kappa" w:hint="eastAsia"/>
        </w:rPr>
      </w:pPr>
      <w:r>
        <w:tab/>
      </w:r>
      <w:r>
        <w:rPr>
          <w:rFonts w:ascii="kappa" w:hAnsi="kappa"/>
        </w:rPr>
        <w:t xml:space="preserve"> </w:t>
      </w:r>
      <m:oMath>
        <m:r>
          <w:rPr>
            <w:rFonts w:ascii="Cambria Math" w:hAnsi="Cambria Math"/>
          </w:rPr>
          <m:t>κ</m:t>
        </m:r>
      </m:oMath>
      <w:r>
        <w:rPr>
          <w:rFonts w:ascii="kappa" w:hAnsi="kappa"/>
        </w:rPr>
        <w:t>=150</w:t>
      </w:r>
    </w:p>
    <w:p w14:paraId="5F4E38F7" w14:textId="53F6BE09" w:rsidR="009610FA" w:rsidRDefault="00C649EA" w:rsidP="00C649EA">
      <w:pPr>
        <w:ind w:firstLine="720"/>
      </w:pPr>
      <w:r>
        <w:rPr>
          <w:rFonts w:ascii="kappa" w:hAnsi="kappa"/>
        </w:rPr>
        <w:t>B</w:t>
      </w:r>
      <w:r w:rsidRPr="00986289">
        <w:rPr>
          <w:rFonts w:ascii="kappa" w:hAnsi="kappa"/>
          <w:vertAlign w:val="subscript"/>
        </w:rPr>
        <w:t>0</w:t>
      </w:r>
      <w:r>
        <w:rPr>
          <w:rFonts w:ascii="kappa" w:hAnsi="kappa"/>
        </w:rPr>
        <w:t xml:space="preserve">=55,000 </w:t>
      </w:r>
      <w:proofErr w:type="spellStart"/>
      <w:r>
        <w:rPr>
          <w:rFonts w:ascii="kappa" w:hAnsi="kappa"/>
        </w:rPr>
        <w:t>nT</w:t>
      </w:r>
      <w:proofErr w:type="spellEnd"/>
      <w:r>
        <w:rPr>
          <w:rFonts w:ascii="kappa" w:hAnsi="kappa"/>
        </w:rPr>
        <w:t xml:space="preserve"> (assume vertically downward, I=90</w:t>
      </w:r>
      <m:oMath>
        <m:r>
          <w:rPr>
            <w:rFonts w:ascii="Cambria Math" w:hAnsi="Cambria Math"/>
          </w:rPr>
          <m:t>°</m:t>
        </m:r>
      </m:oMath>
      <w:r>
        <w:rPr>
          <w:rFonts w:ascii="kappa" w:hAnsi="kappa"/>
        </w:rPr>
        <w:t>)</w:t>
      </w:r>
      <w:r w:rsidR="009610FA">
        <w:tab/>
      </w:r>
    </w:p>
    <w:p w14:paraId="43F4787B" w14:textId="6FA38B6C" w:rsidR="009610FA" w:rsidRDefault="009610FA" w:rsidP="008D7900">
      <w:r>
        <w:tab/>
        <w:t>Effective surface area=</w:t>
      </w:r>
      <w:r w:rsidR="00986289">
        <w:t>?</w:t>
      </w:r>
    </w:p>
    <w:p w14:paraId="6CA2D68E" w14:textId="3E0DF48E" w:rsidR="00C649EA" w:rsidRDefault="00C649EA" w:rsidP="008D7900">
      <w:r>
        <w:tab/>
        <w:t>Q=?</w:t>
      </w:r>
    </w:p>
    <w:p w14:paraId="387D50E8" w14:textId="77777777" w:rsidR="009610FA" w:rsidRDefault="009610FA" w:rsidP="008D7900"/>
    <w:p w14:paraId="3BE54972" w14:textId="77777777" w:rsidR="00C649EA" w:rsidRDefault="00C649EA" w:rsidP="008D7900"/>
    <w:p w14:paraId="663F5CA6" w14:textId="77777777" w:rsidR="00C649EA" w:rsidRDefault="00C649EA" w:rsidP="008D7900"/>
    <w:p w14:paraId="27D23C06" w14:textId="77777777" w:rsidR="00C649EA" w:rsidRDefault="00C649EA" w:rsidP="008D7900"/>
    <w:p w14:paraId="386BC5E0" w14:textId="4D99585A" w:rsidR="00C649EA" w:rsidRDefault="00C649EA" w:rsidP="008D7900">
      <w:r>
        <w:t>Then what is the predicted value of total magnetic field (</w:t>
      </w:r>
      <w:proofErr w:type="spellStart"/>
      <w:r>
        <w:t>Bt</w:t>
      </w:r>
      <w:proofErr w:type="spellEnd"/>
      <w:r>
        <w:t>) at ah height of 1m above the pipe?</w:t>
      </w:r>
    </w:p>
    <w:p w14:paraId="50A463E6" w14:textId="77777777" w:rsidR="00C649EA" w:rsidRDefault="00C649EA" w:rsidP="008D7900"/>
    <w:p w14:paraId="1553F711" w14:textId="77777777" w:rsidR="00C649EA" w:rsidRDefault="00C649EA" w:rsidP="008D7900"/>
    <w:p w14:paraId="5139F69B" w14:textId="77777777" w:rsidR="00C649EA" w:rsidRDefault="00C649EA" w:rsidP="008D7900"/>
    <w:p w14:paraId="37B67153" w14:textId="77777777" w:rsidR="00C649EA" w:rsidRDefault="00C649EA" w:rsidP="008D7900"/>
    <w:p w14:paraId="6D264EE6" w14:textId="77777777" w:rsidR="00C649EA" w:rsidRDefault="00C649EA" w:rsidP="008D7900"/>
    <w:p w14:paraId="71ADADE9" w14:textId="77777777" w:rsidR="00C649EA" w:rsidRDefault="00C649EA" w:rsidP="008D7900"/>
    <w:p w14:paraId="2EF5B443" w14:textId="77777777" w:rsidR="00C649EA" w:rsidRDefault="00C649EA" w:rsidP="008D7900"/>
    <w:p w14:paraId="783BEFAA" w14:textId="77777777" w:rsidR="00564DA4" w:rsidRDefault="00564DA4" w:rsidP="00C649EA"/>
    <w:p w14:paraId="69165DDD" w14:textId="0F58AE74" w:rsidR="00C649EA" w:rsidRDefault="00C649EA" w:rsidP="00C649EA">
      <w:r>
        <w:t>Q13. Open up the dipole app (</w:t>
      </w:r>
      <w:hyperlink r:id="rId10" w:history="1">
        <w:r w:rsidRPr="007A31FF">
          <w:rPr>
            <w:rStyle w:val="Hyperlink"/>
          </w:rPr>
          <w:t>Link</w:t>
        </w:r>
      </w:hyperlink>
      <w:r>
        <w:t xml:space="preserve">). For modelling </w:t>
      </w:r>
      <w:r w:rsidR="00E42E89">
        <w:t>purposes, t</w:t>
      </w:r>
      <w:r>
        <w:t>he strength of the monopole is equal to the charge. Put the monopole (top of the pipe)</w:t>
      </w:r>
      <w:r w:rsidR="009D39A0">
        <w:t xml:space="preserve"> at the surface.</w:t>
      </w:r>
    </w:p>
    <w:p w14:paraId="61056717" w14:textId="77777777" w:rsidR="009D39A0" w:rsidRDefault="009D39A0" w:rsidP="00C649EA"/>
    <w:p w14:paraId="4EA01093" w14:textId="2D7E1B5E" w:rsidR="009D39A0" w:rsidRDefault="009D39A0" w:rsidP="009D39A0">
      <w:pPr>
        <w:pStyle w:val="ListParagraph"/>
        <w:numPr>
          <w:ilvl w:val="0"/>
          <w:numId w:val="1"/>
        </w:numPr>
      </w:pPr>
      <w:r>
        <w:t>Plot total magnetic field (</w:t>
      </w:r>
      <w:proofErr w:type="spellStart"/>
      <w:r>
        <w:t>Bt</w:t>
      </w:r>
      <w:proofErr w:type="spellEnd"/>
      <w:r>
        <w:t>)</w:t>
      </w:r>
      <w:r w:rsidR="00564DA4">
        <w:t xml:space="preserve"> (capture image from the app)</w:t>
      </w:r>
    </w:p>
    <w:p w14:paraId="6898F130" w14:textId="77777777" w:rsidR="009D39A0" w:rsidRDefault="009D39A0" w:rsidP="009D39A0"/>
    <w:p w14:paraId="36E9F920" w14:textId="77777777" w:rsidR="009D39A0" w:rsidRDefault="009D39A0" w:rsidP="009D39A0"/>
    <w:p w14:paraId="3F2AC8D4" w14:textId="77777777" w:rsidR="00564DA4" w:rsidRDefault="00564DA4" w:rsidP="009D39A0"/>
    <w:p w14:paraId="67673D7D" w14:textId="77777777" w:rsidR="00564DA4" w:rsidRDefault="00564DA4" w:rsidP="009D39A0"/>
    <w:p w14:paraId="490E6A14" w14:textId="77777777" w:rsidR="00EF5C89" w:rsidRDefault="00EF5C89" w:rsidP="009D39A0"/>
    <w:p w14:paraId="49086273" w14:textId="77777777" w:rsidR="00EF5C89" w:rsidRDefault="00EF5C89" w:rsidP="009D39A0"/>
    <w:p w14:paraId="61B59FCE" w14:textId="77777777" w:rsidR="00EF5C89" w:rsidRDefault="00EF5C89" w:rsidP="009D39A0"/>
    <w:p w14:paraId="0FC08D5C" w14:textId="77777777" w:rsidR="00EF5C89" w:rsidRDefault="00EF5C89" w:rsidP="009D39A0"/>
    <w:p w14:paraId="727825CE" w14:textId="72F6EF4E" w:rsidR="009D39A0" w:rsidRDefault="009D39A0" w:rsidP="009D39A0">
      <w:pPr>
        <w:pStyle w:val="ListParagraph"/>
        <w:numPr>
          <w:ilvl w:val="0"/>
          <w:numId w:val="1"/>
        </w:numPr>
      </w:pPr>
      <w:r>
        <w:t xml:space="preserve">How does the </w:t>
      </w:r>
      <w:r w:rsidR="00564DA4">
        <w:t>maximum value of the anomaly compared to that computed in Q11?</w:t>
      </w:r>
    </w:p>
    <w:p w14:paraId="52466E01" w14:textId="77777777" w:rsidR="00564DA4" w:rsidRDefault="00564DA4" w:rsidP="00564DA4"/>
    <w:p w14:paraId="3A853000" w14:textId="77777777" w:rsidR="00564DA4" w:rsidRDefault="00564DA4" w:rsidP="00564DA4"/>
    <w:p w14:paraId="68FBCEFF" w14:textId="77777777" w:rsidR="00EF5C89" w:rsidRDefault="00EF5C89" w:rsidP="00564DA4"/>
    <w:p w14:paraId="1F40FEE8" w14:textId="77777777" w:rsidR="00EF5C89" w:rsidRDefault="00EF5C89" w:rsidP="00564DA4"/>
    <w:p w14:paraId="0FBEB797" w14:textId="77777777" w:rsidR="00564DA4" w:rsidRDefault="00564DA4" w:rsidP="00564DA4"/>
    <w:p w14:paraId="2295C7C4" w14:textId="3A906213" w:rsidR="00564DA4" w:rsidRDefault="00564DA4" w:rsidP="00564DA4">
      <w:pPr>
        <w:pStyle w:val="ListParagraph"/>
        <w:numPr>
          <w:ilvl w:val="0"/>
          <w:numId w:val="1"/>
        </w:numPr>
      </w:pPr>
      <w:r>
        <w:t>Calculate the depth of burial using the half-width rule (</w:t>
      </w:r>
      <w:hyperlink r:id="rId11" w:anchor="estimating-depth-of-burial-from-half-width" w:history="1">
        <w:r w:rsidRPr="00564DA4">
          <w:rPr>
            <w:rStyle w:val="Hyperlink"/>
          </w:rPr>
          <w:t>GPG link</w:t>
        </w:r>
      </w:hyperlink>
      <w:r>
        <w:t>).</w:t>
      </w:r>
      <w:r w:rsidR="00365552">
        <w:t xml:space="preserve"> Note that measured height in the app is 1m above the surface.</w:t>
      </w:r>
    </w:p>
    <w:p w14:paraId="2311487B" w14:textId="77777777" w:rsidR="00C649EA" w:rsidRDefault="00C649EA" w:rsidP="008D7900"/>
    <w:p w14:paraId="24DCF41D" w14:textId="77777777" w:rsidR="00564DA4" w:rsidRDefault="00564DA4" w:rsidP="008D7900"/>
    <w:p w14:paraId="4B8DCD4F" w14:textId="77777777" w:rsidR="00564DA4" w:rsidRDefault="00564DA4" w:rsidP="008D7900"/>
    <w:p w14:paraId="1A0A2233" w14:textId="77777777" w:rsidR="00564DA4" w:rsidRDefault="00564DA4" w:rsidP="008D7900"/>
    <w:p w14:paraId="417B82F1" w14:textId="2E1DD098" w:rsidR="00564DA4" w:rsidRDefault="00EF5C89" w:rsidP="008D7900">
      <w:r>
        <w:lastRenderedPageBreak/>
        <w:t xml:space="preserve">Q13. Consider below figure (Fig. 6 in the article). </w:t>
      </w:r>
    </w:p>
    <w:p w14:paraId="48D81F73" w14:textId="032D6251" w:rsidR="00EF5C89" w:rsidRDefault="00EF5C89" w:rsidP="00EF5C89">
      <w:pPr>
        <w:jc w:val="center"/>
      </w:pPr>
      <w:r w:rsidRPr="00EF5C89">
        <w:rPr>
          <w:noProof/>
        </w:rPr>
        <w:drawing>
          <wp:inline distT="0" distB="0" distL="0" distR="0" wp14:anchorId="2956545F" wp14:editId="7F216CA1">
            <wp:extent cx="4509652" cy="3485211"/>
            <wp:effectExtent l="0" t="0" r="1206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2350" cy="348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102C" w14:textId="4BD40ACE" w:rsidR="00EF5C89" w:rsidRDefault="007A31FF" w:rsidP="00EF5C89">
      <w:pPr>
        <w:pStyle w:val="ListParagraph"/>
        <w:numPr>
          <w:ilvl w:val="0"/>
          <w:numId w:val="3"/>
        </w:numPr>
      </w:pPr>
      <w:r>
        <w:t xml:space="preserve">What is the peak amplitude of the anomaly? </w:t>
      </w:r>
      <w:r w:rsidR="00EF5C89">
        <w:t>Estimate the depth of burial from the half-width of the anomaly</w:t>
      </w:r>
      <w:r>
        <w:t>. Note that the sensor height was 2.5ft.</w:t>
      </w:r>
    </w:p>
    <w:p w14:paraId="43367DF1" w14:textId="77777777" w:rsidR="00EF5C89" w:rsidRDefault="00EF5C89" w:rsidP="00EF5C89">
      <w:pPr>
        <w:ind w:left="360"/>
      </w:pPr>
    </w:p>
    <w:p w14:paraId="2389512F" w14:textId="77777777" w:rsidR="00EF5C89" w:rsidRDefault="00EF5C89" w:rsidP="00EF5C89">
      <w:pPr>
        <w:ind w:left="360"/>
        <w:rPr>
          <w:color w:val="0070C0"/>
        </w:rPr>
      </w:pPr>
    </w:p>
    <w:p w14:paraId="05BA8FC4" w14:textId="77777777" w:rsidR="0042228B" w:rsidRDefault="0042228B" w:rsidP="00EF5C89">
      <w:pPr>
        <w:ind w:left="360"/>
        <w:rPr>
          <w:color w:val="0070C0"/>
        </w:rPr>
      </w:pPr>
    </w:p>
    <w:p w14:paraId="612A0B86" w14:textId="77777777" w:rsidR="0042228B" w:rsidRDefault="0042228B" w:rsidP="00EF5C89">
      <w:pPr>
        <w:ind w:left="360"/>
        <w:rPr>
          <w:color w:val="0070C0"/>
        </w:rPr>
      </w:pPr>
    </w:p>
    <w:p w14:paraId="2508EBCC" w14:textId="77777777" w:rsidR="0042228B" w:rsidRDefault="0042228B" w:rsidP="00EF5C89">
      <w:pPr>
        <w:ind w:left="360"/>
        <w:rPr>
          <w:color w:val="0070C0"/>
        </w:rPr>
      </w:pPr>
    </w:p>
    <w:p w14:paraId="624ABBF6" w14:textId="77777777" w:rsidR="0042228B" w:rsidRDefault="0042228B" w:rsidP="00EF5C89">
      <w:pPr>
        <w:ind w:left="360"/>
        <w:rPr>
          <w:color w:val="0070C0"/>
        </w:rPr>
      </w:pPr>
    </w:p>
    <w:p w14:paraId="6819B7D0" w14:textId="77777777" w:rsidR="0042228B" w:rsidRDefault="0042228B" w:rsidP="00EF5C89">
      <w:pPr>
        <w:ind w:left="360"/>
      </w:pPr>
    </w:p>
    <w:p w14:paraId="65FC433A" w14:textId="77777777" w:rsidR="00EF5C89" w:rsidRDefault="00EF5C89" w:rsidP="00EF5C89">
      <w:pPr>
        <w:ind w:left="360"/>
      </w:pPr>
    </w:p>
    <w:p w14:paraId="19ABE908" w14:textId="4D74D343" w:rsidR="00EF5C89" w:rsidRDefault="00EF5C89" w:rsidP="00EF5C89">
      <w:pPr>
        <w:pStyle w:val="ListParagraph"/>
        <w:numPr>
          <w:ilvl w:val="0"/>
          <w:numId w:val="3"/>
        </w:numPr>
      </w:pPr>
      <w:r>
        <w:t>How does the amplitude</w:t>
      </w:r>
      <w:r w:rsidR="0023415A">
        <w:t xml:space="preserve"> of anomaly</w:t>
      </w:r>
      <w:r>
        <w:t xml:space="preserve"> compare with the theoretical amplitude in Q11?</w:t>
      </w:r>
    </w:p>
    <w:p w14:paraId="02505F48" w14:textId="77777777" w:rsidR="00EF5C89" w:rsidRDefault="00EF5C89" w:rsidP="007A31FF">
      <w:pPr>
        <w:ind w:left="720"/>
      </w:pPr>
    </w:p>
    <w:p w14:paraId="37C25F96" w14:textId="77777777" w:rsidR="00EF5C89" w:rsidRDefault="00EF5C89" w:rsidP="00114CC5">
      <w:pPr>
        <w:ind w:left="360"/>
        <w:rPr>
          <w:color w:val="0070C0"/>
        </w:rPr>
      </w:pPr>
    </w:p>
    <w:p w14:paraId="3DAD9289" w14:textId="77777777" w:rsidR="0042228B" w:rsidRDefault="0042228B" w:rsidP="00114CC5">
      <w:pPr>
        <w:ind w:left="360"/>
        <w:rPr>
          <w:color w:val="0070C0"/>
        </w:rPr>
      </w:pPr>
    </w:p>
    <w:p w14:paraId="5DEA06AE" w14:textId="77777777" w:rsidR="0042228B" w:rsidRDefault="0042228B" w:rsidP="0042228B">
      <w:pPr>
        <w:rPr>
          <w:color w:val="0070C0"/>
        </w:rPr>
      </w:pPr>
    </w:p>
    <w:p w14:paraId="760F2B15" w14:textId="77777777" w:rsidR="0042228B" w:rsidRDefault="0042228B" w:rsidP="00114CC5">
      <w:pPr>
        <w:ind w:left="360"/>
      </w:pPr>
    </w:p>
    <w:p w14:paraId="36D9DB61" w14:textId="77777777" w:rsidR="00EF5C89" w:rsidRDefault="00EF5C89" w:rsidP="00EF5C89"/>
    <w:p w14:paraId="5EC1E291" w14:textId="77777777" w:rsidR="00EF5C89" w:rsidRDefault="00EF5C89" w:rsidP="00EF5C89"/>
    <w:p w14:paraId="4F1DB5B5" w14:textId="17104F36" w:rsidR="00EF5C89" w:rsidRDefault="00EF5C89" w:rsidP="00EF5C89">
      <w:pPr>
        <w:pStyle w:val="ListParagraph"/>
        <w:numPr>
          <w:ilvl w:val="0"/>
          <w:numId w:val="3"/>
        </w:numPr>
      </w:pPr>
      <w:r>
        <w:t xml:space="preserve">How might you account for </w:t>
      </w:r>
      <w:r w:rsidR="001D370F">
        <w:t>these</w:t>
      </w:r>
      <w:r>
        <w:t xml:space="preserve"> difference</w:t>
      </w:r>
      <w:r w:rsidR="001D370F">
        <w:t>s</w:t>
      </w:r>
      <w:r>
        <w:t xml:space="preserve"> in amplitude?</w:t>
      </w:r>
    </w:p>
    <w:p w14:paraId="5F6BDF1A" w14:textId="77777777" w:rsidR="0024012A" w:rsidRDefault="0024012A" w:rsidP="008D7900"/>
    <w:p w14:paraId="485AD0BF" w14:textId="77777777" w:rsidR="0024012A" w:rsidRDefault="0024012A" w:rsidP="008D7900"/>
    <w:p w14:paraId="4D38E7AF" w14:textId="77777777" w:rsidR="0042228B" w:rsidRDefault="0042228B" w:rsidP="008D7900"/>
    <w:p w14:paraId="75D534C7" w14:textId="0D590FD0" w:rsidR="00E568A8" w:rsidRDefault="00E568A8" w:rsidP="008D7900">
      <w:r>
        <w:t xml:space="preserve">Team </w:t>
      </w:r>
      <w:proofErr w:type="spellStart"/>
      <w:proofErr w:type="gramStart"/>
      <w:r>
        <w:t>Numer</w:t>
      </w:r>
      <w:proofErr w:type="spellEnd"/>
      <w:r>
        <w:t>:_</w:t>
      </w:r>
      <w:proofErr w:type="gramEnd"/>
      <w:r>
        <w:t>________________</w:t>
      </w:r>
    </w:p>
    <w:p w14:paraId="0F56BB38" w14:textId="6C7394A2" w:rsidR="00E568A8" w:rsidRDefault="00E568A8" w:rsidP="008D7900">
      <w:r>
        <w:t>Participating team members are:</w:t>
      </w:r>
    </w:p>
    <w:sectPr w:rsidR="00E568A8" w:rsidSect="000C6A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ppa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4652C"/>
    <w:multiLevelType w:val="hybridMultilevel"/>
    <w:tmpl w:val="C1042CFA"/>
    <w:lvl w:ilvl="0" w:tplc="AE9045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C7097"/>
    <w:multiLevelType w:val="hybridMultilevel"/>
    <w:tmpl w:val="89A6134C"/>
    <w:lvl w:ilvl="0" w:tplc="565C5F2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2E3F1D"/>
    <w:multiLevelType w:val="hybridMultilevel"/>
    <w:tmpl w:val="34EEFE0E"/>
    <w:lvl w:ilvl="0" w:tplc="1E502A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2A1"/>
    <w:rsid w:val="000418A5"/>
    <w:rsid w:val="00052BC1"/>
    <w:rsid w:val="000C6A1D"/>
    <w:rsid w:val="00112E37"/>
    <w:rsid w:val="00114CC5"/>
    <w:rsid w:val="001231EC"/>
    <w:rsid w:val="0013356E"/>
    <w:rsid w:val="0018088B"/>
    <w:rsid w:val="001D370F"/>
    <w:rsid w:val="001F1B53"/>
    <w:rsid w:val="00206A41"/>
    <w:rsid w:val="00217CB5"/>
    <w:rsid w:val="0023415A"/>
    <w:rsid w:val="0024012A"/>
    <w:rsid w:val="002558FC"/>
    <w:rsid w:val="002D00F6"/>
    <w:rsid w:val="00316C95"/>
    <w:rsid w:val="00337136"/>
    <w:rsid w:val="00365552"/>
    <w:rsid w:val="00367039"/>
    <w:rsid w:val="00387D9D"/>
    <w:rsid w:val="003A2875"/>
    <w:rsid w:val="003B2CAF"/>
    <w:rsid w:val="004102C6"/>
    <w:rsid w:val="0042228B"/>
    <w:rsid w:val="00556952"/>
    <w:rsid w:val="00564DA4"/>
    <w:rsid w:val="00583C5C"/>
    <w:rsid w:val="005C5384"/>
    <w:rsid w:val="006341CB"/>
    <w:rsid w:val="006E042A"/>
    <w:rsid w:val="006F5923"/>
    <w:rsid w:val="007363E2"/>
    <w:rsid w:val="00752687"/>
    <w:rsid w:val="00771A48"/>
    <w:rsid w:val="00772B95"/>
    <w:rsid w:val="007A31FF"/>
    <w:rsid w:val="007A622E"/>
    <w:rsid w:val="007B6C77"/>
    <w:rsid w:val="007C7123"/>
    <w:rsid w:val="007E153F"/>
    <w:rsid w:val="008010DB"/>
    <w:rsid w:val="0084477C"/>
    <w:rsid w:val="00845EC4"/>
    <w:rsid w:val="0084675D"/>
    <w:rsid w:val="0085065C"/>
    <w:rsid w:val="00850A40"/>
    <w:rsid w:val="008602E0"/>
    <w:rsid w:val="00871472"/>
    <w:rsid w:val="008B5377"/>
    <w:rsid w:val="008D7900"/>
    <w:rsid w:val="00902979"/>
    <w:rsid w:val="009610FA"/>
    <w:rsid w:val="0096315C"/>
    <w:rsid w:val="009843F0"/>
    <w:rsid w:val="00986289"/>
    <w:rsid w:val="009C7E6B"/>
    <w:rsid w:val="009D39A0"/>
    <w:rsid w:val="00A2367E"/>
    <w:rsid w:val="00A30FFD"/>
    <w:rsid w:val="00A42153"/>
    <w:rsid w:val="00AC205E"/>
    <w:rsid w:val="00B2416E"/>
    <w:rsid w:val="00B61B0E"/>
    <w:rsid w:val="00B67C42"/>
    <w:rsid w:val="00B96C76"/>
    <w:rsid w:val="00C649EA"/>
    <w:rsid w:val="00C87939"/>
    <w:rsid w:val="00CA21F6"/>
    <w:rsid w:val="00CC5149"/>
    <w:rsid w:val="00CD106E"/>
    <w:rsid w:val="00D562A1"/>
    <w:rsid w:val="00DA0A8C"/>
    <w:rsid w:val="00E02BC3"/>
    <w:rsid w:val="00E049EA"/>
    <w:rsid w:val="00E26E43"/>
    <w:rsid w:val="00E37D7E"/>
    <w:rsid w:val="00E42E89"/>
    <w:rsid w:val="00E5313F"/>
    <w:rsid w:val="00E568A8"/>
    <w:rsid w:val="00E7634E"/>
    <w:rsid w:val="00ED5278"/>
    <w:rsid w:val="00EF5C89"/>
    <w:rsid w:val="00F655C1"/>
    <w:rsid w:val="00F87411"/>
    <w:rsid w:val="00F90667"/>
    <w:rsid w:val="00FB04CE"/>
    <w:rsid w:val="00FF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B64344"/>
  <w14:defaultImageDpi w14:val="300"/>
  <w15:docId w15:val="{35201402-ABD1-4079-8AB8-A41B8C68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2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2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62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6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62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D0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1B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B0E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939"/>
    <w:rPr>
      <w:rFonts w:ascii="Courier" w:hAnsi="Courier" w:cs="Courier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unhideWhenUsed/>
    <w:rsid w:val="00DA0A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0A8C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8628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649E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D39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01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12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1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1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1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pg.geosci.xyz/content/magnetics/magnetics_interpretation.html" TargetMode="External"/><Relationship Id="rId12" Type="http://schemas.openxmlformats.org/officeDocument/2006/relationships/image" Target="media/image5.tif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pg.geosci.xyz/content/magnetics/magnetics_basic_principles.html" TargetMode="Externa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hyperlink" Target="https://mybinder.org/v2/gh/geoscixyz/gpgLabs/master?filepath=Notebooks%2FMagneticDipoleApple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504</Words>
  <Characters>2876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dyang</dc:creator>
  <cp:keywords/>
  <dc:description/>
  <cp:lastModifiedBy>Microsoft Office User</cp:lastModifiedBy>
  <cp:revision>42</cp:revision>
  <dcterms:created xsi:type="dcterms:W3CDTF">2017-09-23T20:25:00Z</dcterms:created>
  <dcterms:modified xsi:type="dcterms:W3CDTF">2018-09-19T22:43:00Z</dcterms:modified>
  <cp:category/>
</cp:coreProperties>
</file>