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B0C2E" w14:textId="0FFE1B25" w:rsidR="00B6117E" w:rsidRDefault="00DD554A" w:rsidP="00D562A1">
      <w:pPr>
        <w:pStyle w:val="Heading1"/>
      </w:pPr>
      <w:r>
        <w:t>Lab 9</w:t>
      </w:r>
      <w:r w:rsidR="00D562A1">
        <w:t xml:space="preserve">: </w:t>
      </w:r>
      <w:r w:rsidR="001A66D4">
        <w:t xml:space="preserve">Electromagnetics Part </w:t>
      </w:r>
      <w:r w:rsidR="00D562A1">
        <w:t>I</w:t>
      </w:r>
      <w:r>
        <w:t>I</w:t>
      </w:r>
      <w:r w:rsidR="00B6117E">
        <w:t xml:space="preserve"> </w:t>
      </w:r>
      <w:r w:rsidR="009C7316">
        <w:t>–</w:t>
      </w:r>
      <w:r>
        <w:t xml:space="preserve"> </w:t>
      </w:r>
      <w:r w:rsidR="009C7316">
        <w:t xml:space="preserve">Apparent conductivity + </w:t>
      </w:r>
      <w:r>
        <w:t>Expo Site</w:t>
      </w:r>
      <w:r w:rsidR="00B6117E">
        <w:t xml:space="preserve">             </w:t>
      </w:r>
    </w:p>
    <w:p w14:paraId="1771D767" w14:textId="77A9618F" w:rsidR="00112E37" w:rsidRDefault="00B6117E" w:rsidP="00B6117E">
      <w:pPr>
        <w:pStyle w:val="Heading2"/>
      </w:pPr>
      <w:r>
        <w:t>Name:__________________       ID:_____________________</w:t>
      </w:r>
    </w:p>
    <w:p w14:paraId="0561519B" w14:textId="77777777" w:rsidR="00D562A1" w:rsidRDefault="00D562A1"/>
    <w:p w14:paraId="018449DB" w14:textId="67E3AE7E" w:rsidR="00D562A1" w:rsidRDefault="00D562A1">
      <w:r>
        <w:t xml:space="preserve">TA: </w:t>
      </w:r>
      <w:r w:rsidR="009C7316">
        <w:t xml:space="preserve">Thibaut </w:t>
      </w:r>
      <w:proofErr w:type="spellStart"/>
      <w:r w:rsidR="009C7316">
        <w:t>Astic</w:t>
      </w:r>
      <w:proofErr w:type="spellEnd"/>
      <w:r w:rsidR="001A66D4">
        <w:t xml:space="preserve"> (</w:t>
      </w:r>
      <w:r w:rsidR="009C7316" w:rsidRPr="009C7316">
        <w:t>thibaut.astic@gmail.com</w:t>
      </w:r>
      <w:r w:rsidR="001A66D4">
        <w:t>)</w:t>
      </w:r>
    </w:p>
    <w:p w14:paraId="0C93BE68" w14:textId="678816D5" w:rsidR="00D562A1" w:rsidRDefault="001A66D4">
      <w:r>
        <w:t xml:space="preserve">Due: </w:t>
      </w:r>
      <w:r w:rsidR="009C7316">
        <w:t>Nov. 26</w:t>
      </w:r>
      <w:r w:rsidR="009C7316" w:rsidRPr="009C7316">
        <w:rPr>
          <w:vertAlign w:val="superscript"/>
        </w:rPr>
        <w:t>th</w:t>
      </w:r>
      <w:r w:rsidR="009C7316">
        <w:t xml:space="preserve"> 2018 </w:t>
      </w:r>
    </w:p>
    <w:p w14:paraId="6F51C1BA" w14:textId="2A68AB5E" w:rsidR="00D2149E" w:rsidRDefault="00D562A1" w:rsidP="00D2149E">
      <w:pPr>
        <w:pStyle w:val="Heading2"/>
      </w:pPr>
      <w:r>
        <w:t>Overview</w:t>
      </w:r>
    </w:p>
    <w:p w14:paraId="0C830B05" w14:textId="77777777" w:rsidR="00D2149E" w:rsidRPr="00D2149E" w:rsidRDefault="00D2149E" w:rsidP="00D2149E"/>
    <w:p w14:paraId="7456F7F4" w14:textId="28903220" w:rsidR="009C7316" w:rsidRDefault="009C7316" w:rsidP="00564C5E">
      <w:r>
        <w:t>In the first part of the lab, we introduce the concept of apparent conductivity for EM measurements and further explore how the apparent conductivity can be computed with the layered structures.</w:t>
      </w:r>
    </w:p>
    <w:p w14:paraId="2AF28915" w14:textId="77777777" w:rsidR="009C7316" w:rsidRDefault="009C7316" w:rsidP="00564C5E"/>
    <w:p w14:paraId="7EF0E930" w14:textId="639AD15F" w:rsidR="00564C5E" w:rsidRDefault="009C7316" w:rsidP="00564C5E">
      <w:r>
        <w:t xml:space="preserve">Then in the second portion of the lab, we </w:t>
      </w:r>
      <w:r w:rsidR="00564C5E">
        <w:t xml:space="preserve">examine data sets obtained at the old </w:t>
      </w:r>
      <w:r w:rsidR="00F61B40">
        <w:t>E</w:t>
      </w:r>
      <w:r w:rsidR="00564C5E">
        <w:t xml:space="preserve">xpo site in the </w:t>
      </w:r>
      <w:r w:rsidR="00F61B40">
        <w:t>F</w:t>
      </w:r>
      <w:r w:rsidR="00564C5E">
        <w:t xml:space="preserve">alse </w:t>
      </w:r>
      <w:r w:rsidR="00F61B40">
        <w:t>C</w:t>
      </w:r>
      <w:r w:rsidR="00564C5E">
        <w:t>reek area of Vancouver. The site has a fairly complex indust</w:t>
      </w:r>
      <w:r w:rsidR="00594CC9">
        <w:t>rial history, and was set to be remediated</w:t>
      </w:r>
      <w:r w:rsidR="00564C5E">
        <w:t xml:space="preserve"> and turned into a public space. Before any remediation could take place, the site needed to be characterized. You will be examining geophysical data collected over this site. To detect anomalous conductive or resistive targets, we first treat frequency domain EM data collected with the EM-31 instrument. We will interpret the measured EM data sets and characterize the subsurface of the site. To increase reliability we also study gradient magnetics data to obtain information about the magnetic susceptibility subsurface. By integrating these two geophysical data sets we better characterize isolated targets embedded in this region.</w:t>
      </w:r>
    </w:p>
    <w:p w14:paraId="3200FCF6" w14:textId="77777777" w:rsidR="00564C5E" w:rsidRDefault="00564C5E" w:rsidP="00564C5E"/>
    <w:p w14:paraId="6AF5271B" w14:textId="314ED198" w:rsidR="00564C5E" w:rsidRDefault="00564C5E" w:rsidP="00E717EB">
      <w:r>
        <w:t>Read the background information from the Expo site characterization report (</w:t>
      </w:r>
      <w:hyperlink r:id="rId5" w:history="1">
        <w:r w:rsidRPr="001E0C92">
          <w:rPr>
            <w:rStyle w:val="Hyperlink"/>
          </w:rPr>
          <w:t>https://gpg.geosci.xyz/content/electromagnetics/electromagnetic_interpretation.htm</w:t>
        </w:r>
      </w:hyperlink>
      <w:r w:rsidRPr="00564C5E">
        <w:t>l</w:t>
      </w:r>
      <w:r>
        <w:t>) and use it to answer questions regarding the EM-31 and magnetic gradient surveys.</w:t>
      </w:r>
    </w:p>
    <w:p w14:paraId="588320F3" w14:textId="74A66F55" w:rsidR="00E717EB" w:rsidRDefault="00E717EB" w:rsidP="00E717EB"/>
    <w:p w14:paraId="3009FA47" w14:textId="3229662E" w:rsidR="000C36AB" w:rsidRDefault="000C36AB" w:rsidP="00E717EB">
      <w:r w:rsidRPr="00D2149E">
        <w:rPr>
          <w:rFonts w:asciiTheme="majorHAnsi" w:eastAsiaTheme="majorEastAsia" w:hAnsiTheme="majorHAnsi" w:cstheme="majorBidi"/>
          <w:b/>
          <w:bCs/>
          <w:color w:val="4F81BD" w:themeColor="accent1"/>
          <w:sz w:val="26"/>
          <w:szCs w:val="26"/>
        </w:rPr>
        <w:t>Notation:</w:t>
      </w:r>
      <w:r>
        <w:t xml:space="preserve"> In the GPG and in this app we are attempting to keep a consistent notation t</w:t>
      </w:r>
      <w:r w:rsidR="00D2149E">
        <w:t xml:space="preserve">o help you keep track of </w:t>
      </w:r>
      <w:r w:rsidR="00F61B40">
        <w:t xml:space="preserve">the </w:t>
      </w:r>
      <w:r w:rsidR="00A739D2">
        <w:t>configuration</w:t>
      </w:r>
      <w:r>
        <w:t xml:space="preserve"> of the </w:t>
      </w:r>
      <w:r w:rsidR="00A739D2">
        <w:t>source</w:t>
      </w:r>
      <w:r>
        <w:t xml:space="preserve"> and receiver.</w:t>
      </w:r>
    </w:p>
    <w:p w14:paraId="7941C8F3" w14:textId="77777777" w:rsidR="00F61B40" w:rsidRDefault="00F61B40" w:rsidP="00E717EB"/>
    <w:p w14:paraId="31DF61FD" w14:textId="41F6BE49" w:rsidR="000C36AB" w:rsidRDefault="000C36AB" w:rsidP="00D2149E">
      <w:pPr>
        <w:pStyle w:val="ListParagraph"/>
        <w:numPr>
          <w:ilvl w:val="0"/>
          <w:numId w:val="8"/>
        </w:numPr>
      </w:pPr>
      <w:r>
        <w:t xml:space="preserve">HCP: Horizontal coplanar system. The associated dipoles are perpendicular to the plane of the loops and are therefore in the vertical direction. The response function associated with this is </w:t>
      </w:r>
      <m:oMath>
        <m:sSub>
          <m:sSubPr>
            <m:ctrlPr>
              <w:rPr>
                <w:rFonts w:ascii="Cambria Math" w:hAnsi="Cambria Math"/>
                <w:i/>
              </w:rPr>
            </m:ctrlPr>
          </m:sSubPr>
          <m:e>
            <m:r>
              <w:rPr>
                <w:rFonts w:ascii="Cambria Math" w:hAnsi="Cambria Math"/>
              </w:rPr>
              <m:t>ϕ</m:t>
            </m:r>
          </m:e>
          <m:sub>
            <m:r>
              <w:rPr>
                <w:rFonts w:ascii="Cambria Math" w:hAnsi="Cambria Math"/>
              </w:rPr>
              <m:t>V</m:t>
            </m:r>
          </m:sub>
        </m:sSub>
      </m:oMath>
      <w:r>
        <w:t>.</w:t>
      </w:r>
    </w:p>
    <w:p w14:paraId="31EED335" w14:textId="77777777" w:rsidR="00F61B40" w:rsidRPr="00D2149E" w:rsidRDefault="00F61B40" w:rsidP="00F61B40">
      <w:pPr>
        <w:pStyle w:val="ListParagraph"/>
      </w:pPr>
    </w:p>
    <w:p w14:paraId="5B79FBE4" w14:textId="5E1DEFE1" w:rsidR="000C36AB" w:rsidRDefault="000C36AB" w:rsidP="000C36AB">
      <w:pPr>
        <w:pStyle w:val="ListParagraph"/>
        <w:numPr>
          <w:ilvl w:val="0"/>
          <w:numId w:val="8"/>
        </w:numPr>
      </w:pPr>
      <w:r>
        <w:t>VCP: Vertical coplanar system. The associated dipoles are perpendicular to the plane of the loops and are therefore in the horizontal direction. The response function associated with this is</w:t>
      </w:r>
      <w:r w:rsidR="00D2149E">
        <w:t xml:space="preserve"> </w:t>
      </w:r>
      <m:oMath>
        <m:sSub>
          <m:sSubPr>
            <m:ctrlPr>
              <w:rPr>
                <w:rFonts w:ascii="Cambria Math" w:hAnsi="Cambria Math"/>
                <w:i/>
              </w:rPr>
            </m:ctrlPr>
          </m:sSubPr>
          <m:e>
            <m:r>
              <w:rPr>
                <w:rFonts w:ascii="Cambria Math" w:hAnsi="Cambria Math"/>
              </w:rPr>
              <m:t>ϕ</m:t>
            </m:r>
          </m:e>
          <m:sub>
            <m:r>
              <w:rPr>
                <w:rFonts w:ascii="Cambria Math" w:hAnsi="Cambria Math"/>
              </w:rPr>
              <m:t>H</m:t>
            </m:r>
          </m:sub>
        </m:sSub>
      </m:oMath>
      <w:r>
        <w:t>.</w:t>
      </w:r>
    </w:p>
    <w:p w14:paraId="0A3B502F" w14:textId="77777777" w:rsidR="000C36AB" w:rsidRDefault="000C36AB" w:rsidP="00E717EB"/>
    <w:p w14:paraId="0D862BFA" w14:textId="77777777" w:rsidR="00D2149E" w:rsidRDefault="00D2149E">
      <w:pPr>
        <w:rPr>
          <w:rFonts w:asciiTheme="majorHAnsi" w:eastAsiaTheme="majorEastAsia" w:hAnsiTheme="majorHAnsi" w:cstheme="majorBidi"/>
          <w:b/>
          <w:bCs/>
          <w:color w:val="4F81BD" w:themeColor="accent1"/>
          <w:sz w:val="26"/>
          <w:szCs w:val="26"/>
        </w:rPr>
      </w:pPr>
      <w:r>
        <w:br w:type="page"/>
      </w:r>
    </w:p>
    <w:p w14:paraId="2B98DD2F" w14:textId="19347C03" w:rsidR="009C7316" w:rsidRDefault="009C7316" w:rsidP="009C7316">
      <w:pPr>
        <w:pStyle w:val="Heading2"/>
      </w:pPr>
      <w:r>
        <w:lastRenderedPageBreak/>
        <w:t>Apparent conductivity</w:t>
      </w:r>
    </w:p>
    <w:p w14:paraId="1A2EC01C" w14:textId="77777777" w:rsidR="009C7316" w:rsidRDefault="009C7316" w:rsidP="009C7316">
      <w:pPr>
        <w:rPr>
          <w:rFonts w:cs="Times New Roman"/>
          <w:b/>
          <w:color w:val="000000"/>
        </w:rPr>
      </w:pPr>
    </w:p>
    <w:p w14:paraId="0B58EBC4" w14:textId="70C30C73" w:rsidR="009C7316" w:rsidRDefault="009C7316" w:rsidP="009C7316">
      <w:pPr>
        <w:rPr>
          <w:rFonts w:cs="Times New Roman"/>
          <w:color w:val="000000"/>
        </w:rPr>
      </w:pPr>
      <w:r w:rsidRPr="00876465">
        <w:rPr>
          <w:rFonts w:cs="Times New Roman"/>
          <w:b/>
          <w:color w:val="000000"/>
        </w:rPr>
        <w:t>Q1.</w:t>
      </w:r>
      <w:r>
        <w:rPr>
          <w:rFonts w:cs="Times New Roman"/>
          <w:b/>
          <w:color w:val="000000"/>
        </w:rPr>
        <w:t xml:space="preserve"> </w:t>
      </w:r>
      <w:r>
        <w:rPr>
          <w:rFonts w:cs="Times New Roman"/>
          <w:color w:val="000000"/>
        </w:rPr>
        <w:t>Considering a horizontal coplanar (HCP) configuration of EM system (e.g. EM-31), imaginary part of the measured data, Hs/</w:t>
      </w:r>
      <w:proofErr w:type="spellStart"/>
      <w:r>
        <w:rPr>
          <w:rFonts w:cs="Times New Roman"/>
          <w:color w:val="000000"/>
        </w:rPr>
        <w:t>Hp</w:t>
      </w:r>
      <w:proofErr w:type="spellEnd"/>
      <w:r>
        <w:rPr>
          <w:rFonts w:cs="Times New Roman"/>
          <w:color w:val="000000"/>
        </w:rPr>
        <w:t xml:space="preserve">, can be written as </w:t>
      </w:r>
    </w:p>
    <w:p w14:paraId="5184DA99" w14:textId="77777777" w:rsidR="009C7316" w:rsidRDefault="009C7316" w:rsidP="009C7316">
      <w:pPr>
        <w:rPr>
          <w:rFonts w:cs="Times New Roman"/>
          <w:color w:val="000000"/>
        </w:rPr>
      </w:pPr>
    </w:p>
    <w:p w14:paraId="05C19510" w14:textId="1AC18EF3" w:rsidR="009C7316" w:rsidRPr="00602261" w:rsidRDefault="00D9759E" w:rsidP="009C7316">
      <m:oMathPara>
        <m:oMath>
          <m:r>
            <w:rPr>
              <w:rFonts w:ascii="Cambria Math" w:hAnsi="Cambria Math"/>
            </w:rPr>
            <m:t xml:space="preserve">Im( </m:t>
          </m:r>
          <m:f>
            <m:fPr>
              <m:ctrlPr>
                <w:rPr>
                  <w:rFonts w:ascii="Cambria Math" w:hAnsi="Cambria Math"/>
                  <w:i/>
                </w:rPr>
              </m:ctrlPr>
            </m:fPr>
            <m:num>
              <m:r>
                <w:rPr>
                  <w:rFonts w:ascii="Cambria Math" w:hAnsi="Cambria Math"/>
                </w:rPr>
                <m:t>Hs</m:t>
              </m:r>
            </m:num>
            <m:den>
              <m:r>
                <w:rPr>
                  <w:rFonts w:ascii="Cambria Math" w:hAnsi="Cambria Math"/>
                </w:rPr>
                <m:t>Hp</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σ</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4</m:t>
                  </m:r>
                </m:den>
              </m:f>
            </m:e>
          </m:d>
          <m:r>
            <w:rPr>
              <w:rFonts w:ascii="Cambria Math" w:hAnsi="Cambria Math"/>
            </w:rPr>
            <m:t>×100 [%],  when δ</m:t>
          </m:r>
          <m:r>
            <w:rPr>
              <w:rFonts w:ascii="Cambria Math" w:hAnsi="Cambria Math" w:hint="eastAsia"/>
            </w:rPr>
            <m:t>≫</m:t>
          </m:r>
          <m:r>
            <w:rPr>
              <w:rFonts w:ascii="Cambria Math" w:hAnsi="Cambria Math"/>
            </w:rPr>
            <m:t>s</m:t>
          </m:r>
        </m:oMath>
      </m:oMathPara>
    </w:p>
    <w:p w14:paraId="51332F7B" w14:textId="77777777" w:rsidR="00602261" w:rsidRDefault="00602261" w:rsidP="009C7316"/>
    <w:p w14:paraId="3EB0E617" w14:textId="7E152A77" w:rsidR="00602261" w:rsidRDefault="00602261" w:rsidP="00602261">
      <w:pPr>
        <w:pStyle w:val="ListParagraph"/>
        <w:numPr>
          <w:ilvl w:val="0"/>
          <w:numId w:val="2"/>
        </w:numPr>
      </w:pPr>
      <m:oMath>
        <m:r>
          <w:rPr>
            <w:rFonts w:ascii="Cambria Math" w:hAnsi="Cambria Math"/>
          </w:rPr>
          <m:t>δ</m:t>
        </m:r>
      </m:oMath>
      <w:r>
        <w:t xml:space="preserve"> : skin depth (</w:t>
      </w:r>
      <m:oMath>
        <m:r>
          <w:rPr>
            <w:rFonts w:ascii="Cambria Math" w:hAnsi="Cambria Math"/>
          </w:rPr>
          <m:t>=500</m:t>
        </m:r>
        <m:rad>
          <m:radPr>
            <m:degHide m:val="1"/>
            <m:ctrlPr>
              <w:rPr>
                <w:rFonts w:ascii="Cambria Math" w:hAnsi="Cambria Math"/>
                <w:i/>
              </w:rPr>
            </m:ctrlPr>
          </m:radPr>
          <m:deg>
            <m:ctrlPr>
              <w:rPr>
                <w:rFonts w:ascii="Cambria Math" w:hAnsi="Cambria Math"/>
                <w:i/>
                <w:lang w:val="en-CA"/>
              </w:rPr>
            </m:ctrlPr>
          </m:deg>
          <m:e>
            <m:f>
              <m:fPr>
                <m:ctrlPr>
                  <w:rPr>
                    <w:rFonts w:ascii="Cambria Math" w:hAnsi="Cambria Math"/>
                    <w:i/>
                    <w:lang w:val="en-CA"/>
                  </w:rPr>
                </m:ctrlPr>
              </m:fPr>
              <m:num>
                <m:r>
                  <w:rPr>
                    <w:rFonts w:ascii="Cambria Math" w:hAnsi="Cambria Math"/>
                    <w:lang w:val="en-CA"/>
                  </w:rPr>
                  <m:t>1</m:t>
                </m:r>
              </m:num>
              <m:den>
                <m:r>
                  <w:rPr>
                    <w:rFonts w:ascii="Cambria Math" w:hAnsi="Cambria Math"/>
                    <w:lang w:val="en-CA"/>
                  </w:rPr>
                  <m:t>σf</m:t>
                </m:r>
              </m:den>
            </m:f>
          </m:e>
        </m:rad>
      </m:oMath>
      <w:r>
        <w:t xml:space="preserve"> ) [m]</w:t>
      </w:r>
    </w:p>
    <w:p w14:paraId="59BB1354" w14:textId="10B73B64" w:rsidR="00602261" w:rsidRDefault="00602261" w:rsidP="00BA59B8">
      <w:pPr>
        <w:pStyle w:val="ListParagraph"/>
        <w:numPr>
          <w:ilvl w:val="0"/>
          <w:numId w:val="2"/>
        </w:numPr>
      </w:pPr>
      <m:oMath>
        <m:r>
          <w:rPr>
            <w:rFonts w:ascii="Cambria Math" w:hAnsi="Cambria Math"/>
          </w:rPr>
          <m:t>s</m:t>
        </m:r>
      </m:oMath>
      <w:r>
        <w:t xml:space="preserve"> : source and receiver separation [m]</w:t>
      </w:r>
    </w:p>
    <w:p w14:paraId="06CA07AE" w14:textId="48196151" w:rsidR="00602261" w:rsidRDefault="00602261" w:rsidP="00BA59B8">
      <w:pPr>
        <w:pStyle w:val="ListParagraph"/>
        <w:numPr>
          <w:ilvl w:val="0"/>
          <w:numId w:val="2"/>
        </w:numPr>
      </w:pPr>
      <m:oMath>
        <m:r>
          <w:rPr>
            <w:rFonts w:ascii="Cambria Math" w:hAnsi="Cambria Math"/>
          </w:rPr>
          <m:t>ω=2πf</m:t>
        </m:r>
      </m:oMath>
      <w:r>
        <w:t>: angular frequency [rad/s]</w:t>
      </w:r>
    </w:p>
    <w:p w14:paraId="44BC2584" w14:textId="77777777" w:rsidR="00602261" w:rsidRDefault="00602261" w:rsidP="00602261">
      <w:pPr>
        <w:ind w:left="360"/>
      </w:pPr>
    </w:p>
    <w:p w14:paraId="158A4ABD" w14:textId="6C3A5CD1" w:rsidR="00602261" w:rsidRPr="00602261" w:rsidRDefault="00B310B5" w:rsidP="00B310B5">
      <w:r w:rsidRPr="00B310B5">
        <w:rPr>
          <w:b/>
        </w:rPr>
        <w:t xml:space="preserve">a. </w:t>
      </w:r>
      <w:r w:rsidR="00602261">
        <w:t xml:space="preserve">By using the above equation derive a formula that you can compute apparent conductivity, </w:t>
      </w:r>
      <m:oMath>
        <m:sSub>
          <m:sSubPr>
            <m:ctrlPr>
              <w:rPr>
                <w:rFonts w:ascii="Cambria Math" w:hAnsi="Cambria Math"/>
                <w:i/>
              </w:rPr>
            </m:ctrlPr>
          </m:sSubPr>
          <m:e>
            <m:r>
              <w:rPr>
                <w:rFonts w:ascii="Cambria Math" w:hAnsi="Cambria Math"/>
              </w:rPr>
              <m:t>σ</m:t>
            </m:r>
          </m:e>
          <m:sub>
            <m:r>
              <w:rPr>
                <w:rFonts w:ascii="Cambria Math" w:hAnsi="Cambria Math"/>
              </w:rPr>
              <m:t>a</m:t>
            </m:r>
          </m:sub>
        </m:sSub>
      </m:oMath>
    </w:p>
    <w:p w14:paraId="07DFCDCA" w14:textId="77777777" w:rsidR="00602261" w:rsidRDefault="00602261" w:rsidP="00602261"/>
    <w:p w14:paraId="6426BFB7" w14:textId="77777777" w:rsidR="00602261" w:rsidRDefault="00602261" w:rsidP="00602261"/>
    <w:p w14:paraId="3D95A8F2" w14:textId="77777777" w:rsidR="00602261" w:rsidRDefault="00602261" w:rsidP="00602261"/>
    <w:p w14:paraId="317F211C" w14:textId="77777777" w:rsidR="00602261" w:rsidRDefault="00602261" w:rsidP="00602261"/>
    <w:p w14:paraId="7525F6CD" w14:textId="77777777" w:rsidR="00602261" w:rsidRDefault="00602261" w:rsidP="00602261"/>
    <w:p w14:paraId="4C7A0930" w14:textId="77777777" w:rsidR="00602261" w:rsidRPr="00602261" w:rsidRDefault="00602261" w:rsidP="00602261"/>
    <w:p w14:paraId="29275744" w14:textId="183D159B" w:rsidR="00B310B5" w:rsidRDefault="00B310B5" w:rsidP="00B310B5">
      <w:r w:rsidRPr="00B310B5">
        <w:rPr>
          <w:b/>
        </w:rPr>
        <w:t xml:space="preserve">b. </w:t>
      </w:r>
      <w:r w:rsidR="00602261">
        <w:t xml:space="preserve">Suppose with the EM-31 you have measured EM data: </w:t>
      </w:r>
    </w:p>
    <w:p w14:paraId="08FAF986" w14:textId="08D5B9E4" w:rsidR="00602261" w:rsidRDefault="00B310B5" w:rsidP="00B310B5">
      <w:pPr>
        <w:pStyle w:val="ListParagraph"/>
        <w:numPr>
          <w:ilvl w:val="0"/>
          <w:numId w:val="4"/>
        </w:numPr>
      </w:pPr>
      <w:r>
        <w:t>In</w:t>
      </w:r>
      <w:r w:rsidR="007D713F">
        <w:t>-</w:t>
      </w:r>
      <w:r>
        <w:t xml:space="preserve">phase </w:t>
      </w:r>
      <w:r w:rsidR="00602261">
        <w:t>Hs/</w:t>
      </w:r>
      <w:proofErr w:type="spellStart"/>
      <w:r w:rsidR="00602261">
        <w:t>Hp</w:t>
      </w:r>
      <w:proofErr w:type="spellEnd"/>
      <w:r>
        <w:t>: 2.6%</w:t>
      </w:r>
    </w:p>
    <w:p w14:paraId="43BF71D0" w14:textId="57A08273" w:rsidR="00B310B5" w:rsidRDefault="00B310B5" w:rsidP="00B310B5">
      <w:pPr>
        <w:pStyle w:val="ListParagraph"/>
        <w:numPr>
          <w:ilvl w:val="0"/>
          <w:numId w:val="4"/>
        </w:numPr>
      </w:pPr>
      <w:r>
        <w:t>Quadrature Hs/</w:t>
      </w:r>
      <w:proofErr w:type="spellStart"/>
      <w:r>
        <w:t>Hp</w:t>
      </w:r>
      <w:proofErr w:type="spellEnd"/>
      <w:r>
        <w:t>: 1.15%</w:t>
      </w:r>
    </w:p>
    <w:p w14:paraId="25CD7F7C" w14:textId="15C30D19" w:rsidR="00B310B5" w:rsidRDefault="00B310B5" w:rsidP="00B310B5">
      <w:pPr>
        <w:ind w:left="720"/>
      </w:pPr>
      <w:r>
        <w:t>Compute the apparent conductivity using the equation that you derived in the above question.</w:t>
      </w:r>
    </w:p>
    <w:p w14:paraId="0FA1E5C0" w14:textId="77777777" w:rsidR="00B310B5" w:rsidRDefault="00B310B5" w:rsidP="00B310B5"/>
    <w:p w14:paraId="530AF886" w14:textId="77777777" w:rsidR="00B310B5" w:rsidRDefault="00B310B5" w:rsidP="00B310B5">
      <w:pPr>
        <w:rPr>
          <w:rFonts w:cs="Times New Roman"/>
          <w:b/>
          <w:color w:val="000000"/>
        </w:rPr>
      </w:pPr>
    </w:p>
    <w:p w14:paraId="66ED041E" w14:textId="77777777" w:rsidR="00B310B5" w:rsidRDefault="00B310B5" w:rsidP="00B310B5">
      <w:pPr>
        <w:rPr>
          <w:rFonts w:cs="Times New Roman"/>
          <w:b/>
          <w:color w:val="000000"/>
        </w:rPr>
      </w:pPr>
    </w:p>
    <w:p w14:paraId="2DC3F221" w14:textId="77777777" w:rsidR="00B310B5" w:rsidRDefault="00B310B5" w:rsidP="00B310B5">
      <w:pPr>
        <w:rPr>
          <w:rFonts w:cs="Times New Roman"/>
          <w:b/>
          <w:color w:val="000000"/>
        </w:rPr>
      </w:pPr>
    </w:p>
    <w:p w14:paraId="512C9FCC" w14:textId="77777777" w:rsidR="00B310B5" w:rsidRDefault="00B310B5" w:rsidP="00B310B5">
      <w:pPr>
        <w:rPr>
          <w:rFonts w:cs="Times New Roman"/>
          <w:b/>
          <w:color w:val="000000"/>
        </w:rPr>
      </w:pPr>
    </w:p>
    <w:p w14:paraId="37FB3DB6" w14:textId="77777777" w:rsidR="00B310B5" w:rsidRDefault="00B310B5" w:rsidP="00B310B5">
      <w:pPr>
        <w:rPr>
          <w:rFonts w:cs="Times New Roman"/>
          <w:b/>
          <w:color w:val="000000"/>
        </w:rPr>
      </w:pPr>
    </w:p>
    <w:p w14:paraId="50F7BED5" w14:textId="583FD93A" w:rsidR="00B310B5" w:rsidRDefault="00B310B5" w:rsidP="00B310B5">
      <w:pPr>
        <w:rPr>
          <w:rFonts w:cs="Times New Roman"/>
          <w:b/>
          <w:color w:val="000000"/>
        </w:rPr>
      </w:pPr>
      <w:r>
        <w:rPr>
          <w:rFonts w:cs="Times New Roman"/>
          <w:b/>
          <w:color w:val="000000"/>
        </w:rPr>
        <w:t>Q2</w:t>
      </w:r>
      <w:r w:rsidRPr="00876465">
        <w:rPr>
          <w:rFonts w:cs="Times New Roman"/>
          <w:b/>
          <w:color w:val="000000"/>
        </w:rPr>
        <w:t>.</w:t>
      </w:r>
      <w:r>
        <w:rPr>
          <w:rFonts w:cs="Times New Roman"/>
          <w:b/>
          <w:color w:val="000000"/>
        </w:rPr>
        <w:t xml:space="preserve"> </w:t>
      </w:r>
      <w:r w:rsidRPr="00B310B5">
        <w:rPr>
          <w:rFonts w:cs="Times New Roman"/>
          <w:color w:val="000000"/>
        </w:rPr>
        <w:t>Use the response function app to answer the following questions</w:t>
      </w:r>
      <w:r>
        <w:rPr>
          <w:rFonts w:cs="Times New Roman"/>
          <w:color w:val="000000"/>
        </w:rPr>
        <w:t xml:space="preserve">. You can click </w:t>
      </w:r>
      <w:hyperlink r:id="rId6" w:history="1">
        <w:r w:rsidRPr="00B310B5">
          <w:rPr>
            <w:rStyle w:val="Hyperlink"/>
            <w:rFonts w:cs="Times New Roman"/>
          </w:rPr>
          <w:t>he</w:t>
        </w:r>
        <w:r w:rsidRPr="00B310B5">
          <w:rPr>
            <w:rStyle w:val="Hyperlink"/>
            <w:rFonts w:cs="Times New Roman"/>
          </w:rPr>
          <w:t>r</w:t>
        </w:r>
        <w:r w:rsidRPr="00B310B5">
          <w:rPr>
            <w:rStyle w:val="Hyperlink"/>
            <w:rFonts w:cs="Times New Roman"/>
          </w:rPr>
          <w:t>e</w:t>
        </w:r>
      </w:hyperlink>
      <w:r>
        <w:rPr>
          <w:rFonts w:cs="Times New Roman"/>
          <w:color w:val="000000"/>
        </w:rPr>
        <w:t xml:space="preserve"> to open the app. </w:t>
      </w:r>
    </w:p>
    <w:p w14:paraId="00148E51" w14:textId="77777777" w:rsidR="00B310B5" w:rsidRDefault="00B310B5" w:rsidP="00B310B5">
      <w:pPr>
        <w:rPr>
          <w:rFonts w:cs="Times New Roman"/>
          <w:b/>
          <w:color w:val="000000"/>
        </w:rPr>
      </w:pPr>
    </w:p>
    <w:p w14:paraId="1DEF23C7" w14:textId="28065E54" w:rsidR="00B310B5" w:rsidRPr="00D77861" w:rsidRDefault="000C36AB" w:rsidP="00B310B5">
      <w:pPr>
        <w:rPr>
          <w:rFonts w:cs="Times New Roman"/>
          <w:color w:val="000000"/>
        </w:rPr>
      </w:pPr>
      <w:r>
        <w:rPr>
          <w:rFonts w:cs="Times New Roman"/>
          <w:color w:val="000000"/>
        </w:rPr>
        <w:t>The apparent conductivity is equal to the “integral” of the true conduc</w:t>
      </w:r>
      <w:r w:rsidR="004E3041">
        <w:rPr>
          <w:rFonts w:cs="Times New Roman"/>
          <w:color w:val="000000"/>
        </w:rPr>
        <w:t xml:space="preserve">tivity and a response function </w:t>
      </w:r>
      <w:r>
        <w:rPr>
          <w:rFonts w:cs="Times New Roman"/>
          <w:color w:val="000000"/>
        </w:rPr>
        <w:t>(</w:t>
      </w:r>
      <m:oMath>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V</m:t>
            </m:r>
          </m:sub>
        </m:sSub>
      </m:oMath>
      <w:r>
        <w:rPr>
          <w:rFonts w:cs="Times New Roman"/>
          <w:color w:val="000000"/>
        </w:rPr>
        <w:t xml:space="preserve"> or</w:t>
      </w:r>
      <w:r w:rsidR="00D77861">
        <w:rPr>
          <w:rFonts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H</m:t>
            </m:r>
          </m:sub>
        </m:sSub>
      </m:oMath>
      <w:r w:rsidR="004E3041">
        <w:rPr>
          <w:rFonts w:cs="Times New Roman"/>
          <w:color w:val="000000"/>
        </w:rPr>
        <w:t xml:space="preserve">; </w:t>
      </w:r>
      <w:r>
        <w:rPr>
          <w:rFonts w:cs="Times New Roman"/>
          <w:color w:val="000000"/>
        </w:rPr>
        <w:t xml:space="preserve"> depending upon how the instrument is oriented). Become familiar with this concept by adjusting the </w:t>
      </w:r>
      <w:r w:rsidR="00012DD1">
        <w:rPr>
          <w:rFonts w:cs="Times New Roman"/>
          <w:color w:val="000000"/>
          <w:lang w:val="en-CA"/>
        </w:rPr>
        <w:t xml:space="preserve">parameters </w:t>
      </w:r>
      <m:oMath>
        <m:sSub>
          <m:sSubPr>
            <m:ctrlPr>
              <w:rPr>
                <w:rFonts w:ascii="Cambria Math" w:hAnsi="Cambria Math" w:cs="Times New Roman"/>
                <w:i/>
                <w:color w:val="000000"/>
                <w:lang w:val="en-CA"/>
              </w:rPr>
            </m:ctrlPr>
          </m:sSubPr>
          <m:e>
            <m:r>
              <w:rPr>
                <w:rFonts w:ascii="Cambria Math" w:hAnsi="Cambria Math" w:cs="Times New Roman"/>
                <w:color w:val="000000"/>
                <w:lang w:val="en-CA"/>
              </w:rPr>
              <m:t>h</m:t>
            </m:r>
          </m:e>
          <m:sub>
            <m:r>
              <w:rPr>
                <w:rFonts w:ascii="Cambria Math" w:hAnsi="Cambria Math" w:cs="Times New Roman"/>
                <w:color w:val="000000"/>
                <w:lang w:val="en-CA"/>
              </w:rPr>
              <m:t>1</m:t>
            </m:r>
          </m:sub>
        </m:sSub>
        <m:r>
          <w:rPr>
            <w:rFonts w:ascii="Cambria Math" w:hAnsi="Cambria Math" w:cs="Times New Roman"/>
            <w:color w:val="000000"/>
            <w:lang w:val="en-CA"/>
          </w:rPr>
          <m:t xml:space="preserve">, </m:t>
        </m:r>
        <m:sSub>
          <m:sSubPr>
            <m:ctrlPr>
              <w:rPr>
                <w:rFonts w:ascii="Cambria Math" w:hAnsi="Cambria Math" w:cs="Times New Roman"/>
                <w:i/>
                <w:color w:val="000000"/>
                <w:lang w:val="en-CA"/>
              </w:rPr>
            </m:ctrlPr>
          </m:sSubPr>
          <m:e>
            <m:r>
              <w:rPr>
                <w:rFonts w:ascii="Cambria Math" w:hAnsi="Cambria Math" w:cs="Times New Roman"/>
                <w:color w:val="000000"/>
                <w:lang w:val="en-CA"/>
              </w:rPr>
              <m:t>σ</m:t>
            </m:r>
          </m:e>
          <m:sub>
            <m:r>
              <w:rPr>
                <w:rFonts w:ascii="Cambria Math" w:hAnsi="Cambria Math" w:cs="Times New Roman"/>
                <w:color w:val="000000"/>
                <w:lang w:val="en-CA"/>
              </w:rPr>
              <m:t>1</m:t>
            </m:r>
          </m:sub>
        </m:sSub>
        <m:r>
          <w:rPr>
            <w:rFonts w:ascii="Cambria Math" w:hAnsi="Cambria Math" w:cs="Times New Roman"/>
            <w:color w:val="000000"/>
            <w:lang w:val="en-CA"/>
          </w:rPr>
          <m:t xml:space="preserve">, </m:t>
        </m:r>
        <m:sSub>
          <m:sSubPr>
            <m:ctrlPr>
              <w:rPr>
                <w:rFonts w:ascii="Cambria Math" w:hAnsi="Cambria Math" w:cs="Times New Roman"/>
                <w:i/>
                <w:color w:val="000000"/>
                <w:lang w:val="en-CA"/>
              </w:rPr>
            </m:ctrlPr>
          </m:sSubPr>
          <m:e>
            <m:r>
              <w:rPr>
                <w:rFonts w:ascii="Cambria Math" w:hAnsi="Cambria Math" w:cs="Times New Roman"/>
                <w:color w:val="000000"/>
                <w:lang w:val="en-CA"/>
              </w:rPr>
              <m:t>σ</m:t>
            </m:r>
          </m:e>
          <m:sub>
            <m:r>
              <w:rPr>
                <w:rFonts w:ascii="Cambria Math" w:hAnsi="Cambria Math" w:cs="Times New Roman"/>
                <w:color w:val="000000"/>
                <w:lang w:val="en-CA"/>
              </w:rPr>
              <m:t>2</m:t>
            </m:r>
          </m:sub>
        </m:sSub>
      </m:oMath>
      <w:r w:rsidR="00012DD1">
        <w:rPr>
          <w:rFonts w:cs="Times New Roman"/>
          <w:color w:val="000000"/>
          <w:lang w:val="en-CA"/>
        </w:rPr>
        <w:t xml:space="preserve"> and change the boom </w:t>
      </w:r>
      <w:r w:rsidR="004E3041">
        <w:rPr>
          <w:rFonts w:cs="Times New Roman"/>
          <w:color w:val="000000"/>
          <w:lang w:val="en-CA"/>
        </w:rPr>
        <w:t>configuration</w:t>
      </w:r>
      <w:r>
        <w:rPr>
          <w:rFonts w:cs="Times New Roman"/>
          <w:color w:val="000000"/>
          <w:lang w:val="en-CA"/>
        </w:rPr>
        <w:t xml:space="preserve"> and see</w:t>
      </w:r>
      <w:r w:rsidR="00F61B40">
        <w:rPr>
          <w:rFonts w:cs="Times New Roman"/>
          <w:color w:val="000000"/>
          <w:lang w:val="en-CA"/>
        </w:rPr>
        <w:t xml:space="preserve"> </w:t>
      </w:r>
      <w:r>
        <w:rPr>
          <w:rFonts w:cs="Times New Roman"/>
          <w:color w:val="000000"/>
          <w:lang w:val="en-CA"/>
        </w:rPr>
        <w:t xml:space="preserve">how this affects the apparent conductivity. </w:t>
      </w:r>
    </w:p>
    <w:p w14:paraId="59DFC658" w14:textId="77777777" w:rsidR="00B310B5" w:rsidRDefault="00B310B5" w:rsidP="00B310B5"/>
    <w:p w14:paraId="12212CB7" w14:textId="77777777" w:rsidR="00012DD1" w:rsidRDefault="00012DD1" w:rsidP="00B310B5"/>
    <w:p w14:paraId="15E2E5AD" w14:textId="77777777" w:rsidR="00012DD1" w:rsidRDefault="00012DD1" w:rsidP="00B310B5"/>
    <w:p w14:paraId="71A19C0D" w14:textId="6109668C" w:rsidR="00012DD1" w:rsidRDefault="000C36AB" w:rsidP="00B310B5">
      <w:r>
        <w:rPr>
          <w:b/>
        </w:rPr>
        <w:t>a</w:t>
      </w:r>
      <w:r w:rsidR="00012DD1" w:rsidRPr="00012DD1">
        <w:rPr>
          <w:b/>
        </w:rPr>
        <w:t>.</w:t>
      </w:r>
      <w:r w:rsidR="00012DD1">
        <w:t xml:space="preserve"> Set the parameters to the following: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=0.01, </m:t>
        </m:r>
        <m:sSub>
          <m:sSubPr>
            <m:ctrlPr>
              <w:rPr>
                <w:rFonts w:ascii="Cambria Math" w:hAnsi="Cambria Math"/>
                <w:i/>
              </w:rPr>
            </m:ctrlPr>
          </m:sSubPr>
          <m:e>
            <m:r>
              <w:rPr>
                <w:rFonts w:ascii="Cambria Math" w:hAnsi="Cambria Math"/>
              </w:rPr>
              <m:t xml:space="preserve"> σ</m:t>
            </m:r>
          </m:e>
          <m:sub>
            <m:r>
              <w:rPr>
                <w:rFonts w:ascii="Cambria Math" w:hAnsi="Cambria Math"/>
              </w:rPr>
              <m:t>2</m:t>
            </m:r>
          </m:sub>
        </m:sSub>
        <m:r>
          <w:rPr>
            <w:rFonts w:ascii="Cambria Math" w:hAnsi="Cambria Math"/>
          </w:rPr>
          <m:t xml:space="preserve">=0.01,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=0.5, </m:t>
        </m:r>
        <m:sSub>
          <m:sSubPr>
            <m:ctrlPr>
              <w:rPr>
                <w:rFonts w:ascii="Cambria Math" w:hAnsi="Cambria Math"/>
                <w:i/>
              </w:rPr>
            </m:ctrlPr>
          </m:sSubPr>
          <m:e>
            <m:r>
              <w:rPr>
                <w:rFonts w:ascii="Cambria Math" w:hAnsi="Cambria Math"/>
              </w:rPr>
              <m:t>h</m:t>
            </m:r>
          </m:e>
          <m:sub>
            <m:r>
              <w:rPr>
                <w:rFonts w:ascii="Cambria Math" w:hAnsi="Cambria Math"/>
              </w:rPr>
              <m:t>boom</m:t>
            </m:r>
          </m:sub>
        </m:sSub>
        <m:r>
          <w:rPr>
            <w:rFonts w:ascii="Cambria Math" w:hAnsi="Cambria Math"/>
          </w:rPr>
          <m:t>=0</m:t>
        </m:r>
      </m:oMath>
      <w:r w:rsidR="00012DD1">
        <w:t xml:space="preserve">. What is the apparent conductivity for each of the </w:t>
      </w:r>
      <w:r w:rsidR="00600174">
        <w:t>configuration</w:t>
      </w:r>
      <w:r w:rsidR="00012DD1">
        <w:t xml:space="preserve"> (</w:t>
      </w:r>
      <w:r w:rsidR="004E3041">
        <w:t>HCP and VCP</w:t>
      </w:r>
      <w:r w:rsidR="00012DD1">
        <w:t>)?</w:t>
      </w:r>
      <w:r w:rsidR="001E0C92">
        <w:t xml:space="preserve"> </w:t>
      </w:r>
      <w:r w:rsidR="001E0C92">
        <w:lastRenderedPageBreak/>
        <w:t xml:space="preserve">Note </w:t>
      </w:r>
      <w:r w:rsidR="004E3041">
        <w:t>description of the</w:t>
      </w:r>
      <w:r w:rsidR="001E0C92">
        <w:t xml:space="preserve"> horizontal coplanar (HCP) and vertical coplanar (VCP) </w:t>
      </w:r>
      <w:r w:rsidR="004E3041">
        <w:t>is</w:t>
      </w:r>
      <w:r w:rsidR="001E0C92">
        <w:t xml:space="preserve"> shown in </w:t>
      </w:r>
      <w:hyperlink r:id="rId7" w:anchor="cumulative-response-functions" w:history="1">
        <w:r w:rsidR="001E0C92" w:rsidRPr="001E0C92">
          <w:rPr>
            <w:rStyle w:val="Hyperlink"/>
          </w:rPr>
          <w:t>GPG</w:t>
        </w:r>
      </w:hyperlink>
      <w:r w:rsidR="001E0C92">
        <w:t xml:space="preserve">. </w:t>
      </w:r>
    </w:p>
    <w:p w14:paraId="722DB736" w14:textId="77777777" w:rsidR="00012DD1" w:rsidRDefault="00012DD1" w:rsidP="00B310B5"/>
    <w:p w14:paraId="006AC90C" w14:textId="77777777" w:rsidR="00012DD1" w:rsidRDefault="00012DD1" w:rsidP="00B310B5"/>
    <w:p w14:paraId="1BAF7195" w14:textId="77777777" w:rsidR="00012DD1" w:rsidRDefault="00012DD1" w:rsidP="00B310B5"/>
    <w:p w14:paraId="34A518A7" w14:textId="77777777" w:rsidR="00012DD1" w:rsidRDefault="00012DD1" w:rsidP="00B310B5"/>
    <w:p w14:paraId="3CAF9480" w14:textId="77777777" w:rsidR="00012DD1" w:rsidRDefault="00012DD1" w:rsidP="00B310B5"/>
    <w:p w14:paraId="36E0BBD1" w14:textId="77777777" w:rsidR="00012DD1" w:rsidRDefault="00012DD1" w:rsidP="00B310B5"/>
    <w:p w14:paraId="669223D4" w14:textId="483CC754" w:rsidR="00012DD1" w:rsidRDefault="000C36AB" w:rsidP="00B310B5">
      <w:r>
        <w:rPr>
          <w:b/>
        </w:rPr>
        <w:t>b</w:t>
      </w:r>
      <w:r w:rsidR="00012DD1" w:rsidRPr="00012DD1">
        <w:rPr>
          <w:b/>
        </w:rPr>
        <w:t>.</w:t>
      </w:r>
      <w:r w:rsidR="00012DD1">
        <w:t xml:space="preserve"> Next, set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=0.1</m:t>
        </m:r>
      </m:oMath>
      <w:r w:rsidR="00012DD1">
        <w:t xml:space="preserve">, and keep </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=0.01,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=0.5, </m:t>
        </m:r>
        <m:sSub>
          <m:sSubPr>
            <m:ctrlPr>
              <w:rPr>
                <w:rFonts w:ascii="Cambria Math" w:hAnsi="Cambria Math"/>
                <w:i/>
              </w:rPr>
            </m:ctrlPr>
          </m:sSubPr>
          <m:e>
            <m:r>
              <w:rPr>
                <w:rFonts w:ascii="Cambria Math" w:hAnsi="Cambria Math"/>
              </w:rPr>
              <m:t>h</m:t>
            </m:r>
          </m:e>
          <m:sub>
            <m:r>
              <w:rPr>
                <w:rFonts w:ascii="Cambria Math" w:hAnsi="Cambria Math"/>
              </w:rPr>
              <m:t>boom</m:t>
            </m:r>
          </m:sub>
        </m:sSub>
        <m:r>
          <w:rPr>
            <w:rFonts w:ascii="Cambria Math" w:hAnsi="Cambria Math"/>
          </w:rPr>
          <m:t>=0.</m:t>
        </m:r>
      </m:oMath>
      <w:r w:rsidR="00012DD1">
        <w:t xml:space="preserve"> What is the apparent conductivity for each of the boom </w:t>
      </w:r>
      <w:r w:rsidR="004E3041">
        <w:t>configurations (HCP and VCP)</w:t>
      </w:r>
      <w:r w:rsidR="00012DD1">
        <w:t>?</w:t>
      </w:r>
    </w:p>
    <w:p w14:paraId="6E73E756" w14:textId="77777777" w:rsidR="00012DD1" w:rsidRDefault="00012DD1" w:rsidP="00B310B5"/>
    <w:p w14:paraId="6F7EC347" w14:textId="77777777" w:rsidR="00012DD1" w:rsidRDefault="00012DD1" w:rsidP="00B310B5"/>
    <w:p w14:paraId="6D167081" w14:textId="77777777" w:rsidR="00012DD1" w:rsidRDefault="00012DD1" w:rsidP="00B310B5"/>
    <w:p w14:paraId="10E6EC7E" w14:textId="77777777" w:rsidR="00012DD1" w:rsidRDefault="00012DD1" w:rsidP="00B310B5"/>
    <w:p w14:paraId="060B5958" w14:textId="77777777" w:rsidR="00012DD1" w:rsidRDefault="00012DD1" w:rsidP="00B310B5"/>
    <w:p w14:paraId="7C6F47F4" w14:textId="77777777" w:rsidR="00012DD1" w:rsidRDefault="00012DD1" w:rsidP="00B310B5"/>
    <w:p w14:paraId="54284451" w14:textId="77777777" w:rsidR="00012DD1" w:rsidRDefault="00012DD1" w:rsidP="00B310B5"/>
    <w:p w14:paraId="731C3BB9" w14:textId="2BF2E021" w:rsidR="00012DD1" w:rsidRDefault="000C36AB" w:rsidP="00012DD1">
      <w:r>
        <w:rPr>
          <w:b/>
        </w:rPr>
        <w:t>c</w:t>
      </w:r>
      <w:r w:rsidR="00012DD1" w:rsidRPr="00012DD1">
        <w:rPr>
          <w:b/>
        </w:rPr>
        <w:t>.</w:t>
      </w:r>
      <w:r w:rsidR="00012DD1">
        <w:t xml:space="preserve"> Now set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=0.01</m:t>
        </m:r>
      </m:oMath>
      <w:r w:rsidR="00012DD1">
        <w:t xml:space="preserve">, </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=0.1, and keep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=0.5, </m:t>
        </m:r>
        <m:sSub>
          <m:sSubPr>
            <m:ctrlPr>
              <w:rPr>
                <w:rFonts w:ascii="Cambria Math" w:hAnsi="Cambria Math"/>
                <w:i/>
              </w:rPr>
            </m:ctrlPr>
          </m:sSubPr>
          <m:e>
            <m:r>
              <w:rPr>
                <w:rFonts w:ascii="Cambria Math" w:hAnsi="Cambria Math"/>
              </w:rPr>
              <m:t>h</m:t>
            </m:r>
          </m:e>
          <m:sub>
            <m:r>
              <w:rPr>
                <w:rFonts w:ascii="Cambria Math" w:hAnsi="Cambria Math"/>
              </w:rPr>
              <m:t>boom</m:t>
            </m:r>
          </m:sub>
        </m:sSub>
        <m:r>
          <w:rPr>
            <w:rFonts w:ascii="Cambria Math" w:hAnsi="Cambria Math"/>
          </w:rPr>
          <m:t>=0</m:t>
        </m:r>
      </m:oMath>
      <w:r w:rsidR="00012DD1">
        <w:t xml:space="preserve">. What is the apparent conductivity for each of the boom </w:t>
      </w:r>
      <w:r w:rsidR="004E3041">
        <w:t>configurations (HCP and VCP)?</w:t>
      </w:r>
      <w:r w:rsidR="00012DD1">
        <w:t>?</w:t>
      </w:r>
    </w:p>
    <w:p w14:paraId="70D1A706" w14:textId="656F1F9A" w:rsidR="00012DD1" w:rsidRDefault="00012DD1" w:rsidP="00B310B5"/>
    <w:p w14:paraId="1D2C0DD0" w14:textId="77777777" w:rsidR="00012DD1" w:rsidRDefault="00012DD1" w:rsidP="00B310B5"/>
    <w:p w14:paraId="3E1AA3BA" w14:textId="77777777" w:rsidR="00012DD1" w:rsidRDefault="00012DD1" w:rsidP="00B310B5"/>
    <w:p w14:paraId="1F07F522" w14:textId="77777777" w:rsidR="00012DD1" w:rsidRDefault="00012DD1" w:rsidP="00B310B5"/>
    <w:p w14:paraId="0F53D5AC" w14:textId="77777777" w:rsidR="00012DD1" w:rsidRDefault="00012DD1" w:rsidP="00B310B5"/>
    <w:p w14:paraId="1E38E36E" w14:textId="77777777" w:rsidR="00012DD1" w:rsidRDefault="00012DD1" w:rsidP="00B310B5"/>
    <w:p w14:paraId="0779B26E" w14:textId="77777777" w:rsidR="00012DD1" w:rsidRDefault="00012DD1" w:rsidP="00B310B5"/>
    <w:p w14:paraId="03971C3C" w14:textId="55DC77AF" w:rsidR="00012DD1" w:rsidRDefault="000C36AB" w:rsidP="00B310B5">
      <w:r>
        <w:rPr>
          <w:b/>
        </w:rPr>
        <w:t>d</w:t>
      </w:r>
      <w:r w:rsidR="00012DD1" w:rsidRPr="00012DD1">
        <w:rPr>
          <w:b/>
        </w:rPr>
        <w:t>.</w:t>
      </w:r>
      <w:r w:rsidR="00012DD1">
        <w:t xml:space="preserve"> Set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=0.01</m:t>
        </m:r>
      </m:oMath>
      <w:r w:rsidR="00012DD1">
        <w:t xml:space="preserve">, </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=0.1</m:t>
        </m:r>
      </m:oMath>
      <w:r w:rsidR="00012DD1">
        <w:t xml:space="preserve"> and increase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012DD1">
        <w:t xml:space="preserve"> to 1.5. What are the apparent conductivities for each of the boom </w:t>
      </w:r>
      <w:r w:rsidR="004E3041">
        <w:t>configurations (HCP and VCP)</w:t>
      </w:r>
      <w:r w:rsidR="00012DD1">
        <w:t>?</w:t>
      </w:r>
    </w:p>
    <w:p w14:paraId="75C8A79F" w14:textId="77777777" w:rsidR="00012DD1" w:rsidRDefault="00012DD1" w:rsidP="00B310B5"/>
    <w:p w14:paraId="2DD36F01" w14:textId="77777777" w:rsidR="00012DD1" w:rsidRDefault="00012DD1" w:rsidP="00B310B5"/>
    <w:p w14:paraId="0C5EA2FB" w14:textId="77777777" w:rsidR="00012DD1" w:rsidRDefault="00012DD1" w:rsidP="00B310B5"/>
    <w:p w14:paraId="259F268A" w14:textId="77777777" w:rsidR="00012DD1" w:rsidRDefault="00012DD1" w:rsidP="00B310B5"/>
    <w:p w14:paraId="65964E2D" w14:textId="77777777" w:rsidR="00012DD1" w:rsidRDefault="00012DD1" w:rsidP="00B310B5"/>
    <w:p w14:paraId="52421094" w14:textId="77777777" w:rsidR="00012DD1" w:rsidRDefault="00012DD1" w:rsidP="00B310B5"/>
    <w:p w14:paraId="4B82DDC0" w14:textId="77777777" w:rsidR="00012DD1" w:rsidRDefault="00012DD1" w:rsidP="00B310B5"/>
    <w:p w14:paraId="7681DC5F" w14:textId="03AC6EA7" w:rsidR="00012DD1" w:rsidRDefault="000C36AB" w:rsidP="00B310B5">
      <w:r>
        <w:rPr>
          <w:b/>
        </w:rPr>
        <w:t>e</w:t>
      </w:r>
      <w:r w:rsidR="00012DD1" w:rsidRPr="00012DD1">
        <w:rPr>
          <w:b/>
        </w:rPr>
        <w:t>.</w:t>
      </w:r>
      <w:r w:rsidR="00012DD1">
        <w:t xml:space="preserve"> For the above examples, we observe that the </w:t>
      </w:r>
      <w:r w:rsidR="004E3041">
        <w:t>HCP and VCP configurations</w:t>
      </w:r>
      <w:r w:rsidR="00012DD1">
        <w:t xml:space="preserve"> give different apparent conductivities. How do you explain this?</w:t>
      </w:r>
    </w:p>
    <w:p w14:paraId="0F5F3A55" w14:textId="77777777" w:rsidR="00012DD1" w:rsidRDefault="00012DD1" w:rsidP="00B310B5"/>
    <w:p w14:paraId="534D8D71" w14:textId="77777777" w:rsidR="00012DD1" w:rsidRDefault="00012DD1" w:rsidP="00B310B5"/>
    <w:p w14:paraId="61381B97" w14:textId="77777777" w:rsidR="00012DD1" w:rsidRDefault="00012DD1" w:rsidP="00B310B5"/>
    <w:p w14:paraId="40874D24" w14:textId="77777777" w:rsidR="00012DD1" w:rsidRDefault="00012DD1" w:rsidP="00B310B5"/>
    <w:p w14:paraId="21A73D64" w14:textId="77777777" w:rsidR="00012DD1" w:rsidRDefault="00012DD1" w:rsidP="00B310B5"/>
    <w:p w14:paraId="27EADA9B" w14:textId="77777777" w:rsidR="00012DD1" w:rsidRDefault="00012DD1" w:rsidP="00B310B5"/>
    <w:p w14:paraId="77D12567" w14:textId="77777777" w:rsidR="00012DD1" w:rsidRDefault="00012DD1" w:rsidP="00B310B5"/>
    <w:p w14:paraId="2D94C9FE" w14:textId="5BBF5FA9" w:rsidR="00012DD1" w:rsidRDefault="000C36AB" w:rsidP="00B310B5">
      <w:r>
        <w:rPr>
          <w:b/>
        </w:rPr>
        <w:lastRenderedPageBreak/>
        <w:t>f</w:t>
      </w:r>
      <w:r w:rsidR="00012DD1" w:rsidRPr="00007F2F">
        <w:rPr>
          <w:b/>
        </w:rPr>
        <w:t>.</w:t>
      </w:r>
      <w:r w:rsidR="00012DD1">
        <w:t xml:space="preserve"> Using the response function diagrams, and the answers above, which </w:t>
      </w:r>
      <w:r w:rsidR="004E3041">
        <w:t>boom configuration</w:t>
      </w:r>
      <w:r w:rsidR="00007F2F">
        <w:t xml:space="preserve"> has greater depth of penetration? Which is more sensitive to near-surface layers? </w:t>
      </w:r>
    </w:p>
    <w:p w14:paraId="2356571A" w14:textId="77777777" w:rsidR="00012DD1" w:rsidRDefault="00012DD1" w:rsidP="00B310B5"/>
    <w:p w14:paraId="42583CD6" w14:textId="77777777" w:rsidR="00012DD1" w:rsidRDefault="00012DD1" w:rsidP="00B310B5"/>
    <w:p w14:paraId="0A2EA8FA" w14:textId="77777777" w:rsidR="00007F2F" w:rsidRDefault="00007F2F" w:rsidP="00B310B5"/>
    <w:p w14:paraId="3B1536B8" w14:textId="77777777" w:rsidR="00007F2F" w:rsidRDefault="00007F2F" w:rsidP="00B310B5"/>
    <w:p w14:paraId="0E1E4199" w14:textId="25AA0B38" w:rsidR="000C36AB" w:rsidRDefault="00007F2F" w:rsidP="00B310B5">
      <w:r w:rsidRPr="00856284">
        <w:rPr>
          <w:b/>
        </w:rPr>
        <w:t>Q</w:t>
      </w:r>
      <w:r w:rsidR="002B1B3D">
        <w:rPr>
          <w:b/>
        </w:rPr>
        <w:t>3</w:t>
      </w:r>
      <w:r w:rsidRPr="00856284">
        <w:rPr>
          <w:b/>
        </w:rPr>
        <w:t>.</w:t>
      </w:r>
      <w:r>
        <w:t xml:space="preserve"> </w:t>
      </w:r>
      <w:r w:rsidR="002B1B3D">
        <w:t xml:space="preserve">Using the </w:t>
      </w:r>
      <w:hyperlink r:id="rId8" w:history="1">
        <w:r w:rsidR="002B1B3D">
          <w:rPr>
            <w:rStyle w:val="Hyperlink"/>
            <w:rFonts w:cs="Times New Roman"/>
          </w:rPr>
          <w:t>app</w:t>
        </w:r>
      </w:hyperlink>
      <w:r w:rsidR="002B1B3D">
        <w:t>, answer following questions.</w:t>
      </w:r>
    </w:p>
    <w:p w14:paraId="7A709583" w14:textId="20D7CD18" w:rsidR="00007F2F" w:rsidRDefault="002B1B3D" w:rsidP="002B1B3D">
      <w:r w:rsidRPr="002B1B3D">
        <w:rPr>
          <w:b/>
        </w:rPr>
        <w:t xml:space="preserve">a. </w:t>
      </w:r>
      <w:r w:rsidR="00007F2F">
        <w:t xml:space="preserve">Set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σ</m:t>
            </m:r>
          </m:e>
          <m:sub>
            <m:r>
              <w:rPr>
                <w:rFonts w:ascii="Cambria Math" w:hAnsi="Cambria Math"/>
              </w:rPr>
              <m:t>2</m:t>
            </m:r>
          </m:sub>
        </m:sSub>
        <m:r>
          <w:rPr>
            <w:rFonts w:ascii="Cambria Math" w:hAnsi="Cambria Math"/>
          </w:rPr>
          <m:t>=0.1</m:t>
        </m:r>
      </m:oMath>
      <w:r w:rsidR="00007F2F">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00007F2F">
        <w:t>0.</w:t>
      </w:r>
      <w:r w:rsidR="000C36AB">
        <w:t>5</w:t>
      </w:r>
      <w:r w:rsidR="00007F2F">
        <w:t xml:space="preserve">. Now raise the boom height, </w:t>
      </w:r>
      <m:oMath>
        <m:sSub>
          <m:sSubPr>
            <m:ctrlPr>
              <w:rPr>
                <w:rFonts w:ascii="Cambria Math" w:hAnsi="Cambria Math"/>
                <w:i/>
              </w:rPr>
            </m:ctrlPr>
          </m:sSubPr>
          <m:e>
            <m:r>
              <w:rPr>
                <w:rFonts w:ascii="Cambria Math" w:hAnsi="Cambria Math"/>
              </w:rPr>
              <m:t>h</m:t>
            </m:r>
          </m:e>
          <m:sub>
            <m:r>
              <w:rPr>
                <w:rFonts w:ascii="Cambria Math" w:hAnsi="Cambria Math"/>
              </w:rPr>
              <m:t>boom</m:t>
            </m:r>
          </m:sub>
        </m:sSub>
      </m:oMath>
      <w:r w:rsidR="00007F2F">
        <w:t xml:space="preserve">. </w:t>
      </w:r>
      <w:r w:rsidR="00F61B40">
        <w:t xml:space="preserve">First, </w:t>
      </w:r>
      <w:r w:rsidR="00007F2F">
        <w:t xml:space="preserve"> look at the </w:t>
      </w:r>
      <w:r w:rsidR="004E3041">
        <w:t>HCP</w:t>
      </w:r>
      <w:r w:rsidR="00007F2F">
        <w:t xml:space="preserve"> </w:t>
      </w:r>
      <w:r w:rsidR="004E3041">
        <w:t>configuration</w:t>
      </w:r>
      <w:r w:rsidR="00F61B40">
        <w:t xml:space="preserve">. </w:t>
      </w:r>
      <w:r w:rsidR="00007F2F">
        <w:t>How does the apparent conductivity change?</w:t>
      </w:r>
    </w:p>
    <w:p w14:paraId="755C3768" w14:textId="77777777" w:rsidR="00007F2F" w:rsidRDefault="00007F2F" w:rsidP="00B310B5"/>
    <w:tbl>
      <w:tblPr>
        <w:tblStyle w:val="TableGrid"/>
        <w:tblW w:w="0" w:type="auto"/>
        <w:jc w:val="center"/>
        <w:tblLook w:val="04A0" w:firstRow="1" w:lastRow="0" w:firstColumn="1" w:lastColumn="0" w:noHBand="0" w:noVBand="1"/>
      </w:tblPr>
      <w:tblGrid>
        <w:gridCol w:w="2214"/>
        <w:gridCol w:w="2214"/>
      </w:tblGrid>
      <w:tr w:rsidR="002B1B3D" w14:paraId="279AD73C" w14:textId="77777777" w:rsidTr="002B1B3D">
        <w:trPr>
          <w:jc w:val="center"/>
        </w:trPr>
        <w:tc>
          <w:tcPr>
            <w:tcW w:w="2214" w:type="dxa"/>
          </w:tcPr>
          <w:p w14:paraId="519904B1" w14:textId="1BDDC281" w:rsidR="002B1B3D" w:rsidRDefault="00F61B40" w:rsidP="002B1B3D">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boom</m:t>
                    </m:r>
                  </m:sub>
                </m:sSub>
              </m:oMath>
            </m:oMathPara>
          </w:p>
        </w:tc>
        <w:tc>
          <w:tcPr>
            <w:tcW w:w="2214" w:type="dxa"/>
          </w:tcPr>
          <w:p w14:paraId="7655CAEC" w14:textId="04AFA5F3" w:rsidR="002B1B3D" w:rsidRDefault="00F61B40" w:rsidP="002B1B3D">
            <w:pPr>
              <w:jc w:val="center"/>
            </w:pPr>
            <m:oMathPara>
              <m:oMath>
                <m:sSub>
                  <m:sSubPr>
                    <m:ctrlPr>
                      <w:rPr>
                        <w:rFonts w:ascii="Cambria Math" w:hAnsi="Cambria Math"/>
                        <w:i/>
                      </w:rPr>
                    </m:ctrlPr>
                  </m:sSubPr>
                  <m:e>
                    <m:r>
                      <w:rPr>
                        <w:rFonts w:ascii="Cambria Math" w:hAnsi="Cambria Math"/>
                      </w:rPr>
                      <m:t>σ</m:t>
                    </m:r>
                  </m:e>
                  <m:sub>
                    <m:r>
                      <w:rPr>
                        <w:rFonts w:ascii="Cambria Math" w:hAnsi="Cambria Math"/>
                      </w:rPr>
                      <m:t>a</m:t>
                    </m:r>
                  </m:sub>
                </m:sSub>
              </m:oMath>
            </m:oMathPara>
          </w:p>
        </w:tc>
      </w:tr>
      <w:tr w:rsidR="002B1B3D" w14:paraId="27F9F18D" w14:textId="77777777" w:rsidTr="002B1B3D">
        <w:trPr>
          <w:jc w:val="center"/>
        </w:trPr>
        <w:tc>
          <w:tcPr>
            <w:tcW w:w="2214" w:type="dxa"/>
          </w:tcPr>
          <w:p w14:paraId="7A3FEB97" w14:textId="53E688D2" w:rsidR="002B1B3D" w:rsidRDefault="002B1B3D" w:rsidP="002B1B3D">
            <w:pPr>
              <w:jc w:val="center"/>
            </w:pPr>
            <w:r>
              <w:t>0</w:t>
            </w:r>
          </w:p>
        </w:tc>
        <w:tc>
          <w:tcPr>
            <w:tcW w:w="2214" w:type="dxa"/>
          </w:tcPr>
          <w:p w14:paraId="013DF50C" w14:textId="77777777" w:rsidR="002B1B3D" w:rsidRDefault="002B1B3D" w:rsidP="002B1B3D">
            <w:pPr>
              <w:jc w:val="center"/>
            </w:pPr>
          </w:p>
        </w:tc>
      </w:tr>
      <w:tr w:rsidR="002B1B3D" w14:paraId="24127E6A" w14:textId="77777777" w:rsidTr="002B1B3D">
        <w:trPr>
          <w:jc w:val="center"/>
        </w:trPr>
        <w:tc>
          <w:tcPr>
            <w:tcW w:w="2214" w:type="dxa"/>
          </w:tcPr>
          <w:p w14:paraId="3AB484EA" w14:textId="195E6E8D" w:rsidR="002B1B3D" w:rsidRDefault="002B1B3D" w:rsidP="002B1B3D">
            <w:pPr>
              <w:jc w:val="center"/>
            </w:pPr>
            <w:r>
              <w:t>.5</w:t>
            </w:r>
          </w:p>
        </w:tc>
        <w:tc>
          <w:tcPr>
            <w:tcW w:w="2214" w:type="dxa"/>
          </w:tcPr>
          <w:p w14:paraId="3A5BE4EB" w14:textId="77777777" w:rsidR="002B1B3D" w:rsidRDefault="002B1B3D" w:rsidP="002B1B3D">
            <w:pPr>
              <w:jc w:val="center"/>
            </w:pPr>
          </w:p>
        </w:tc>
      </w:tr>
      <w:tr w:rsidR="002B1B3D" w14:paraId="1AC1A83A" w14:textId="77777777" w:rsidTr="002B1B3D">
        <w:trPr>
          <w:jc w:val="center"/>
        </w:trPr>
        <w:tc>
          <w:tcPr>
            <w:tcW w:w="2214" w:type="dxa"/>
          </w:tcPr>
          <w:p w14:paraId="7488717C" w14:textId="6608CFEF" w:rsidR="002B1B3D" w:rsidRDefault="002B1B3D" w:rsidP="002B1B3D">
            <w:pPr>
              <w:jc w:val="center"/>
            </w:pPr>
            <w:r>
              <w:t>1.0</w:t>
            </w:r>
          </w:p>
        </w:tc>
        <w:tc>
          <w:tcPr>
            <w:tcW w:w="2214" w:type="dxa"/>
          </w:tcPr>
          <w:p w14:paraId="31769F1A" w14:textId="77777777" w:rsidR="002B1B3D" w:rsidRDefault="002B1B3D" w:rsidP="002B1B3D">
            <w:pPr>
              <w:jc w:val="center"/>
            </w:pPr>
          </w:p>
        </w:tc>
      </w:tr>
      <w:tr w:rsidR="002B1B3D" w14:paraId="1D427F55" w14:textId="77777777" w:rsidTr="002B1B3D">
        <w:trPr>
          <w:jc w:val="center"/>
        </w:trPr>
        <w:tc>
          <w:tcPr>
            <w:tcW w:w="2214" w:type="dxa"/>
          </w:tcPr>
          <w:p w14:paraId="125F7FBB" w14:textId="4A84C7E2" w:rsidR="002B1B3D" w:rsidRDefault="002B1B3D" w:rsidP="002B1B3D">
            <w:pPr>
              <w:jc w:val="center"/>
            </w:pPr>
            <w:r>
              <w:t>2.0</w:t>
            </w:r>
          </w:p>
        </w:tc>
        <w:tc>
          <w:tcPr>
            <w:tcW w:w="2214" w:type="dxa"/>
          </w:tcPr>
          <w:p w14:paraId="74B3E76C" w14:textId="77777777" w:rsidR="002B1B3D" w:rsidRDefault="002B1B3D" w:rsidP="002B1B3D">
            <w:pPr>
              <w:jc w:val="center"/>
            </w:pPr>
          </w:p>
        </w:tc>
      </w:tr>
      <w:tr w:rsidR="002B1B3D" w14:paraId="650EAEE5" w14:textId="77777777" w:rsidTr="002B1B3D">
        <w:trPr>
          <w:jc w:val="center"/>
        </w:trPr>
        <w:tc>
          <w:tcPr>
            <w:tcW w:w="2214" w:type="dxa"/>
          </w:tcPr>
          <w:p w14:paraId="1B1B948E" w14:textId="3E5014B6" w:rsidR="002B1B3D" w:rsidRDefault="002B1B3D" w:rsidP="002B1B3D">
            <w:pPr>
              <w:jc w:val="center"/>
            </w:pPr>
            <w:r>
              <w:t>3.0</w:t>
            </w:r>
          </w:p>
        </w:tc>
        <w:tc>
          <w:tcPr>
            <w:tcW w:w="2214" w:type="dxa"/>
          </w:tcPr>
          <w:p w14:paraId="0C1ED9AA" w14:textId="77777777" w:rsidR="002B1B3D" w:rsidRDefault="002B1B3D" w:rsidP="002B1B3D">
            <w:pPr>
              <w:jc w:val="center"/>
            </w:pPr>
          </w:p>
        </w:tc>
      </w:tr>
    </w:tbl>
    <w:p w14:paraId="74255731" w14:textId="77777777" w:rsidR="00007F2F" w:rsidRDefault="00007F2F" w:rsidP="00B310B5"/>
    <w:p w14:paraId="578EF001" w14:textId="77777777" w:rsidR="00007F2F" w:rsidRDefault="00007F2F" w:rsidP="00B310B5"/>
    <w:p w14:paraId="219A4449" w14:textId="77777777" w:rsidR="00007F2F" w:rsidRDefault="00007F2F" w:rsidP="00B310B5"/>
    <w:p w14:paraId="363A69E7" w14:textId="77777777" w:rsidR="00007F2F" w:rsidRDefault="00007F2F" w:rsidP="00B310B5"/>
    <w:p w14:paraId="6B913E91" w14:textId="11E3D72E" w:rsidR="000C36AB" w:rsidRDefault="000C36AB" w:rsidP="000C36AB">
      <w:r>
        <w:rPr>
          <w:b/>
        </w:rPr>
        <w:t xml:space="preserve">b. </w:t>
      </w:r>
      <w:r>
        <w:t xml:space="preserve">Set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=0.01, </m:t>
        </m:r>
        <m:sSub>
          <m:sSubPr>
            <m:ctrlPr>
              <w:rPr>
                <w:rFonts w:ascii="Cambria Math" w:hAnsi="Cambria Math"/>
                <w:i/>
              </w:rPr>
            </m:ctrlPr>
          </m:sSubPr>
          <m:e>
            <m:r>
              <w:rPr>
                <w:rFonts w:ascii="Cambria Math" w:hAnsi="Cambria Math"/>
              </w:rPr>
              <m:t xml:space="preserve"> σ</m:t>
            </m:r>
          </m:e>
          <m:sub>
            <m:r>
              <w:rPr>
                <w:rFonts w:ascii="Cambria Math" w:hAnsi="Cambria Math"/>
              </w:rPr>
              <m:t>2</m:t>
            </m:r>
          </m:sub>
        </m:sSub>
        <m:r>
          <w:rPr>
            <w:rFonts w:ascii="Cambria Math" w:hAnsi="Cambria Math"/>
          </w:rPr>
          <m:t>=0.1</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t xml:space="preserve">0.5. Now raise the boom height, </w:t>
      </w:r>
      <m:oMath>
        <m:sSub>
          <m:sSubPr>
            <m:ctrlPr>
              <w:rPr>
                <w:rFonts w:ascii="Cambria Math" w:hAnsi="Cambria Math"/>
                <w:i/>
              </w:rPr>
            </m:ctrlPr>
          </m:sSubPr>
          <m:e>
            <m:r>
              <w:rPr>
                <w:rFonts w:ascii="Cambria Math" w:hAnsi="Cambria Math"/>
              </w:rPr>
              <m:t>h</m:t>
            </m:r>
          </m:e>
          <m:sub>
            <m:r>
              <w:rPr>
                <w:rFonts w:ascii="Cambria Math" w:hAnsi="Cambria Math"/>
              </w:rPr>
              <m:t>boom</m:t>
            </m:r>
          </m:sub>
        </m:sSub>
      </m:oMath>
      <w:r>
        <w:t xml:space="preserve">. </w:t>
      </w:r>
      <w:r w:rsidR="00F61B40">
        <w:t>Look at the</w:t>
      </w:r>
      <w:r>
        <w:t xml:space="preserve"> </w:t>
      </w:r>
      <w:r w:rsidR="004E3041">
        <w:t>VCP configuration</w:t>
      </w:r>
      <w:r>
        <w:t>. How does the apparent conductivity change?</w:t>
      </w:r>
    </w:p>
    <w:p w14:paraId="79FDA465" w14:textId="77777777" w:rsidR="00007F2F" w:rsidRDefault="00007F2F" w:rsidP="00B310B5"/>
    <w:p w14:paraId="630DBF15" w14:textId="77777777" w:rsidR="000C36AB" w:rsidRDefault="000C36AB" w:rsidP="000C36AB"/>
    <w:tbl>
      <w:tblPr>
        <w:tblStyle w:val="TableGrid"/>
        <w:tblW w:w="0" w:type="auto"/>
        <w:jc w:val="center"/>
        <w:tblLook w:val="04A0" w:firstRow="1" w:lastRow="0" w:firstColumn="1" w:lastColumn="0" w:noHBand="0" w:noVBand="1"/>
      </w:tblPr>
      <w:tblGrid>
        <w:gridCol w:w="2214"/>
        <w:gridCol w:w="2214"/>
      </w:tblGrid>
      <w:tr w:rsidR="002B1B3D" w14:paraId="444FDEFD" w14:textId="77777777" w:rsidTr="002B1B3D">
        <w:trPr>
          <w:jc w:val="center"/>
        </w:trPr>
        <w:tc>
          <w:tcPr>
            <w:tcW w:w="2214" w:type="dxa"/>
          </w:tcPr>
          <w:p w14:paraId="21687128" w14:textId="0FD0C36F" w:rsidR="002B1B3D" w:rsidRDefault="00F61B40" w:rsidP="002B1B3D">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boom</m:t>
                    </m:r>
                  </m:sub>
                </m:sSub>
              </m:oMath>
            </m:oMathPara>
          </w:p>
        </w:tc>
        <w:tc>
          <w:tcPr>
            <w:tcW w:w="2214" w:type="dxa"/>
          </w:tcPr>
          <w:p w14:paraId="3EC9CDEB" w14:textId="253969AB" w:rsidR="002B1B3D" w:rsidRDefault="00F61B40" w:rsidP="002B1B3D">
            <w:pPr>
              <w:jc w:val="center"/>
            </w:pPr>
            <m:oMathPara>
              <m:oMath>
                <m:sSub>
                  <m:sSubPr>
                    <m:ctrlPr>
                      <w:rPr>
                        <w:rFonts w:ascii="Cambria Math" w:hAnsi="Cambria Math"/>
                        <w:i/>
                      </w:rPr>
                    </m:ctrlPr>
                  </m:sSubPr>
                  <m:e>
                    <m:r>
                      <w:rPr>
                        <w:rFonts w:ascii="Cambria Math" w:hAnsi="Cambria Math"/>
                      </w:rPr>
                      <m:t>σ</m:t>
                    </m:r>
                  </m:e>
                  <m:sub>
                    <m:r>
                      <w:rPr>
                        <w:rFonts w:ascii="Cambria Math" w:hAnsi="Cambria Math"/>
                      </w:rPr>
                      <m:t>a</m:t>
                    </m:r>
                  </m:sub>
                </m:sSub>
              </m:oMath>
            </m:oMathPara>
          </w:p>
        </w:tc>
      </w:tr>
      <w:tr w:rsidR="002B1B3D" w14:paraId="39FE3673" w14:textId="77777777" w:rsidTr="002B1B3D">
        <w:trPr>
          <w:jc w:val="center"/>
        </w:trPr>
        <w:tc>
          <w:tcPr>
            <w:tcW w:w="2214" w:type="dxa"/>
          </w:tcPr>
          <w:p w14:paraId="472A77C3" w14:textId="77777777" w:rsidR="002B1B3D" w:rsidRDefault="002B1B3D" w:rsidP="002B1B3D">
            <w:pPr>
              <w:jc w:val="center"/>
            </w:pPr>
            <w:r>
              <w:t>0</w:t>
            </w:r>
          </w:p>
        </w:tc>
        <w:tc>
          <w:tcPr>
            <w:tcW w:w="2214" w:type="dxa"/>
          </w:tcPr>
          <w:p w14:paraId="4341443D" w14:textId="77777777" w:rsidR="002B1B3D" w:rsidRDefault="002B1B3D" w:rsidP="002B1B3D">
            <w:pPr>
              <w:jc w:val="center"/>
            </w:pPr>
          </w:p>
        </w:tc>
      </w:tr>
      <w:tr w:rsidR="002B1B3D" w14:paraId="76B0E2EF" w14:textId="77777777" w:rsidTr="002B1B3D">
        <w:trPr>
          <w:jc w:val="center"/>
        </w:trPr>
        <w:tc>
          <w:tcPr>
            <w:tcW w:w="2214" w:type="dxa"/>
          </w:tcPr>
          <w:p w14:paraId="687BBB68" w14:textId="77777777" w:rsidR="002B1B3D" w:rsidRDefault="002B1B3D" w:rsidP="002B1B3D">
            <w:pPr>
              <w:jc w:val="center"/>
            </w:pPr>
            <w:r>
              <w:t>.5</w:t>
            </w:r>
          </w:p>
        </w:tc>
        <w:tc>
          <w:tcPr>
            <w:tcW w:w="2214" w:type="dxa"/>
          </w:tcPr>
          <w:p w14:paraId="6DD1789E" w14:textId="77777777" w:rsidR="002B1B3D" w:rsidRDefault="002B1B3D" w:rsidP="002B1B3D">
            <w:pPr>
              <w:jc w:val="center"/>
            </w:pPr>
          </w:p>
        </w:tc>
      </w:tr>
      <w:tr w:rsidR="002B1B3D" w14:paraId="3F676484" w14:textId="77777777" w:rsidTr="002B1B3D">
        <w:trPr>
          <w:jc w:val="center"/>
        </w:trPr>
        <w:tc>
          <w:tcPr>
            <w:tcW w:w="2214" w:type="dxa"/>
          </w:tcPr>
          <w:p w14:paraId="7AFEDE6F" w14:textId="77777777" w:rsidR="002B1B3D" w:rsidRDefault="002B1B3D" w:rsidP="002B1B3D">
            <w:pPr>
              <w:jc w:val="center"/>
            </w:pPr>
            <w:r>
              <w:t>1.0</w:t>
            </w:r>
          </w:p>
        </w:tc>
        <w:tc>
          <w:tcPr>
            <w:tcW w:w="2214" w:type="dxa"/>
          </w:tcPr>
          <w:p w14:paraId="1EA85305" w14:textId="77777777" w:rsidR="002B1B3D" w:rsidRDefault="002B1B3D" w:rsidP="002B1B3D">
            <w:pPr>
              <w:jc w:val="center"/>
            </w:pPr>
          </w:p>
        </w:tc>
      </w:tr>
      <w:tr w:rsidR="002B1B3D" w14:paraId="4F250BD6" w14:textId="77777777" w:rsidTr="002B1B3D">
        <w:trPr>
          <w:jc w:val="center"/>
        </w:trPr>
        <w:tc>
          <w:tcPr>
            <w:tcW w:w="2214" w:type="dxa"/>
          </w:tcPr>
          <w:p w14:paraId="7C87EDC5" w14:textId="77777777" w:rsidR="002B1B3D" w:rsidRDefault="002B1B3D" w:rsidP="002B1B3D">
            <w:pPr>
              <w:jc w:val="center"/>
            </w:pPr>
            <w:r>
              <w:t>2.0</w:t>
            </w:r>
          </w:p>
        </w:tc>
        <w:tc>
          <w:tcPr>
            <w:tcW w:w="2214" w:type="dxa"/>
          </w:tcPr>
          <w:p w14:paraId="05B9AC42" w14:textId="77777777" w:rsidR="002B1B3D" w:rsidRDefault="002B1B3D" w:rsidP="002B1B3D">
            <w:pPr>
              <w:jc w:val="center"/>
            </w:pPr>
          </w:p>
        </w:tc>
      </w:tr>
      <w:tr w:rsidR="002B1B3D" w14:paraId="1F9C16DA" w14:textId="77777777" w:rsidTr="002B1B3D">
        <w:trPr>
          <w:jc w:val="center"/>
        </w:trPr>
        <w:tc>
          <w:tcPr>
            <w:tcW w:w="2214" w:type="dxa"/>
          </w:tcPr>
          <w:p w14:paraId="5B43EF27" w14:textId="77777777" w:rsidR="002B1B3D" w:rsidRDefault="002B1B3D" w:rsidP="002B1B3D">
            <w:pPr>
              <w:jc w:val="center"/>
            </w:pPr>
            <w:r>
              <w:t>3.0</w:t>
            </w:r>
          </w:p>
        </w:tc>
        <w:tc>
          <w:tcPr>
            <w:tcW w:w="2214" w:type="dxa"/>
          </w:tcPr>
          <w:p w14:paraId="583A7FE9" w14:textId="77777777" w:rsidR="002B1B3D" w:rsidRDefault="002B1B3D" w:rsidP="002B1B3D">
            <w:pPr>
              <w:jc w:val="center"/>
            </w:pPr>
          </w:p>
        </w:tc>
      </w:tr>
    </w:tbl>
    <w:p w14:paraId="65DE2653" w14:textId="77777777" w:rsidR="000C36AB" w:rsidRDefault="000C36AB" w:rsidP="000C36AB"/>
    <w:p w14:paraId="1298C2F6" w14:textId="77777777" w:rsidR="00007F2F" w:rsidRDefault="00007F2F" w:rsidP="00B310B5"/>
    <w:p w14:paraId="0FC926B9" w14:textId="77777777" w:rsidR="00007F2F" w:rsidRPr="00602261" w:rsidRDefault="00007F2F" w:rsidP="00B310B5">
      <w:bookmarkStart w:id="0" w:name="_GoBack"/>
      <w:bookmarkEnd w:id="0"/>
    </w:p>
    <w:p w14:paraId="5D7F6AAB" w14:textId="29AEC116" w:rsidR="001A66D4" w:rsidRPr="000C36AB" w:rsidRDefault="00CA3243" w:rsidP="001A66D4">
      <w:pPr>
        <w:pStyle w:val="Heading2"/>
        <w:rPr>
          <w:sz w:val="32"/>
          <w:szCs w:val="32"/>
        </w:rPr>
      </w:pPr>
      <w:r w:rsidRPr="000C36AB">
        <w:rPr>
          <w:sz w:val="32"/>
          <w:szCs w:val="32"/>
        </w:rPr>
        <w:t>Expo Site EM-31 data maps</w:t>
      </w:r>
    </w:p>
    <w:p w14:paraId="158EFDE4" w14:textId="77777777" w:rsidR="00CA3243" w:rsidRDefault="00CA3243" w:rsidP="00CA3243"/>
    <w:p w14:paraId="24207318" w14:textId="69CB0E14" w:rsidR="00E717EB" w:rsidRDefault="00E717EB" w:rsidP="00CA3243">
      <w:r>
        <w:t>EM-31 data are measured on a 2m-spacing grid with the boom about 1 m above the surface. At each station, in-phase and quadrature components of Hs/</w:t>
      </w:r>
      <w:proofErr w:type="spellStart"/>
      <w:r>
        <w:t>Hp</w:t>
      </w:r>
      <w:proofErr w:type="spellEnd"/>
      <w:r>
        <w:t xml:space="preserve"> (%) are recorded for EW and NS boom orientations, resulting in four maps as shown below.</w:t>
      </w:r>
    </w:p>
    <w:p w14:paraId="0BEC264E" w14:textId="20DB1797" w:rsidR="00E717EB" w:rsidRDefault="00E717EB" w:rsidP="00E717EB">
      <w:pPr>
        <w:jc w:val="center"/>
      </w:pPr>
      <w:r>
        <w:rPr>
          <w:noProof/>
        </w:rPr>
        <w:lastRenderedPageBreak/>
        <w:drawing>
          <wp:inline distT="0" distB="0" distL="0" distR="0" wp14:anchorId="1024AF42" wp14:editId="1D7C5984">
            <wp:extent cx="3898801" cy="2218663"/>
            <wp:effectExtent l="0" t="0" r="0" b="0"/>
            <wp:docPr id="8" name="Picture 8" descr="Macintosh HD:Users:Dikun:Dropbox (Personal):People:EOSC350:2016:5_EM:Lab7:Figures:em31-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ikun:Dropbox (Personal):People:EOSC350:2016:5_EM:Lab7:Figures:em31-fj.jpg"/>
                    <pic:cNvPicPr>
                      <a:picLocks noChangeAspect="1" noChangeArrowheads="1"/>
                    </pic:cNvPicPr>
                  </pic:nvPicPr>
                  <pic:blipFill rotWithShape="1">
                    <a:blip r:embed="rId9">
                      <a:extLst>
                        <a:ext uri="{28A0092B-C50C-407E-A947-70E740481C1C}">
                          <a14:useLocalDpi xmlns:a14="http://schemas.microsoft.com/office/drawing/2010/main" val="0"/>
                        </a:ext>
                      </a:extLst>
                    </a:blip>
                    <a:srcRect t="-4582" b="-2"/>
                    <a:stretch/>
                  </pic:blipFill>
                  <pic:spPr bwMode="auto">
                    <a:xfrm>
                      <a:off x="0" y="0"/>
                      <a:ext cx="3904091" cy="2221674"/>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88FEA03" w14:textId="77777777" w:rsidR="00007F2F" w:rsidRDefault="00007F2F" w:rsidP="00E717EB">
      <w:pPr>
        <w:jc w:val="center"/>
      </w:pPr>
    </w:p>
    <w:p w14:paraId="68A3375D" w14:textId="77777777" w:rsidR="00007F2F" w:rsidRPr="00CA3243" w:rsidRDefault="00007F2F" w:rsidP="00E717EB">
      <w:pPr>
        <w:jc w:val="center"/>
      </w:pPr>
    </w:p>
    <w:p w14:paraId="4BBBEAB3" w14:textId="4D335877" w:rsidR="00DF5BD8" w:rsidRDefault="00CA3243" w:rsidP="001A66D4">
      <w:r>
        <w:rPr>
          <w:noProof/>
        </w:rPr>
        <w:drawing>
          <wp:inline distT="0" distB="0" distL="0" distR="0" wp14:anchorId="1762AA4E" wp14:editId="454CFD06">
            <wp:extent cx="2682234" cy="2400300"/>
            <wp:effectExtent l="0" t="0" r="10795" b="0"/>
            <wp:docPr id="1" name="Picture 1" descr="Macintosh HD:Users:Dikun:Dropbox (Personal):People:EOSC350:2016:5_EM:Lab8:Figures:inphase_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ikun:Dropbox (Personal):People:EOSC350:2016:5_EM:Lab8:Figures:inphase_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396" cy="2400445"/>
                    </a:xfrm>
                    <a:prstGeom prst="rect">
                      <a:avLst/>
                    </a:prstGeom>
                    <a:noFill/>
                    <a:ln>
                      <a:noFill/>
                    </a:ln>
                  </pic:spPr>
                </pic:pic>
              </a:graphicData>
            </a:graphic>
          </wp:inline>
        </w:drawing>
      </w:r>
      <w:r>
        <w:rPr>
          <w:noProof/>
        </w:rPr>
        <w:drawing>
          <wp:inline distT="0" distB="0" distL="0" distR="0" wp14:anchorId="5705DFDD" wp14:editId="1A1CD35B">
            <wp:extent cx="2679517" cy="2397868"/>
            <wp:effectExtent l="0" t="0" r="0" b="0"/>
            <wp:docPr id="2" name="Picture 2" descr="Macintosh HD:Users:Dikun:Dropbox (Personal):People:EOSC350:2016:5_EM:Lab8:Figures:inphase_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ikun:Dropbox (Personal):People:EOSC350:2016:5_EM:Lab8:Figures:inphase_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865" cy="2398179"/>
                    </a:xfrm>
                    <a:prstGeom prst="rect">
                      <a:avLst/>
                    </a:prstGeom>
                    <a:noFill/>
                    <a:ln>
                      <a:noFill/>
                    </a:ln>
                  </pic:spPr>
                </pic:pic>
              </a:graphicData>
            </a:graphic>
          </wp:inline>
        </w:drawing>
      </w:r>
    </w:p>
    <w:p w14:paraId="5EE4F9A3" w14:textId="77777777" w:rsidR="00CA3243" w:rsidRDefault="00CA3243" w:rsidP="001A66D4"/>
    <w:p w14:paraId="1149C92B" w14:textId="58E7BAF5" w:rsidR="00CA3243" w:rsidRDefault="00CA3243" w:rsidP="001A66D4">
      <w:r>
        <w:rPr>
          <w:noProof/>
        </w:rPr>
        <w:drawing>
          <wp:inline distT="0" distB="0" distL="0" distR="0" wp14:anchorId="4F23ECBB" wp14:editId="0FD7CAB8">
            <wp:extent cx="2705996" cy="2274138"/>
            <wp:effectExtent l="0" t="0" r="12065" b="12065"/>
            <wp:docPr id="3" name="Picture 3" descr="Macintosh HD:Users:Dikun:Dropbox (Personal):People:EOSC350:2016:5_EM:Lab8:Figures:outofphase_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ikun:Dropbox (Personal):People:EOSC350:2016:5_EM:Lab8:Figures:outofphase_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996" cy="2274138"/>
                    </a:xfrm>
                    <a:prstGeom prst="rect">
                      <a:avLst/>
                    </a:prstGeom>
                    <a:noFill/>
                    <a:ln>
                      <a:noFill/>
                    </a:ln>
                  </pic:spPr>
                </pic:pic>
              </a:graphicData>
            </a:graphic>
          </wp:inline>
        </w:drawing>
      </w:r>
      <w:r>
        <w:rPr>
          <w:noProof/>
        </w:rPr>
        <w:drawing>
          <wp:inline distT="0" distB="0" distL="0" distR="0" wp14:anchorId="27223EB6" wp14:editId="311410B3">
            <wp:extent cx="2696095" cy="2285892"/>
            <wp:effectExtent l="0" t="0" r="0" b="635"/>
            <wp:docPr id="4" name="Picture 4" descr="Macintosh HD:Users:Dikun:Dropbox (Personal):People:EOSC350:2016:5_EM:Lab8:Figures:outofphase_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ikun:Dropbox (Personal):People:EOSC350:2016:5_EM:Lab8:Figures:outofphase_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6095" cy="2285892"/>
                    </a:xfrm>
                    <a:prstGeom prst="rect">
                      <a:avLst/>
                    </a:prstGeom>
                    <a:noFill/>
                    <a:ln>
                      <a:noFill/>
                    </a:ln>
                  </pic:spPr>
                </pic:pic>
              </a:graphicData>
            </a:graphic>
          </wp:inline>
        </w:drawing>
      </w:r>
    </w:p>
    <w:p w14:paraId="69D1615E" w14:textId="77777777" w:rsidR="00CA3243" w:rsidRDefault="00CA3243" w:rsidP="001A66D4"/>
    <w:p w14:paraId="209131C9" w14:textId="4A941CB9" w:rsidR="00CA3243" w:rsidRDefault="00E717EB" w:rsidP="001A66D4">
      <w:r>
        <w:t>The quadrature data are then converted to apparent conductivity maps</w:t>
      </w:r>
      <w:r w:rsidR="002C3C6B">
        <w:t xml:space="preserve">. Apparent conductivity can be a good representation of the ground conductivity if </w:t>
      </w:r>
      <w:r>
        <w:t xml:space="preserve">the earth is uniform and the </w:t>
      </w:r>
      <w:r w:rsidR="00EC292C">
        <w:t>Tx-Rx separation is much less than the skin depth</w:t>
      </w:r>
      <w:r w:rsidR="001E0C92">
        <w:t xml:space="preserve"> (s &lt;&lt; </w:t>
      </w:r>
      <m:oMath>
        <m:r>
          <w:rPr>
            <w:rFonts w:ascii="Cambria Math" w:hAnsi="Cambria Math"/>
          </w:rPr>
          <m:t>δ</m:t>
        </m:r>
      </m:oMath>
      <w:r w:rsidR="001E0C92">
        <w:t>)</w:t>
      </w:r>
      <w:r>
        <w:t>.</w:t>
      </w:r>
    </w:p>
    <w:p w14:paraId="4682EE53" w14:textId="77777777" w:rsidR="00E717EB" w:rsidRDefault="00E717EB" w:rsidP="001A66D4"/>
    <w:p w14:paraId="3B815141" w14:textId="2E502E34" w:rsidR="009A07E0" w:rsidRDefault="00CA3243" w:rsidP="009A07E0">
      <w:r>
        <w:rPr>
          <w:noProof/>
        </w:rPr>
        <w:drawing>
          <wp:inline distT="0" distB="0" distL="0" distR="0" wp14:anchorId="29652186" wp14:editId="48D11A24">
            <wp:extent cx="2738336" cy="2307835"/>
            <wp:effectExtent l="0" t="0" r="5080" b="3810"/>
            <wp:docPr id="5" name="Picture 5" descr="Macintosh HD:Users:Dikun:Dropbox (Personal):People:EOSC350:2016:5_EM:Lab8:Figures:fi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ikun:Dropbox (Personal):People:EOSC350:2016:5_EM:Lab8:Figures:fig1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8336" cy="2307835"/>
                    </a:xfrm>
                    <a:prstGeom prst="rect">
                      <a:avLst/>
                    </a:prstGeom>
                    <a:noFill/>
                    <a:ln>
                      <a:noFill/>
                    </a:ln>
                  </pic:spPr>
                </pic:pic>
              </a:graphicData>
            </a:graphic>
          </wp:inline>
        </w:drawing>
      </w:r>
      <w:r w:rsidR="00D65D29">
        <w:rPr>
          <w:noProof/>
        </w:rPr>
        <w:drawing>
          <wp:inline distT="0" distB="0" distL="0" distR="0" wp14:anchorId="5320DA90" wp14:editId="24847C54">
            <wp:extent cx="2738336" cy="2290474"/>
            <wp:effectExtent l="0" t="0" r="5080" b="0"/>
            <wp:docPr id="7" name="Picture 7" descr="Macintosh HD:Users:Dikun:Dropbox (Personal):People:EOSC350:2016:5_EM:Lab8:Figures:fig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ikun:Dropbox (Personal):People:EOSC350:2016:5_EM:Lab8:Figures:fig1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8647" cy="2290734"/>
                    </a:xfrm>
                    <a:prstGeom prst="rect">
                      <a:avLst/>
                    </a:prstGeom>
                    <a:noFill/>
                    <a:ln>
                      <a:noFill/>
                    </a:ln>
                  </pic:spPr>
                </pic:pic>
              </a:graphicData>
            </a:graphic>
          </wp:inline>
        </w:drawing>
      </w:r>
    </w:p>
    <w:p w14:paraId="1FAF92DD" w14:textId="65A79F09" w:rsidR="00680E60" w:rsidRPr="00876465" w:rsidRDefault="005F2F54" w:rsidP="00083C6F">
      <w:pPr>
        <w:widowControl w:val="0"/>
        <w:autoSpaceDE w:val="0"/>
        <w:autoSpaceDN w:val="0"/>
        <w:adjustRightInd w:val="0"/>
        <w:rPr>
          <w:rFonts w:cs="Times New Roman"/>
          <w:color w:val="000000"/>
        </w:rPr>
      </w:pPr>
      <w:r>
        <w:rPr>
          <w:rFonts w:cs="Times New Roman"/>
          <w:b/>
          <w:color w:val="000000"/>
        </w:rPr>
        <w:t>Q</w:t>
      </w:r>
      <w:r w:rsidR="002B1B3D">
        <w:rPr>
          <w:rFonts w:cs="Times New Roman"/>
          <w:b/>
          <w:color w:val="000000"/>
        </w:rPr>
        <w:t>4</w:t>
      </w:r>
      <w:r w:rsidR="00680E60" w:rsidRPr="00876465">
        <w:rPr>
          <w:rFonts w:cs="Times New Roman"/>
          <w:b/>
          <w:color w:val="000000"/>
        </w:rPr>
        <w:t>.</w:t>
      </w:r>
      <w:r w:rsidR="00680E60" w:rsidRPr="00876465">
        <w:rPr>
          <w:rFonts w:cs="Times New Roman"/>
          <w:color w:val="000000"/>
        </w:rPr>
        <w:t xml:space="preserve"> The EM-31 is often used to measure the Earth's conductivity. Look at the apparent conductivity maps </w:t>
      </w:r>
      <w:r w:rsidR="00083C6F" w:rsidRPr="00876465">
        <w:rPr>
          <w:rFonts w:cs="Times New Roman"/>
          <w:color w:val="000000"/>
        </w:rPr>
        <w:t xml:space="preserve">using both EW and NS boom orientations (error readings and negative readings are plotted as white) </w:t>
      </w:r>
      <w:r w:rsidR="00680E60" w:rsidRPr="00876465">
        <w:rPr>
          <w:rFonts w:cs="Times New Roman"/>
          <w:color w:val="000000"/>
        </w:rPr>
        <w:t>and answer the following questions.</w:t>
      </w:r>
    </w:p>
    <w:p w14:paraId="4E1FDF31" w14:textId="77777777" w:rsidR="00680E60" w:rsidRPr="00876465" w:rsidRDefault="00680E60" w:rsidP="009A07E0"/>
    <w:p w14:paraId="75D4D154" w14:textId="70629565" w:rsidR="00876465" w:rsidRDefault="00876465" w:rsidP="00876465">
      <w:r w:rsidRPr="00876465">
        <w:rPr>
          <w:b/>
        </w:rPr>
        <w:t>a.</w:t>
      </w:r>
      <w:r>
        <w:t xml:space="preserve"> What are the maximum and background conductivities for each map? Calculate the skin depths for the maximum and </w:t>
      </w:r>
      <w:r w:rsidR="00656085">
        <w:t xml:space="preserve">background </w:t>
      </w:r>
      <w:r>
        <w:t>conductivities for each map.</w:t>
      </w:r>
    </w:p>
    <w:p w14:paraId="03F17BF6" w14:textId="77777777" w:rsidR="00876465" w:rsidRDefault="00876465" w:rsidP="00876465"/>
    <w:p w14:paraId="622D428A" w14:textId="77777777" w:rsidR="00876465" w:rsidRDefault="00876465" w:rsidP="00876465"/>
    <w:p w14:paraId="7D5E8E7B" w14:textId="77777777" w:rsidR="00876465" w:rsidRDefault="00876465" w:rsidP="00876465"/>
    <w:p w14:paraId="2F8D0988" w14:textId="77777777" w:rsidR="00876465" w:rsidRDefault="00876465" w:rsidP="00876465"/>
    <w:p w14:paraId="37C23B76" w14:textId="6326A623" w:rsidR="00680E60" w:rsidRDefault="00876465" w:rsidP="00876465">
      <w:r w:rsidRPr="00876465">
        <w:rPr>
          <w:b/>
        </w:rPr>
        <w:t>b.</w:t>
      </w:r>
      <w:r>
        <w:t xml:space="preserve"> Based upon this criterion, do you think the inferred ground conductivity at the location with maximum apparent conductivity </w:t>
      </w:r>
      <w:r w:rsidR="003A2B68">
        <w:t>is</w:t>
      </w:r>
      <w:r>
        <w:t xml:space="preserve"> reliable? Why or why not?</w:t>
      </w:r>
    </w:p>
    <w:p w14:paraId="316FDD7C" w14:textId="77777777" w:rsidR="00680E60" w:rsidRDefault="00680E60" w:rsidP="009A07E0"/>
    <w:p w14:paraId="2B9099B1" w14:textId="77777777" w:rsidR="00680E60" w:rsidRDefault="00680E60" w:rsidP="009A07E0"/>
    <w:p w14:paraId="5C7BA3A3" w14:textId="77777777" w:rsidR="003A2B68" w:rsidRDefault="003A2B68" w:rsidP="009A07E0"/>
    <w:p w14:paraId="559A827F" w14:textId="77777777" w:rsidR="00876465" w:rsidRDefault="00876465" w:rsidP="009A07E0"/>
    <w:p w14:paraId="238D1A1B" w14:textId="14F604B4" w:rsidR="00876465" w:rsidRDefault="003A2B68" w:rsidP="003A2B68">
      <w:r w:rsidRPr="003A2B68">
        <w:rPr>
          <w:b/>
        </w:rPr>
        <w:t>c.</w:t>
      </w:r>
      <w:r>
        <w:t xml:space="preserve"> The apparent conductivity values computed using the EM-31 data are based on the assumption that the earth is a uniform half-space. Based on the apparent conductivity maps, where are the regions that might satisfy this assumption?</w:t>
      </w:r>
    </w:p>
    <w:p w14:paraId="772F3AB9" w14:textId="77777777" w:rsidR="00876465" w:rsidRDefault="00876465" w:rsidP="009A07E0"/>
    <w:p w14:paraId="69ECBEE5" w14:textId="77777777" w:rsidR="00876465" w:rsidRDefault="00876465" w:rsidP="009A07E0"/>
    <w:p w14:paraId="62FFF2BB" w14:textId="77777777" w:rsidR="003A2B68" w:rsidRDefault="003A2B68" w:rsidP="009A07E0"/>
    <w:p w14:paraId="3D1F29B5" w14:textId="77777777" w:rsidR="003A2B68" w:rsidRDefault="003A2B68" w:rsidP="009A07E0"/>
    <w:p w14:paraId="6F8FE70F" w14:textId="15290DB7" w:rsidR="003A2B68" w:rsidRDefault="003A2B68" w:rsidP="003A2B68">
      <w:r w:rsidRPr="003A2B68">
        <w:rPr>
          <w:b/>
        </w:rPr>
        <w:t xml:space="preserve">d. </w:t>
      </w:r>
      <w:r>
        <w:t xml:space="preserve">There are some areas with negative apparent conductivities, which are not realistic. Why could this happen? Hint: think about how an apparent conductivity is calculated and the sign convention of EM-31 data; recall the 3-loop model diagram. </w:t>
      </w:r>
    </w:p>
    <w:p w14:paraId="0E417D4F" w14:textId="77777777" w:rsidR="003A2B68" w:rsidRDefault="003A2B68" w:rsidP="003A2B68"/>
    <w:p w14:paraId="0170F20E" w14:textId="77777777" w:rsidR="003A2B68" w:rsidRDefault="003A2B68" w:rsidP="003A2B68"/>
    <w:p w14:paraId="6502B8F5" w14:textId="77777777" w:rsidR="003A2B68" w:rsidRDefault="003A2B68" w:rsidP="003A2B68"/>
    <w:p w14:paraId="347E7FD9" w14:textId="77777777" w:rsidR="003A2B68" w:rsidRDefault="003A2B68" w:rsidP="003A2B68"/>
    <w:p w14:paraId="73FB7BE6" w14:textId="401A5BB1" w:rsidR="003A2B68" w:rsidRDefault="007C1145" w:rsidP="007C1145">
      <w:r w:rsidRPr="007C1145">
        <w:rPr>
          <w:b/>
        </w:rPr>
        <w:lastRenderedPageBreak/>
        <w:t>Q</w:t>
      </w:r>
      <w:r w:rsidR="002B1B3D">
        <w:rPr>
          <w:b/>
        </w:rPr>
        <w:t>5</w:t>
      </w:r>
      <w:r w:rsidRPr="007C1145">
        <w:rPr>
          <w:b/>
        </w:rPr>
        <w:t>.</w:t>
      </w:r>
      <w:r>
        <w:t xml:space="preserve"> Oil/hydrocarbon-bearing strata are usually more electrically resistive than their hosts. Oil was found to have contaminated the water table in the North-West section of the map at (20E, 80N). Knowing that oil is present in the region near (20E, 80N), draw a contour line on the apparent conductivity map (either EW or NS boom) that might indicate an approximate extent of the hydrocarbon contamination.</w:t>
      </w:r>
    </w:p>
    <w:p w14:paraId="11CD1F1E" w14:textId="77777777" w:rsidR="003A2B68" w:rsidRDefault="003A2B68" w:rsidP="003A2B68"/>
    <w:p w14:paraId="24115F44" w14:textId="77777777" w:rsidR="00007F2F" w:rsidRDefault="00007F2F" w:rsidP="003A2B68">
      <w:pPr>
        <w:rPr>
          <w:b/>
        </w:rPr>
      </w:pPr>
    </w:p>
    <w:p w14:paraId="052F7F6B" w14:textId="013855F8" w:rsidR="003A2B68" w:rsidRDefault="005F2F54" w:rsidP="003A2B68">
      <w:r>
        <w:rPr>
          <w:b/>
        </w:rPr>
        <w:t>Q</w:t>
      </w:r>
      <w:r w:rsidR="002B1B3D">
        <w:rPr>
          <w:b/>
        </w:rPr>
        <w:t>6</w:t>
      </w:r>
      <w:r w:rsidR="00D65D29" w:rsidRPr="00D65D29">
        <w:rPr>
          <w:b/>
        </w:rPr>
        <w:t>.</w:t>
      </w:r>
      <w:r w:rsidR="00D65D29">
        <w:t xml:space="preserve"> </w:t>
      </w:r>
      <w:r w:rsidR="00D65D29" w:rsidRPr="00D65D29">
        <w:t xml:space="preserve">Note that there is considerable </w:t>
      </w:r>
      <w:r w:rsidR="00D65D29">
        <w:t xml:space="preserve">linear </w:t>
      </w:r>
      <w:r w:rsidR="00D65D29" w:rsidRPr="00D65D29">
        <w:t xml:space="preserve">structure in the </w:t>
      </w:r>
      <w:r w:rsidR="00D65D29">
        <w:t>map</w:t>
      </w:r>
      <w:r w:rsidR="00D65D29" w:rsidRPr="00D65D29">
        <w:t>s.</w:t>
      </w:r>
      <w:r w:rsidR="00D65D29">
        <w:t xml:space="preserve"> Now let’s examine the E-W trending </w:t>
      </w:r>
      <w:r w:rsidR="0007218D">
        <w:t>feature at Northing = 50m.</w:t>
      </w:r>
    </w:p>
    <w:p w14:paraId="77E2931F" w14:textId="77777777" w:rsidR="0007218D" w:rsidRDefault="0007218D" w:rsidP="003A2B68"/>
    <w:p w14:paraId="2443D977" w14:textId="5431A0A0" w:rsidR="0007218D" w:rsidRDefault="0007218D" w:rsidP="0007218D">
      <w:r w:rsidRPr="007C36CD">
        <w:rPr>
          <w:b/>
        </w:rPr>
        <w:t>a.</w:t>
      </w:r>
      <w:r>
        <w:t xml:space="preserve"> From the data spreadsheet (download </w:t>
      </w:r>
      <w:r w:rsidR="00B051E6">
        <w:t>“</w:t>
      </w:r>
      <w:r>
        <w:t>em-31.xls</w:t>
      </w:r>
      <w:r w:rsidR="00B051E6">
        <w:t>”</w:t>
      </w:r>
      <w:r>
        <w:t xml:space="preserve"> from the course website), extract the in-phase and quadrature data along a N-S pro</w:t>
      </w:r>
      <w:r w:rsidR="007C36CD">
        <w:t>fi</w:t>
      </w:r>
      <w:r>
        <w:t>le recorded at Easting = 70 for</w:t>
      </w:r>
      <w:r w:rsidR="007C36CD">
        <w:t xml:space="preserve"> </w:t>
      </w:r>
      <w:r>
        <w:t>both of the boom orientations. For the NS boom orientation data, make a line plot of the</w:t>
      </w:r>
      <w:r w:rsidR="007C36CD">
        <w:t xml:space="preserve"> </w:t>
      </w:r>
      <w:r>
        <w:t xml:space="preserve">data for the in-phase and quadrature. </w:t>
      </w:r>
      <w:r w:rsidR="007C36CD">
        <w:t>Then</w:t>
      </w:r>
      <w:r>
        <w:t xml:space="preserve"> perform the same </w:t>
      </w:r>
      <w:r w:rsidR="007C36CD">
        <w:t>exercise</w:t>
      </w:r>
      <w:r>
        <w:t xml:space="preserve"> for the EW boom</w:t>
      </w:r>
      <w:r w:rsidR="007C36CD">
        <w:t xml:space="preserve"> </w:t>
      </w:r>
      <w:r>
        <w:t>orientation. Use di</w:t>
      </w:r>
      <w:r w:rsidR="007C36CD">
        <w:t>ff</w:t>
      </w:r>
      <w:r>
        <w:t>erent colors and line styles to distinguish the</w:t>
      </w:r>
      <w:r w:rsidR="007C36CD">
        <w:t xml:space="preserve"> four plots. Ad</w:t>
      </w:r>
      <w:r>
        <w:t>just the scale</w:t>
      </w:r>
      <w:r w:rsidR="007C36CD">
        <w:t xml:space="preserve"> and range</w:t>
      </w:r>
      <w:r>
        <w:t xml:space="preserve"> of the </w:t>
      </w:r>
      <w:r w:rsidR="007C36CD">
        <w:t xml:space="preserve">x-axis and </w:t>
      </w:r>
      <w:r>
        <w:t xml:space="preserve">y-axis so </w:t>
      </w:r>
      <w:r w:rsidR="00BF1817">
        <w:t>we focus on</w:t>
      </w:r>
      <w:r>
        <w:t xml:space="preserve"> the </w:t>
      </w:r>
      <w:r w:rsidR="007C36CD">
        <w:t>anomaly</w:t>
      </w:r>
      <w:r>
        <w:t xml:space="preserve"> </w:t>
      </w:r>
      <w:r w:rsidR="00BF1817">
        <w:t>near</w:t>
      </w:r>
      <w:r>
        <w:t xml:space="preserve"> Northing = 50 </w:t>
      </w:r>
      <w:r w:rsidR="00BF1817">
        <w:t>m</w:t>
      </w:r>
      <w:r>
        <w:t>.</w:t>
      </w:r>
      <w:r w:rsidR="008C0E92">
        <w:t xml:space="preserve"> Attach your plots below.</w:t>
      </w:r>
    </w:p>
    <w:p w14:paraId="37DA8130" w14:textId="77777777" w:rsidR="008C0E92" w:rsidRDefault="008C0E92" w:rsidP="0007218D"/>
    <w:p w14:paraId="564C37C6" w14:textId="77777777" w:rsidR="008C0E92" w:rsidRDefault="008C0E92" w:rsidP="0007218D"/>
    <w:p w14:paraId="45048ACF" w14:textId="77777777" w:rsidR="008C0E92" w:rsidRDefault="008C0E92" w:rsidP="0007218D"/>
    <w:p w14:paraId="5A4E05E8" w14:textId="77777777" w:rsidR="008C0E92" w:rsidRDefault="008C0E92" w:rsidP="0007218D"/>
    <w:p w14:paraId="7E4585E5" w14:textId="77777777" w:rsidR="008C0E92" w:rsidRDefault="008C0E92" w:rsidP="0007218D"/>
    <w:p w14:paraId="4C2EA29E" w14:textId="77777777" w:rsidR="008C0E92" w:rsidRDefault="008C0E92" w:rsidP="0007218D"/>
    <w:p w14:paraId="34216E20" w14:textId="77777777" w:rsidR="008C0E92" w:rsidRDefault="008C0E92" w:rsidP="0007218D"/>
    <w:p w14:paraId="018A9C98" w14:textId="77777777" w:rsidR="008C0E92" w:rsidRDefault="008C0E92" w:rsidP="0007218D"/>
    <w:p w14:paraId="3DA613F6" w14:textId="77777777" w:rsidR="008C0E92" w:rsidRDefault="008C0E92" w:rsidP="0007218D"/>
    <w:p w14:paraId="2758ACAC" w14:textId="77777777" w:rsidR="008C0E92" w:rsidRDefault="008C0E92" w:rsidP="0007218D"/>
    <w:p w14:paraId="0FE4FB6F" w14:textId="77777777" w:rsidR="008C0E92" w:rsidRDefault="008C0E92" w:rsidP="0007218D"/>
    <w:p w14:paraId="5E8E8699" w14:textId="77777777" w:rsidR="008C0E92" w:rsidRDefault="008C0E92" w:rsidP="0007218D"/>
    <w:p w14:paraId="1CCE7B0B" w14:textId="77777777" w:rsidR="008C0E92" w:rsidRDefault="008C0E92" w:rsidP="0007218D"/>
    <w:p w14:paraId="4601F114" w14:textId="3D384607" w:rsidR="0030003D" w:rsidRDefault="0030003D" w:rsidP="0030003D">
      <w:r w:rsidRPr="0030003D">
        <w:rPr>
          <w:b/>
        </w:rPr>
        <w:t>b.</w:t>
      </w:r>
      <w:r>
        <w:t xml:space="preserve"> Compare the amplitudes of in-phase and quadrature data at each location. What information about the conductivity of the target near Northing = 50 can be inferred?</w:t>
      </w:r>
    </w:p>
    <w:p w14:paraId="32E35788" w14:textId="77777777" w:rsidR="0030003D" w:rsidRDefault="0030003D" w:rsidP="0030003D"/>
    <w:p w14:paraId="56A1BFD7" w14:textId="77777777" w:rsidR="0030003D" w:rsidRDefault="0030003D" w:rsidP="0030003D"/>
    <w:p w14:paraId="1649873B" w14:textId="77777777" w:rsidR="0030003D" w:rsidRDefault="0030003D" w:rsidP="0030003D"/>
    <w:p w14:paraId="1DD59A08" w14:textId="77777777" w:rsidR="0030003D" w:rsidRDefault="0030003D" w:rsidP="0030003D"/>
    <w:p w14:paraId="18D2E394" w14:textId="3AA37F4F" w:rsidR="0030003D" w:rsidRDefault="0030003D" w:rsidP="0030003D">
      <w:r w:rsidRPr="0030003D">
        <w:rPr>
          <w:b/>
        </w:rPr>
        <w:t>c.</w:t>
      </w:r>
      <w:r>
        <w:t xml:space="preserve"> What is the major difference between the anomalies observed with EW and NS boom o</w:t>
      </w:r>
      <w:r w:rsidR="00856284">
        <w:t>rientations near Northing = 50?</w:t>
      </w:r>
    </w:p>
    <w:p w14:paraId="441C43FE" w14:textId="77777777" w:rsidR="0030003D" w:rsidRDefault="0030003D" w:rsidP="0030003D"/>
    <w:p w14:paraId="0B694610" w14:textId="77777777" w:rsidR="0030003D" w:rsidRDefault="0030003D" w:rsidP="0030003D"/>
    <w:p w14:paraId="60B17EAB" w14:textId="77777777" w:rsidR="0030003D" w:rsidRDefault="0030003D" w:rsidP="0030003D"/>
    <w:p w14:paraId="498E5045" w14:textId="77777777" w:rsidR="00EC1E12" w:rsidRDefault="00EC1E12" w:rsidP="0030003D"/>
    <w:p w14:paraId="1CEF2164" w14:textId="7C23B73A" w:rsidR="0030003D" w:rsidRDefault="0030003D" w:rsidP="0030003D">
      <w:r w:rsidRPr="0030003D">
        <w:rPr>
          <w:b/>
        </w:rPr>
        <w:t>d.</w:t>
      </w:r>
      <w:r>
        <w:t xml:space="preserve"> By looking at the in-phase maps, what type of object do you think could explain the observed data? Support your answer with evidence based on conductivity and shape of the anomaly.</w:t>
      </w:r>
    </w:p>
    <w:p w14:paraId="01392A1B" w14:textId="77777777" w:rsidR="0030003D" w:rsidRDefault="0030003D" w:rsidP="0030003D"/>
    <w:p w14:paraId="4C03F918" w14:textId="77777777" w:rsidR="00EB7CCB" w:rsidRDefault="00EB7CCB" w:rsidP="0030003D"/>
    <w:p w14:paraId="4F77E7DB" w14:textId="77777777" w:rsidR="00EB7CCB" w:rsidRDefault="00EB7CCB" w:rsidP="0030003D"/>
    <w:p w14:paraId="5A892A80" w14:textId="77777777" w:rsidR="00EC1E12" w:rsidRDefault="00EC1E12" w:rsidP="0030003D"/>
    <w:p w14:paraId="6AF36B7C" w14:textId="096BA836" w:rsidR="00EC1E12" w:rsidRDefault="00EC1E12" w:rsidP="00EC1E12">
      <w:r w:rsidRPr="00600E7A">
        <w:rPr>
          <w:b/>
        </w:rPr>
        <w:t>e</w:t>
      </w:r>
      <w:r>
        <w:t xml:space="preserve">. Look at the linear features striking NNE in the bottom left hand portion of the in-phase maps. Describe the difference of these anomalies in the EW boom map and in the NS boom maps and provide an explanation. </w:t>
      </w:r>
    </w:p>
    <w:p w14:paraId="0220CE9A" w14:textId="77777777" w:rsidR="00EC1E12" w:rsidRDefault="00EC1E12" w:rsidP="00EC1E12"/>
    <w:p w14:paraId="3FA29927" w14:textId="77777777" w:rsidR="00EC1E12" w:rsidRDefault="00EC1E12" w:rsidP="00EC1E12"/>
    <w:p w14:paraId="5BDA3147" w14:textId="77777777" w:rsidR="00EC1E12" w:rsidRDefault="00EC1E12" w:rsidP="00EC1E12"/>
    <w:p w14:paraId="36CF4B73" w14:textId="77777777" w:rsidR="00EC1E12" w:rsidRDefault="00EC1E12" w:rsidP="00EC1E12"/>
    <w:p w14:paraId="4606AA1B" w14:textId="77777777" w:rsidR="00EB7CCB" w:rsidRDefault="00EB7CCB" w:rsidP="0030003D"/>
    <w:p w14:paraId="08B896B8" w14:textId="020C31F3" w:rsidR="00EB7CCB" w:rsidRDefault="00600E7A" w:rsidP="00EB7CCB">
      <w:r>
        <w:rPr>
          <w:b/>
        </w:rPr>
        <w:t>f</w:t>
      </w:r>
      <w:r w:rsidR="00EB7CCB" w:rsidRPr="00EB7CCB">
        <w:rPr>
          <w:b/>
        </w:rPr>
        <w:t>.</w:t>
      </w:r>
      <w:r w:rsidR="00EB7CCB">
        <w:t xml:space="preserve"> On the in-phase data map, circle those places (at least four) that you suspect could have buried metal conductors. Annotate with your interpretation of what they could be based on the available a prior information.</w:t>
      </w:r>
    </w:p>
    <w:p w14:paraId="55C55580" w14:textId="6707F5B8" w:rsidR="00E424C3" w:rsidRDefault="00E424C3" w:rsidP="0030003D">
      <w:r>
        <w:t>High magnetic gradients will be observed when there are magnetic objects close to the surface. From your background reading about the site, there could be many of these. Iron, rebar, pipes, drums and buried locomotives are conductive and magnetically permeable. Thus, the EM-31 and the magnetic gradient results can provide complementary information. Use the vertical magnetic gradient map below to answer the following questions.</w:t>
      </w:r>
    </w:p>
    <w:p w14:paraId="70CD8A31" w14:textId="0518A949" w:rsidR="00E424C3" w:rsidRDefault="00E424C3" w:rsidP="00E424C3">
      <w:pPr>
        <w:jc w:val="center"/>
      </w:pPr>
      <w:r>
        <w:rPr>
          <w:noProof/>
        </w:rPr>
        <w:drawing>
          <wp:inline distT="0" distB="0" distL="0" distR="0" wp14:anchorId="2C7D5F2C" wp14:editId="3F1E65DD">
            <wp:extent cx="4910036" cy="3666543"/>
            <wp:effectExtent l="0" t="0" r="0" b="0"/>
            <wp:docPr id="16" name="Picture 16" descr="Macintosh HD:Users:Dikun:Dropbox (Personal):People:EOSC350:2016:5_EM:Lab8:Figures:magg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ikun:Dropbox (Personal):People:EOSC350:2016:5_EM:Lab8:Figures:maggr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0036" cy="3666543"/>
                    </a:xfrm>
                    <a:prstGeom prst="rect">
                      <a:avLst/>
                    </a:prstGeom>
                    <a:noFill/>
                    <a:ln>
                      <a:noFill/>
                    </a:ln>
                  </pic:spPr>
                </pic:pic>
              </a:graphicData>
            </a:graphic>
          </wp:inline>
        </w:drawing>
      </w:r>
    </w:p>
    <w:p w14:paraId="38531835" w14:textId="57777654" w:rsidR="008C0E92" w:rsidRDefault="005F2F54" w:rsidP="00E424C3">
      <w:r>
        <w:rPr>
          <w:b/>
        </w:rPr>
        <w:t>Q</w:t>
      </w:r>
      <w:r w:rsidR="002B1B3D">
        <w:rPr>
          <w:b/>
        </w:rPr>
        <w:t>7</w:t>
      </w:r>
      <w:r w:rsidR="0030003D" w:rsidRPr="00E424C3">
        <w:rPr>
          <w:b/>
        </w:rPr>
        <w:t>.</w:t>
      </w:r>
      <w:r w:rsidR="00AC497A">
        <w:t xml:space="preserve"> </w:t>
      </w:r>
      <w:r w:rsidR="00E424C3">
        <w:t>Briefly describe what the vertical magnetic gradient is. How is it acquired? What is it sensitive to</w:t>
      </w:r>
      <w:r w:rsidR="003B4BE3">
        <w:t xml:space="preserve"> and why</w:t>
      </w:r>
      <w:r w:rsidR="00E424C3">
        <w:t>? And what benefits does it provide over total field data?</w:t>
      </w:r>
    </w:p>
    <w:p w14:paraId="40BDCBAA" w14:textId="77777777" w:rsidR="00E424C3" w:rsidRDefault="00E424C3" w:rsidP="00E424C3"/>
    <w:p w14:paraId="4C3B1C69" w14:textId="77777777" w:rsidR="00E424C3" w:rsidRDefault="00E424C3" w:rsidP="00E424C3"/>
    <w:p w14:paraId="12BDD851" w14:textId="77777777" w:rsidR="00E424C3" w:rsidRDefault="00E424C3" w:rsidP="00E424C3"/>
    <w:p w14:paraId="18204BAF" w14:textId="77777777" w:rsidR="00E424C3" w:rsidRDefault="00E424C3" w:rsidP="00E424C3"/>
    <w:p w14:paraId="2A042B27" w14:textId="223B123C" w:rsidR="00E424C3" w:rsidRDefault="005F2F54" w:rsidP="00E424C3">
      <w:r>
        <w:rPr>
          <w:b/>
        </w:rPr>
        <w:t>Q</w:t>
      </w:r>
      <w:r w:rsidR="002B1B3D">
        <w:rPr>
          <w:b/>
        </w:rPr>
        <w:t>8</w:t>
      </w:r>
      <w:r w:rsidR="00E424C3" w:rsidRPr="00E424C3">
        <w:rPr>
          <w:b/>
        </w:rPr>
        <w:t>.</w:t>
      </w:r>
      <w:r w:rsidR="00E424C3">
        <w:t xml:space="preserve"> How does the use of both magnetic gradient and EM-31 data help in the identification of iron targets? How would the two responses from an iron target differ from that produced by a copper target?</w:t>
      </w:r>
    </w:p>
    <w:p w14:paraId="390A0814" w14:textId="77777777" w:rsidR="00E424C3" w:rsidRDefault="00E424C3" w:rsidP="00E424C3"/>
    <w:p w14:paraId="50E4AFB8" w14:textId="77777777" w:rsidR="00E424C3" w:rsidRDefault="00E424C3" w:rsidP="00E424C3"/>
    <w:p w14:paraId="7036187B" w14:textId="77777777" w:rsidR="00E424C3" w:rsidRDefault="00E424C3" w:rsidP="00E424C3"/>
    <w:p w14:paraId="66562370" w14:textId="77777777" w:rsidR="00E424C3" w:rsidRDefault="00E424C3" w:rsidP="00E424C3"/>
    <w:p w14:paraId="2027203F" w14:textId="162BAF9F" w:rsidR="00E424C3" w:rsidRDefault="005F2F54" w:rsidP="00E424C3">
      <w:r>
        <w:rPr>
          <w:b/>
        </w:rPr>
        <w:t>Q</w:t>
      </w:r>
      <w:r w:rsidR="002B1B3D">
        <w:rPr>
          <w:b/>
        </w:rPr>
        <w:t>9</w:t>
      </w:r>
      <w:r w:rsidR="00E424C3" w:rsidRPr="00E424C3">
        <w:rPr>
          <w:b/>
        </w:rPr>
        <w:t>.</w:t>
      </w:r>
      <w:r w:rsidR="00E424C3">
        <w:t xml:space="preserve"> What inferences could you make about the NNE linear features (in the south-west quadrant of the plots) when you compare the EM and the magnetic plots?</w:t>
      </w:r>
    </w:p>
    <w:p w14:paraId="119A6A2A" w14:textId="181FAADB" w:rsidR="00E424C3" w:rsidRDefault="00E424C3" w:rsidP="00E424C3"/>
    <w:sectPr w:rsidR="00E424C3" w:rsidSect="000C6A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63129"/>
    <w:multiLevelType w:val="hybridMultilevel"/>
    <w:tmpl w:val="9594D6B0"/>
    <w:lvl w:ilvl="0" w:tplc="03588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C3936"/>
    <w:multiLevelType w:val="hybridMultilevel"/>
    <w:tmpl w:val="B802C838"/>
    <w:lvl w:ilvl="0" w:tplc="8A74ED1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236F75"/>
    <w:multiLevelType w:val="hybridMultilevel"/>
    <w:tmpl w:val="6798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187B"/>
    <w:multiLevelType w:val="hybridMultilevel"/>
    <w:tmpl w:val="E272EE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05D13"/>
    <w:multiLevelType w:val="hybridMultilevel"/>
    <w:tmpl w:val="FAC84FE6"/>
    <w:lvl w:ilvl="0" w:tplc="8A74ED1A">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15F76C5"/>
    <w:multiLevelType w:val="hybridMultilevel"/>
    <w:tmpl w:val="4F52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E776C"/>
    <w:multiLevelType w:val="hybridMultilevel"/>
    <w:tmpl w:val="5526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B25A2"/>
    <w:multiLevelType w:val="hybridMultilevel"/>
    <w:tmpl w:val="E3BC4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DB2954"/>
    <w:multiLevelType w:val="hybridMultilevel"/>
    <w:tmpl w:val="12F0E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8"/>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2A1"/>
    <w:rsid w:val="00007F2F"/>
    <w:rsid w:val="00012DD1"/>
    <w:rsid w:val="00037C63"/>
    <w:rsid w:val="000418A5"/>
    <w:rsid w:val="000711C9"/>
    <w:rsid w:val="0007218D"/>
    <w:rsid w:val="000740E7"/>
    <w:rsid w:val="00080C41"/>
    <w:rsid w:val="00083C6F"/>
    <w:rsid w:val="000C36AB"/>
    <w:rsid w:val="000C6A1D"/>
    <w:rsid w:val="00112E37"/>
    <w:rsid w:val="001231EC"/>
    <w:rsid w:val="0013356E"/>
    <w:rsid w:val="00160417"/>
    <w:rsid w:val="0018088B"/>
    <w:rsid w:val="001A66D4"/>
    <w:rsid w:val="001E0C92"/>
    <w:rsid w:val="001E3747"/>
    <w:rsid w:val="001F1B53"/>
    <w:rsid w:val="00217CB5"/>
    <w:rsid w:val="002558FC"/>
    <w:rsid w:val="00276B6B"/>
    <w:rsid w:val="002B1B3D"/>
    <w:rsid w:val="002C3C6B"/>
    <w:rsid w:val="002D00F6"/>
    <w:rsid w:val="0030003D"/>
    <w:rsid w:val="00316C95"/>
    <w:rsid w:val="00343FB1"/>
    <w:rsid w:val="00361242"/>
    <w:rsid w:val="00387D9D"/>
    <w:rsid w:val="003A2875"/>
    <w:rsid w:val="003A2B68"/>
    <w:rsid w:val="003B2CAF"/>
    <w:rsid w:val="003B4BE3"/>
    <w:rsid w:val="004102C6"/>
    <w:rsid w:val="00420050"/>
    <w:rsid w:val="004724CE"/>
    <w:rsid w:val="004A2A62"/>
    <w:rsid w:val="004D7B5C"/>
    <w:rsid w:val="004E3041"/>
    <w:rsid w:val="00556952"/>
    <w:rsid w:val="00564C5E"/>
    <w:rsid w:val="00583C5C"/>
    <w:rsid w:val="00586BD1"/>
    <w:rsid w:val="00587E5E"/>
    <w:rsid w:val="00594CC9"/>
    <w:rsid w:val="005B4906"/>
    <w:rsid w:val="005C5384"/>
    <w:rsid w:val="005F2F54"/>
    <w:rsid w:val="00600174"/>
    <w:rsid w:val="00600E7A"/>
    <w:rsid w:val="00602261"/>
    <w:rsid w:val="006341CB"/>
    <w:rsid w:val="00653072"/>
    <w:rsid w:val="00656085"/>
    <w:rsid w:val="00680E60"/>
    <w:rsid w:val="006E042A"/>
    <w:rsid w:val="006F5923"/>
    <w:rsid w:val="00752687"/>
    <w:rsid w:val="00771A48"/>
    <w:rsid w:val="007A622E"/>
    <w:rsid w:val="007B6C77"/>
    <w:rsid w:val="007C1145"/>
    <w:rsid w:val="007C36CD"/>
    <w:rsid w:val="007D713F"/>
    <w:rsid w:val="007E153F"/>
    <w:rsid w:val="008010DB"/>
    <w:rsid w:val="00805917"/>
    <w:rsid w:val="0084675D"/>
    <w:rsid w:val="00850A40"/>
    <w:rsid w:val="00856284"/>
    <w:rsid w:val="00876465"/>
    <w:rsid w:val="00883D02"/>
    <w:rsid w:val="008C0E92"/>
    <w:rsid w:val="008D48C7"/>
    <w:rsid w:val="008D7900"/>
    <w:rsid w:val="00902979"/>
    <w:rsid w:val="00921C60"/>
    <w:rsid w:val="00947821"/>
    <w:rsid w:val="0096315C"/>
    <w:rsid w:val="009745EA"/>
    <w:rsid w:val="009843F0"/>
    <w:rsid w:val="009A07E0"/>
    <w:rsid w:val="009C7316"/>
    <w:rsid w:val="009C7E6B"/>
    <w:rsid w:val="00A15261"/>
    <w:rsid w:val="00A2367E"/>
    <w:rsid w:val="00A30FFD"/>
    <w:rsid w:val="00A739D2"/>
    <w:rsid w:val="00A90EA7"/>
    <w:rsid w:val="00AC497A"/>
    <w:rsid w:val="00B051E6"/>
    <w:rsid w:val="00B2416E"/>
    <w:rsid w:val="00B310B5"/>
    <w:rsid w:val="00B6117E"/>
    <w:rsid w:val="00B61B0E"/>
    <w:rsid w:val="00B67C42"/>
    <w:rsid w:val="00BA62E0"/>
    <w:rsid w:val="00BB449C"/>
    <w:rsid w:val="00BF1817"/>
    <w:rsid w:val="00C87939"/>
    <w:rsid w:val="00CA21F6"/>
    <w:rsid w:val="00CA3243"/>
    <w:rsid w:val="00CC5149"/>
    <w:rsid w:val="00CD106E"/>
    <w:rsid w:val="00D10B91"/>
    <w:rsid w:val="00D2149E"/>
    <w:rsid w:val="00D562A1"/>
    <w:rsid w:val="00D65D29"/>
    <w:rsid w:val="00D77861"/>
    <w:rsid w:val="00D9759E"/>
    <w:rsid w:val="00DB406A"/>
    <w:rsid w:val="00DD3E9D"/>
    <w:rsid w:val="00DD554A"/>
    <w:rsid w:val="00DF567F"/>
    <w:rsid w:val="00DF5BD8"/>
    <w:rsid w:val="00E26E43"/>
    <w:rsid w:val="00E33041"/>
    <w:rsid w:val="00E37D7E"/>
    <w:rsid w:val="00E424C3"/>
    <w:rsid w:val="00E5313F"/>
    <w:rsid w:val="00E717EB"/>
    <w:rsid w:val="00E7634E"/>
    <w:rsid w:val="00EB78DB"/>
    <w:rsid w:val="00EB7CCB"/>
    <w:rsid w:val="00EC1E12"/>
    <w:rsid w:val="00EC292C"/>
    <w:rsid w:val="00EC6525"/>
    <w:rsid w:val="00ED5278"/>
    <w:rsid w:val="00F40607"/>
    <w:rsid w:val="00F61B40"/>
    <w:rsid w:val="00F62710"/>
    <w:rsid w:val="00F655C1"/>
    <w:rsid w:val="00F87411"/>
    <w:rsid w:val="00F90667"/>
    <w:rsid w:val="00FB0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64344"/>
  <w14:defaultImageDpi w14:val="300"/>
  <w15:docId w15:val="{0493835E-729E-4586-A153-A949938A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2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62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2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2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62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62A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0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1B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B0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8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C87939"/>
    <w:rPr>
      <w:rFonts w:ascii="Courier" w:hAnsi="Courier" w:cs="Courier"/>
      <w:sz w:val="20"/>
      <w:szCs w:val="20"/>
      <w:lang w:val="en-CA"/>
    </w:rPr>
  </w:style>
  <w:style w:type="character" w:styleId="CommentReference">
    <w:name w:val="annotation reference"/>
    <w:basedOn w:val="DefaultParagraphFont"/>
    <w:uiPriority w:val="99"/>
    <w:semiHidden/>
    <w:unhideWhenUsed/>
    <w:rsid w:val="00DF567F"/>
    <w:rPr>
      <w:sz w:val="16"/>
      <w:szCs w:val="16"/>
    </w:rPr>
  </w:style>
  <w:style w:type="paragraph" w:styleId="CommentText">
    <w:name w:val="annotation text"/>
    <w:basedOn w:val="Normal"/>
    <w:link w:val="CommentTextChar"/>
    <w:uiPriority w:val="99"/>
    <w:semiHidden/>
    <w:unhideWhenUsed/>
    <w:rsid w:val="00DF567F"/>
    <w:rPr>
      <w:sz w:val="20"/>
      <w:szCs w:val="20"/>
    </w:rPr>
  </w:style>
  <w:style w:type="character" w:customStyle="1" w:styleId="CommentTextChar">
    <w:name w:val="Comment Text Char"/>
    <w:basedOn w:val="DefaultParagraphFont"/>
    <w:link w:val="CommentText"/>
    <w:uiPriority w:val="99"/>
    <w:semiHidden/>
    <w:rsid w:val="00DF567F"/>
    <w:rPr>
      <w:sz w:val="20"/>
      <w:szCs w:val="20"/>
    </w:rPr>
  </w:style>
  <w:style w:type="paragraph" w:styleId="CommentSubject">
    <w:name w:val="annotation subject"/>
    <w:basedOn w:val="CommentText"/>
    <w:next w:val="CommentText"/>
    <w:link w:val="CommentSubjectChar"/>
    <w:uiPriority w:val="99"/>
    <w:semiHidden/>
    <w:unhideWhenUsed/>
    <w:rsid w:val="00DF567F"/>
    <w:rPr>
      <w:b/>
      <w:bCs/>
    </w:rPr>
  </w:style>
  <w:style w:type="character" w:customStyle="1" w:styleId="CommentSubjectChar">
    <w:name w:val="Comment Subject Char"/>
    <w:basedOn w:val="CommentTextChar"/>
    <w:link w:val="CommentSubject"/>
    <w:uiPriority w:val="99"/>
    <w:semiHidden/>
    <w:rsid w:val="00DF567F"/>
    <w:rPr>
      <w:b/>
      <w:bCs/>
      <w:sz w:val="20"/>
      <w:szCs w:val="20"/>
    </w:rPr>
  </w:style>
  <w:style w:type="paragraph" w:styleId="ListParagraph">
    <w:name w:val="List Paragraph"/>
    <w:basedOn w:val="Normal"/>
    <w:uiPriority w:val="34"/>
    <w:qFormat/>
    <w:rsid w:val="00564C5E"/>
    <w:pPr>
      <w:ind w:left="720"/>
      <w:contextualSpacing/>
    </w:pPr>
  </w:style>
  <w:style w:type="character" w:styleId="PlaceholderText">
    <w:name w:val="Placeholder Text"/>
    <w:basedOn w:val="DefaultParagraphFont"/>
    <w:uiPriority w:val="99"/>
    <w:semiHidden/>
    <w:rsid w:val="009C7316"/>
    <w:rPr>
      <w:color w:val="808080"/>
    </w:rPr>
  </w:style>
  <w:style w:type="character" w:styleId="Hyperlink">
    <w:name w:val="Hyperlink"/>
    <w:basedOn w:val="DefaultParagraphFont"/>
    <w:uiPriority w:val="99"/>
    <w:unhideWhenUsed/>
    <w:rsid w:val="00B310B5"/>
    <w:rPr>
      <w:color w:val="0000FF" w:themeColor="hyperlink"/>
      <w:u w:val="single"/>
    </w:rPr>
  </w:style>
  <w:style w:type="character" w:styleId="FollowedHyperlink">
    <w:name w:val="FollowedHyperlink"/>
    <w:basedOn w:val="DefaultParagraphFont"/>
    <w:uiPriority w:val="99"/>
    <w:semiHidden/>
    <w:unhideWhenUsed/>
    <w:rsid w:val="00B31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4388">
      <w:bodyDiv w:val="1"/>
      <w:marLeft w:val="0"/>
      <w:marRight w:val="0"/>
      <w:marTop w:val="0"/>
      <w:marBottom w:val="0"/>
      <w:divBdr>
        <w:top w:val="none" w:sz="0" w:space="0" w:color="auto"/>
        <w:left w:val="none" w:sz="0" w:space="0" w:color="auto"/>
        <w:bottom w:val="none" w:sz="0" w:space="0" w:color="auto"/>
        <w:right w:val="none" w:sz="0" w:space="0" w:color="auto"/>
      </w:divBdr>
    </w:div>
    <w:div w:id="333458310">
      <w:bodyDiv w:val="1"/>
      <w:marLeft w:val="0"/>
      <w:marRight w:val="0"/>
      <w:marTop w:val="0"/>
      <w:marBottom w:val="0"/>
      <w:divBdr>
        <w:top w:val="none" w:sz="0" w:space="0" w:color="auto"/>
        <w:left w:val="none" w:sz="0" w:space="0" w:color="auto"/>
        <w:bottom w:val="none" w:sz="0" w:space="0" w:color="auto"/>
        <w:right w:val="none" w:sz="0" w:space="0" w:color="auto"/>
      </w:divBdr>
    </w:div>
    <w:div w:id="822887548">
      <w:bodyDiv w:val="1"/>
      <w:marLeft w:val="0"/>
      <w:marRight w:val="0"/>
      <w:marTop w:val="0"/>
      <w:marBottom w:val="0"/>
      <w:divBdr>
        <w:top w:val="none" w:sz="0" w:space="0" w:color="auto"/>
        <w:left w:val="none" w:sz="0" w:space="0" w:color="auto"/>
        <w:bottom w:val="none" w:sz="0" w:space="0" w:color="auto"/>
        <w:right w:val="none" w:sz="0" w:space="0" w:color="auto"/>
      </w:divBdr>
    </w:div>
    <w:div w:id="823009299">
      <w:bodyDiv w:val="1"/>
      <w:marLeft w:val="0"/>
      <w:marRight w:val="0"/>
      <w:marTop w:val="0"/>
      <w:marBottom w:val="0"/>
      <w:divBdr>
        <w:top w:val="none" w:sz="0" w:space="0" w:color="auto"/>
        <w:left w:val="none" w:sz="0" w:space="0" w:color="auto"/>
        <w:bottom w:val="none" w:sz="0" w:space="0" w:color="auto"/>
        <w:right w:val="none" w:sz="0" w:space="0" w:color="auto"/>
      </w:divBdr>
    </w:div>
    <w:div w:id="1040544857">
      <w:bodyDiv w:val="1"/>
      <w:marLeft w:val="0"/>
      <w:marRight w:val="0"/>
      <w:marTop w:val="0"/>
      <w:marBottom w:val="0"/>
      <w:divBdr>
        <w:top w:val="none" w:sz="0" w:space="0" w:color="auto"/>
        <w:left w:val="none" w:sz="0" w:space="0" w:color="auto"/>
        <w:bottom w:val="none" w:sz="0" w:space="0" w:color="auto"/>
        <w:right w:val="none" w:sz="0" w:space="0" w:color="auto"/>
      </w:divBdr>
    </w:div>
    <w:div w:id="166389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inder.org/v2/gh/geoscixyz/gpgLabs/master?filepath=Notebooks%2FEM_EM31.ipynb"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pg.geosci.xyz/content/electromagnetics/electromagnetic_survey.html"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ybinder.org/v2/gh/geoscixyz/gpgLabs/master?filepath=Notebooks%2FEM_EM31.ipynb" TargetMode="External"/><Relationship Id="rId11" Type="http://schemas.openxmlformats.org/officeDocument/2006/relationships/image" Target="media/image3.jpeg"/><Relationship Id="rId5" Type="http://schemas.openxmlformats.org/officeDocument/2006/relationships/hyperlink" Target="https://gpg.geosci.xyz/content/electromagnetics/electromagnetic_interpretation.html"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9</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dyang</dc:creator>
  <cp:keywords/>
  <dc:description/>
  <cp:lastModifiedBy>Microsoft Office User</cp:lastModifiedBy>
  <cp:revision>72</cp:revision>
  <dcterms:created xsi:type="dcterms:W3CDTF">2017-09-23T20:25:00Z</dcterms:created>
  <dcterms:modified xsi:type="dcterms:W3CDTF">2018-11-18T01:48:00Z</dcterms:modified>
  <cp:category/>
</cp:coreProperties>
</file>