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Clinical Research Learning Final Pack - Dad's Guide</w:t>
      </w:r>
    </w:p>
    <w:p>
      <w:pPr>
        <w:pStyle w:val="Subtitle"/>
        <w:jc w:val="left"/>
      </w:pPr>
      <w:r>
        <w:t>How an experienced engineer can support the learning without taking over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AF2F8"/>
            <w:tcBorders>
              <w:top w:val="single" w:sz="8" w:color="2F5E8E"/>
              <w:left w:val="single" w:sz="8" w:color="2F5E8E"/>
              <w:bottom w:val="single" w:sz="8" w:color="2F5E8E"/>
              <w:right w:val="single" w:sz="8" w:color="2F5E8E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F3F5B"/>
                <w:sz w:val="21"/>
              </w:rPr>
              <w:t>Core idea</w:t>
              <w:br/>
            </w:r>
            <w:r>
              <w:rPr>
                <w:sz w:val="21"/>
              </w:rPr>
              <w:t>Your leverage is in setup, systems thinking, debugging, Git/GitHub hygiene, security instincts, and modeling careful AI-assisted work. She owns the clinical context, the meaning of the data, and the final story told by each analysis.</w:t>
            </w:r>
          </w:p>
        </w:tc>
      </w:tr>
    </w:tbl>
    <w:p/>
    <w:p>
      <w:pPr>
        <w:pStyle w:val="Heading1"/>
      </w:pPr>
      <w:r>
        <w:t>Role boundaries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608"/>
            <w:shd w:fill="2F5E8E"/>
            <w:tcBorders>
              <w:top w:val="single" w:sz="8" w:color="1F3F5B"/>
              <w:left w:val="single" w:sz="8" w:color="1F3F5B"/>
              <w:bottom w:val="single" w:sz="8" w:color="1F3F5B"/>
              <w:right w:val="single" w:sz="8" w:color="1F3F5B"/>
            </w:tcBorders>
          </w:tcPr>
          <w:p>
            <w:r>
              <w:rPr>
                <w:b/>
                <w:color w:val="FFFFFF"/>
                <w:sz w:val="20"/>
              </w:rPr>
              <w:t>You can lead</w:t>
            </w:r>
          </w:p>
        </w:tc>
        <w:tc>
          <w:tcPr>
            <w:tcW w:type="dxa" w:w="4608"/>
            <w:shd w:fill="2F5E8E"/>
            <w:tcBorders>
              <w:top w:val="single" w:sz="8" w:color="1F3F5B"/>
              <w:left w:val="single" w:sz="8" w:color="1F3F5B"/>
              <w:bottom w:val="single" w:sz="8" w:color="1F3F5B"/>
              <w:right w:val="single" w:sz="8" w:color="1F3F5B"/>
            </w:tcBorders>
          </w:tcPr>
          <w:p>
            <w:r>
              <w:rPr>
                <w:b/>
                <w:color w:val="FFFFFF"/>
                <w:sz w:val="20"/>
              </w:rPr>
              <w:t>You should support, not dominate</w:t>
            </w:r>
          </w:p>
        </w:tc>
      </w:tr>
      <w:tr>
        <w:tc>
          <w:tcPr>
            <w:tcW w:type="dxa" w:w="4608"/>
            <w:tcBorders>
              <w:top w:val="single" w:sz="6" w:color="C9D5E2"/>
              <w:left w:val="single" w:sz="6" w:color="C9D5E2"/>
              <w:bottom w:val="single" w:sz="6" w:color="C9D5E2"/>
              <w:right w:val="single" w:sz="6" w:color="C9D5E2"/>
            </w:tcBorders>
            <w:vAlign w:val="center"/>
          </w:tcPr>
          <w:p>
            <w:r>
              <w:t>Git and GitHub hygiene</w:t>
              <w:br/>
              <w:t>Python environment setup</w:t>
              <w:br/>
              <w:t>Debugging workflow</w:t>
              <w:br/>
              <w:t>AI-assisted coding patterns</w:t>
              <w:br/>
              <w:t>Security review and repo cleanup</w:t>
            </w:r>
          </w:p>
        </w:tc>
        <w:tc>
          <w:tcPr>
            <w:tcW w:type="dxa" w:w="4608"/>
            <w:tcBorders>
              <w:top w:val="single" w:sz="6" w:color="C9D5E2"/>
              <w:left w:val="single" w:sz="6" w:color="C9D5E2"/>
              <w:bottom w:val="single" w:sz="6" w:color="C9D5E2"/>
              <w:right w:val="single" w:sz="6" w:color="C9D5E2"/>
            </w:tcBorders>
            <w:vAlign w:val="center"/>
          </w:tcPr>
          <w:p>
            <w:r>
              <w:t>Clinical interpretation</w:t>
              <w:br/>
              <w:t>Dashboard storytelling for research audiences</w:t>
              <w:br/>
              <w:t>REDCap workflow choices</w:t>
              <w:br/>
              <w:t>Privacy/compliance decisions in her actual workplace context</w:t>
              <w:br/>
              <w:t>What belongs in the final study-status narrative</w:t>
            </w:r>
          </w:p>
        </w:tc>
      </w:tr>
    </w:tbl>
    <w:p/>
    <w:p>
      <w:pPr>
        <w:pStyle w:val="Heading1"/>
      </w:pPr>
      <w:r>
        <w:t>Week-by-week support plan</w:t>
      </w:r>
    </w:p>
    <w:p>
      <w:pPr>
        <w:pStyle w:val="Heading2"/>
      </w:pPr>
      <w:r>
        <w:t>Weeks 1-2 - SQL foundations</w:t>
      </w:r>
    </w:p>
    <w:p>
      <w:pPr>
        <w:ind w:left="288" w:hanging="259"/>
      </w:pPr>
      <w:r>
        <w:rPr>
          <w:b/>
        </w:rPr>
        <w:t xml:space="preserve">• </w:t>
      </w:r>
      <w:r>
        <w:t>Set up SQLite or PostgreSQL and a beginner-friendly GUI.</w:t>
      </w:r>
    </w:p>
    <w:p>
      <w:pPr>
        <w:ind w:left="288" w:hanging="259"/>
      </w:pPr>
      <w:r>
        <w:rPr>
          <w:b/>
        </w:rPr>
        <w:t xml:space="preserve">• </w:t>
      </w:r>
      <w:r>
        <w:t>Help import synthetic data and initialize the GitHub repo.</w:t>
      </w:r>
    </w:p>
    <w:p>
      <w:pPr>
        <w:ind w:left="288" w:hanging="259"/>
      </w:pPr>
      <w:r>
        <w:rPr>
          <w:b/>
        </w:rPr>
        <w:t xml:space="preserve">• </w:t>
      </w:r>
      <w:r>
        <w:t>Learn alongside her rather than presenting yourself as the SQL authority.</w:t>
      </w:r>
    </w:p>
    <w:p>
      <w:pPr>
        <w:ind w:left="288" w:hanging="259"/>
      </w:pPr>
      <w:r>
        <w:rPr>
          <w:b/>
        </w:rPr>
        <w:t xml:space="preserve">• </w:t>
      </w:r>
      <w:r>
        <w:t>Keep the setup lightweight; avoid unnecessary containers, CI, or tool sprawl.</w:t>
      </w:r>
    </w:p>
    <w:p>
      <w:pPr>
        <w:pStyle w:val="Heading2"/>
      </w:pPr>
      <w:r>
        <w:t>Weeks 3-4 - Tableau + statistics</w:t>
      </w:r>
    </w:p>
    <w:p>
      <w:pPr>
        <w:ind w:left="288" w:hanging="259"/>
      </w:pPr>
      <w:r>
        <w:rPr>
          <w:b/>
        </w:rPr>
        <w:t xml:space="preserve">• </w:t>
      </w:r>
      <w:r>
        <w:t>Help connect Tableau Public to exported data.</w:t>
      </w:r>
    </w:p>
    <w:p>
      <w:pPr>
        <w:ind w:left="288" w:hanging="259"/>
      </w:pPr>
      <w:r>
        <w:rPr>
          <w:b/>
        </w:rPr>
        <w:t xml:space="preserve">• </w:t>
      </w:r>
      <w:r>
        <w:t>Act as the audience: ask what each chart says, who it is for, and what action it supports.</w:t>
      </w:r>
    </w:p>
    <w:p>
      <w:pPr>
        <w:ind w:left="288" w:hanging="259"/>
      </w:pPr>
      <w:r>
        <w:rPr>
          <w:b/>
        </w:rPr>
        <w:t xml:space="preserve">• </w:t>
      </w:r>
      <w:r>
        <w:t>Translate statistics into practical meaning without turning it into a lecture.</w:t>
      </w:r>
    </w:p>
    <w:p>
      <w:pPr>
        <w:ind w:left="288" w:hanging="259"/>
      </w:pPr>
      <w:r>
        <w:rPr>
          <w:b/>
        </w:rPr>
        <w:t xml:space="preserve">• </w:t>
      </w:r>
      <w:r>
        <w:t>Resist replacing dashboards with code just because scripting feels more comfortable.</w:t>
      </w:r>
    </w:p>
    <w:p>
      <w:pPr>
        <w:pStyle w:val="Heading2"/>
      </w:pPr>
      <w:r>
        <w:t>Week 5 - Python</w:t>
      </w:r>
    </w:p>
    <w:p>
      <w:pPr>
        <w:ind w:left="288" w:hanging="259"/>
      </w:pPr>
      <w:r>
        <w:rPr>
          <w:b/>
        </w:rPr>
        <w:t xml:space="preserve">• </w:t>
      </w:r>
      <w:r>
        <w:t>This is a strong week for pairing. Make the first script feel easy and approachable.</w:t>
      </w:r>
    </w:p>
    <w:p>
      <w:pPr>
        <w:ind w:left="288" w:hanging="259"/>
      </w:pPr>
      <w:r>
        <w:rPr>
          <w:b/>
        </w:rPr>
        <w:t xml:space="preserve">• </w:t>
      </w:r>
      <w:r>
        <w:t>Use AI to scaffold code, then narrate what you are checking and why.</w:t>
      </w:r>
    </w:p>
    <w:p>
      <w:pPr>
        <w:ind w:left="288" w:hanging="259"/>
      </w:pPr>
      <w:r>
        <w:rPr>
          <w:b/>
        </w:rPr>
        <w:t xml:space="preserve">• </w:t>
      </w:r>
      <w:r>
        <w:t>Let her drive the keyboard often enough that the skill transfers.</w:t>
      </w:r>
    </w:p>
    <w:p>
      <w:pPr>
        <w:pStyle w:val="Heading2"/>
      </w:pPr>
      <w:r>
        <w:t>Week 6 - AI-assisted workflows + REDCap exposure</w:t>
      </w:r>
    </w:p>
    <w:p>
      <w:pPr>
        <w:ind w:left="288" w:hanging="259"/>
      </w:pPr>
      <w:r>
        <w:rPr>
          <w:b/>
        </w:rPr>
        <w:t xml:space="preserve">• </w:t>
      </w:r>
      <w:r>
        <w:t>Demonstrate context-rich prompts, verification requests, and stepwise workflows.</w:t>
      </w:r>
    </w:p>
    <w:p>
      <w:pPr>
        <w:ind w:left="288" w:hanging="259"/>
      </w:pPr>
      <w:r>
        <w:rPr>
          <w:b/>
        </w:rPr>
        <w:t xml:space="preserve">• </w:t>
      </w:r>
      <w:r>
        <w:t>Model healthy skepticism: read the traceback, inspect the data, and verify the draft.</w:t>
      </w:r>
    </w:p>
    <w:p>
      <w:pPr>
        <w:ind w:left="288" w:hanging="259"/>
      </w:pPr>
      <w:r>
        <w:rPr>
          <w:b/>
        </w:rPr>
        <w:t xml:space="preserve">• </w:t>
      </w:r>
      <w:r>
        <w:t>Reinforce the bright line: no real work data, screenshots, or PHI in consumer AI tools.</w:t>
      </w:r>
    </w:p>
    <w:p>
      <w:pPr>
        <w:ind w:left="288" w:hanging="259"/>
      </w:pPr>
      <w:r>
        <w:rPr>
          <w:b/>
        </w:rPr>
        <w:t xml:space="preserve">• </w:t>
      </w:r>
      <w:r>
        <w:t>Treat REDCap as a familiarity topic unless she already has institutional access.</w:t>
      </w:r>
    </w:p>
    <w:p>
      <w:pPr>
        <w:pStyle w:val="Heading2"/>
      </w:pPr>
      <w:r>
        <w:t>Week 7 - GitHub + documentation</w:t>
      </w:r>
    </w:p>
    <w:p>
      <w:pPr>
        <w:ind w:left="288" w:hanging="259"/>
      </w:pPr>
      <w:r>
        <w:rPr>
          <w:b/>
        </w:rPr>
        <w:t xml:space="preserve">• </w:t>
      </w:r>
      <w:r>
        <w:t>Review repo structure, README quality, .gitignore, and overall professionalism.</w:t>
      </w:r>
    </w:p>
    <w:p>
      <w:pPr>
        <w:ind w:left="288" w:hanging="259"/>
      </w:pPr>
      <w:r>
        <w:rPr>
          <w:b/>
        </w:rPr>
        <w:t xml:space="preserve">• </w:t>
      </w:r>
      <w:r>
        <w:t>Run a security sweep for keys, local paths, hidden exports, and accidental internal references.</w:t>
      </w:r>
    </w:p>
    <w:p>
      <w:pPr>
        <w:ind w:left="288" w:hanging="259"/>
      </w:pPr>
      <w:r>
        <w:rPr>
          <w:b/>
        </w:rPr>
        <w:t xml:space="preserve">• </w:t>
      </w:r>
      <w:r>
        <w:t>Use a branch/PR flow to simulate collaborative review.</w:t>
      </w:r>
    </w:p>
    <w:p>
      <w:pPr>
        <w:pStyle w:val="Heading2"/>
      </w:pPr>
      <w:r>
        <w:t>Week 8 - Capstone</w:t>
      </w:r>
    </w:p>
    <w:p>
      <w:pPr>
        <w:ind w:left="288" w:hanging="259"/>
      </w:pPr>
      <w:r>
        <w:rPr>
          <w:b/>
        </w:rPr>
        <w:t xml:space="preserve">• </w:t>
      </w:r>
      <w:r>
        <w:t>Help architect the end-to-end pipeline and keep scope realistic.</w:t>
      </w:r>
    </w:p>
    <w:p>
      <w:pPr>
        <w:ind w:left="288" w:hanging="259"/>
      </w:pPr>
      <w:r>
        <w:rPr>
          <w:b/>
        </w:rPr>
        <w:t xml:space="preserve">• </w:t>
      </w:r>
      <w:r>
        <w:t>Be the QA reviewer on code, documentation, diagrams, and repo polish.</w:t>
      </w:r>
    </w:p>
    <w:p>
      <w:pPr>
        <w:ind w:left="288" w:hanging="259"/>
      </w:pPr>
      <w:r>
        <w:rPr>
          <w:b/>
        </w:rPr>
        <w:t xml:space="preserve">• </w:t>
      </w:r>
      <w:r>
        <w:t>Push for clarity, not cleverness.</w:t>
      </w:r>
    </w:p>
    <w:p>
      <w:pPr>
        <w:pStyle w:val="Heading1"/>
      </w:pPr>
      <w:r>
        <w:t>How to use AI well together</w:t>
      </w:r>
    </w:p>
    <w:p>
      <w:pPr>
        <w:ind w:left="288" w:hanging="259"/>
      </w:pPr>
      <w:r>
        <w:rPr>
          <w:b/>
        </w:rPr>
        <w:t xml:space="preserve">• </w:t>
      </w:r>
      <w:r>
        <w:t>Use AI to scaffold files, explain errors, suggest test cases, draft summaries, and critique dashboards.</w:t>
      </w:r>
    </w:p>
    <w:p>
      <w:pPr>
        <w:ind w:left="288" w:hanging="259"/>
      </w:pPr>
      <w:r>
        <w:rPr>
          <w:b/>
        </w:rPr>
        <w:t xml:space="preserve">• </w:t>
      </w:r>
      <w:r>
        <w:t>Ask AI to list assumptions, possible failure modes, and how to verify the answer.</w:t>
      </w:r>
    </w:p>
    <w:p>
      <w:pPr>
        <w:ind w:left="288" w:hanging="259"/>
      </w:pPr>
      <w:r>
        <w:rPr>
          <w:b/>
        </w:rPr>
        <w:t xml:space="preserve">• </w:t>
      </w:r>
      <w:r>
        <w:t>Prefer human-supervised multi-step workflows over vague 'agent' magic.</w:t>
      </w:r>
    </w:p>
    <w:p>
      <w:pPr>
        <w:ind w:left="288" w:hanging="259"/>
      </w:pPr>
      <w:r>
        <w:rPr>
          <w:b/>
        </w:rPr>
        <w:t xml:space="preserve">• </w:t>
      </w:r>
      <w:r>
        <w:t>Save especially good prompts in the repo or a shared notes file so the process becomes reusable.</w:t>
      </w:r>
    </w:p>
    <w:p>
      <w:pPr>
        <w:pStyle w:val="Heading1"/>
      </w:pPr>
      <w:r>
        <w:t>Engineer-dad traps to avoid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016"/>
            <w:shd w:fill="2F5E8E"/>
            <w:tcBorders>
              <w:top w:val="single" w:sz="8" w:color="1F3F5B"/>
              <w:left w:val="single" w:sz="8" w:color="1F3F5B"/>
              <w:bottom w:val="single" w:sz="8" w:color="1F3F5B"/>
              <w:right w:val="single" w:sz="8" w:color="1F3F5B"/>
            </w:tcBorders>
          </w:tcPr>
          <w:p>
            <w:r>
              <w:rPr>
                <w:b/>
                <w:color w:val="FFFFFF"/>
                <w:sz w:val="20"/>
              </w:rPr>
              <w:t>Trap</w:t>
            </w:r>
          </w:p>
        </w:tc>
        <w:tc>
          <w:tcPr>
            <w:tcW w:type="dxa" w:w="3168"/>
            <w:shd w:fill="2F5E8E"/>
            <w:tcBorders>
              <w:top w:val="single" w:sz="8" w:color="1F3F5B"/>
              <w:left w:val="single" w:sz="8" w:color="1F3F5B"/>
              <w:bottom w:val="single" w:sz="8" w:color="1F3F5B"/>
              <w:right w:val="single" w:sz="8" w:color="1F3F5B"/>
            </w:tcBorders>
          </w:tcPr>
          <w:p>
            <w:r>
              <w:rPr>
                <w:b/>
                <w:color w:val="FFFFFF"/>
                <w:sz w:val="20"/>
              </w:rPr>
              <w:t>Why it happens</w:t>
            </w:r>
          </w:p>
        </w:tc>
        <w:tc>
          <w:tcPr>
            <w:tcW w:type="dxa" w:w="4032"/>
            <w:shd w:fill="2F5E8E"/>
            <w:tcBorders>
              <w:top w:val="single" w:sz="8" w:color="1F3F5B"/>
              <w:left w:val="single" w:sz="8" w:color="1F3F5B"/>
              <w:bottom w:val="single" w:sz="8" w:color="1F3F5B"/>
              <w:right w:val="single" w:sz="8" w:color="1F3F5B"/>
            </w:tcBorders>
          </w:tcPr>
          <w:p>
            <w:r>
              <w:rPr>
                <w:b/>
                <w:color w:val="FFFFFF"/>
                <w:sz w:val="20"/>
              </w:rPr>
              <w:t>Better move</w:t>
            </w:r>
          </w:p>
        </w:tc>
      </w:tr>
      <w:tr>
        <w:tc>
          <w:tcPr>
            <w:tcW w:type="dxa" w:w="2016"/>
            <w:tcBorders>
              <w:top w:val="single" w:sz="6" w:color="C9D5E2"/>
              <w:left w:val="single" w:sz="6" w:color="C9D5E2"/>
              <w:bottom w:val="single" w:sz="6" w:color="C9D5E2"/>
              <w:right w:val="single" w:sz="6" w:color="C9D5E2"/>
            </w:tcBorders>
            <w:vAlign w:val="center"/>
          </w:tcPr>
          <w:p>
            <w:r>
              <w:t>Solving it for her</w:t>
            </w:r>
          </w:p>
        </w:tc>
        <w:tc>
          <w:tcPr>
            <w:tcW w:type="dxa" w:w="3168"/>
            <w:tcBorders>
              <w:top w:val="single" w:sz="6" w:color="C9D5E2"/>
              <w:left w:val="single" w:sz="6" w:color="C9D5E2"/>
              <w:bottom w:val="single" w:sz="6" w:color="C9D5E2"/>
              <w:right w:val="single" w:sz="6" w:color="C9D5E2"/>
            </w:tcBorders>
            <w:vAlign w:val="center"/>
          </w:tcPr>
          <w:p>
            <w:r>
              <w:t>You see the fix quickly and want momentum</w:t>
            </w:r>
          </w:p>
        </w:tc>
        <w:tc>
          <w:tcPr>
            <w:tcW w:type="dxa" w:w="4032"/>
            <w:tcBorders>
              <w:top w:val="single" w:sz="6" w:color="C9D5E2"/>
              <w:left w:val="single" w:sz="6" w:color="C9D5E2"/>
              <w:bottom w:val="single" w:sz="6" w:color="C9D5E2"/>
              <w:right w:val="single" w:sz="6" w:color="C9D5E2"/>
            </w:tcBorders>
            <w:vAlign w:val="center"/>
          </w:tcPr>
          <w:p>
            <w:r>
              <w:t>Ask guiding questions first, then step in only when needed</w:t>
            </w:r>
          </w:p>
        </w:tc>
      </w:tr>
      <w:tr>
        <w:tc>
          <w:tcPr>
            <w:tcW w:type="dxa" w:w="2016"/>
            <w:tcBorders>
              <w:top w:val="single" w:sz="6" w:color="C9D5E2"/>
              <w:left w:val="single" w:sz="6" w:color="C9D5E2"/>
              <w:bottom w:val="single" w:sz="6" w:color="C9D5E2"/>
              <w:right w:val="single" w:sz="6" w:color="C9D5E2"/>
            </w:tcBorders>
            <w:vAlign w:val="center"/>
          </w:tcPr>
          <w:p>
            <w:r>
              <w:t>Over-engineering the environment</w:t>
            </w:r>
          </w:p>
        </w:tc>
        <w:tc>
          <w:tcPr>
            <w:tcW w:type="dxa" w:w="3168"/>
            <w:tcBorders>
              <w:top w:val="single" w:sz="6" w:color="C9D5E2"/>
              <w:left w:val="single" w:sz="6" w:color="C9D5E2"/>
              <w:bottom w:val="single" w:sz="6" w:color="C9D5E2"/>
              <w:right w:val="single" w:sz="6" w:color="C9D5E2"/>
            </w:tcBorders>
            <w:vAlign w:val="center"/>
          </w:tcPr>
          <w:p>
            <w:r>
              <w:t>Your instincts come from professional software projects</w:t>
            </w:r>
          </w:p>
        </w:tc>
        <w:tc>
          <w:tcPr>
            <w:tcW w:type="dxa" w:w="4032"/>
            <w:tcBorders>
              <w:top w:val="single" w:sz="6" w:color="C9D5E2"/>
              <w:left w:val="single" w:sz="6" w:color="C9D5E2"/>
              <w:bottom w:val="single" w:sz="6" w:color="C9D5E2"/>
              <w:right w:val="single" w:sz="6" w:color="C9D5E2"/>
            </w:tcBorders>
            <w:vAlign w:val="center"/>
          </w:tcPr>
          <w:p>
            <w:r>
              <w:t>Keep it simple: local DB, editor, GitHub, and one clean Python environment</w:t>
            </w:r>
          </w:p>
        </w:tc>
      </w:tr>
      <w:tr>
        <w:tc>
          <w:tcPr>
            <w:tcW w:type="dxa" w:w="2016"/>
            <w:tcBorders>
              <w:top w:val="single" w:sz="6" w:color="C9D5E2"/>
              <w:left w:val="single" w:sz="6" w:color="C9D5E2"/>
              <w:bottom w:val="single" w:sz="6" w:color="C9D5E2"/>
              <w:right w:val="single" w:sz="6" w:color="C9D5E2"/>
            </w:tcBorders>
            <w:vAlign w:val="center"/>
          </w:tcPr>
          <w:p>
            <w:r>
              <w:t>Dismissing non-code tools</w:t>
            </w:r>
          </w:p>
        </w:tc>
        <w:tc>
          <w:tcPr>
            <w:tcW w:type="dxa" w:w="3168"/>
            <w:tcBorders>
              <w:top w:val="single" w:sz="6" w:color="C9D5E2"/>
              <w:left w:val="single" w:sz="6" w:color="C9D5E2"/>
              <w:bottom w:val="single" w:sz="6" w:color="C9D5E2"/>
              <w:right w:val="single" w:sz="6" w:color="C9D5E2"/>
            </w:tcBorders>
            <w:vAlign w:val="center"/>
          </w:tcPr>
          <w:p>
            <w:r>
              <w:t>Dashboards may feel less rigorous than code</w:t>
            </w:r>
          </w:p>
        </w:tc>
        <w:tc>
          <w:tcPr>
            <w:tcW w:type="dxa" w:w="4032"/>
            <w:tcBorders>
              <w:top w:val="single" w:sz="6" w:color="C9D5E2"/>
              <w:left w:val="single" w:sz="6" w:color="C9D5E2"/>
              <w:bottom w:val="single" w:sz="6" w:color="C9D5E2"/>
              <w:right w:val="single" w:sz="6" w:color="C9D5E2"/>
            </w:tcBorders>
            <w:vAlign w:val="center"/>
          </w:tcPr>
          <w:p>
            <w:r>
              <w:t>Remember the audience: managers and study teams often need visuals first</w:t>
            </w:r>
          </w:p>
        </w:tc>
      </w:tr>
      <w:tr>
        <w:tc>
          <w:tcPr>
            <w:tcW w:type="dxa" w:w="2016"/>
            <w:tcBorders>
              <w:top w:val="single" w:sz="6" w:color="C9D5E2"/>
              <w:left w:val="single" w:sz="6" w:color="C9D5E2"/>
              <w:bottom w:val="single" w:sz="6" w:color="C9D5E2"/>
              <w:right w:val="single" w:sz="6" w:color="C9D5E2"/>
            </w:tcBorders>
            <w:vAlign w:val="center"/>
          </w:tcPr>
          <w:p>
            <w:r>
              <w:t>Taking over the narrative</w:t>
            </w:r>
          </w:p>
        </w:tc>
        <w:tc>
          <w:tcPr>
            <w:tcW w:type="dxa" w:w="3168"/>
            <w:tcBorders>
              <w:top w:val="single" w:sz="6" w:color="C9D5E2"/>
              <w:left w:val="single" w:sz="6" w:color="C9D5E2"/>
              <w:bottom w:val="single" w:sz="6" w:color="C9D5E2"/>
              <w:right w:val="single" w:sz="6" w:color="C9D5E2"/>
            </w:tcBorders>
            <w:vAlign w:val="center"/>
          </w:tcPr>
          <w:p>
            <w:r>
              <w:t>You are comfortable presenting technical work</w:t>
            </w:r>
          </w:p>
        </w:tc>
        <w:tc>
          <w:tcPr>
            <w:tcW w:type="dxa" w:w="4032"/>
            <w:tcBorders>
              <w:top w:val="single" w:sz="6" w:color="C9D5E2"/>
              <w:left w:val="single" w:sz="6" w:color="C9D5E2"/>
              <w:bottom w:val="single" w:sz="6" w:color="C9D5E2"/>
              <w:right w:val="single" w:sz="6" w:color="C9D5E2"/>
            </w:tcBorders>
            <w:vAlign w:val="center"/>
          </w:tcPr>
          <w:p>
            <w:r>
              <w:t>Have her explain what the data means and why the output matters</w:t>
            </w:r>
          </w:p>
        </w:tc>
      </w:tr>
    </w:tbl>
    <w:p/>
    <w:p>
      <w:pPr>
        <w:pStyle w:val="Heading1"/>
      </w:pPr>
      <w:r>
        <w:t>Practical home-learning setup</w:t>
      </w:r>
    </w:p>
    <w:p>
      <w:pPr>
        <w:ind w:left="288" w:hanging="259"/>
      </w:pPr>
      <w:r>
        <w:rPr>
          <w:b/>
        </w:rPr>
        <w:t xml:space="preserve">• </w:t>
      </w:r>
      <w:r>
        <w:t>Create one dedicated parent folder for all learning projects.</w:t>
      </w:r>
    </w:p>
    <w:p>
      <w:pPr>
        <w:ind w:left="288" w:hanging="259"/>
      </w:pPr>
      <w:r>
        <w:rPr>
          <w:b/>
        </w:rPr>
        <w:t xml:space="preserve">• </w:t>
      </w:r>
      <w:r>
        <w:t>Back up the workspace regularly.</w:t>
      </w:r>
    </w:p>
    <w:p>
      <w:pPr>
        <w:ind w:left="288" w:hanging="259"/>
      </w:pPr>
      <w:r>
        <w:rPr>
          <w:b/>
        </w:rPr>
        <w:t xml:space="preserve">• </w:t>
      </w:r>
      <w:r>
        <w:t>Skip third-party browser extensions or connectors unless you both understand exactly what they do.</w:t>
      </w:r>
    </w:p>
    <w:p>
      <w:pPr>
        <w:ind w:left="288" w:hanging="259"/>
      </w:pPr>
      <w:r>
        <w:rPr>
          <w:b/>
        </w:rPr>
        <w:t xml:space="preserve">• </w:t>
      </w:r>
      <w:r>
        <w:t>A VM is optional, not required. For synthetic/public-data learning, a dedicated local workspace plus good repo hygiene is usually enough.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936" w:left="115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A6772"/>
        <w:sz w:val="16"/>
      </w:rPr>
      <w:t>Clinical Research Learning Final Pack • March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5A6772"/>
        <w:sz w:val="16"/>
      </w:rPr>
      <w:t>Dad's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" w:hAnsi="Aptos"/>
      <w:b/>
      <w:bCs/>
      <w:color w:val="1F3F5B"/>
      <w:sz w:val="2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2F5E8E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2F5E8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F3F5B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b w:val="0"/>
      <w:i/>
      <w:iCs/>
      <w:color w:val="5A6772"/>
      <w:spacing w:val="15"/>
      <w:sz w:val="23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