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Clinical Research Learning Final Pack - Overview</w:t>
      </w:r>
    </w:p>
    <w:p>
      <w:pPr>
        <w:pStyle w:val="Subtitle"/>
        <w:jc w:val="left"/>
      </w:pPr>
      <w:r>
        <w:t>A polished, privacy-safe starter guide for an early-career clinical research analyst / project manager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Borders>
              <w:top w:val="single" w:sz="8" w:color="2F5E8E"/>
              <w:left w:val="single" w:sz="8" w:color="2F5E8E"/>
              <w:bottom w:val="single" w:sz="8" w:color="2F5E8E"/>
              <w:right w:val="single" w:sz="8" w:color="2F5E8E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3F5B"/>
                <w:sz w:val="21"/>
              </w:rPr>
              <w:t>What this pack is for</w:t>
              <w:br/>
            </w:r>
            <w:r>
              <w:rPr>
                <w:sz w:val="21"/>
              </w:rPr>
              <w:t>This final pack is meant to be practical, lightweight, and execution-ready. It helps an early-career clinical research professional build stronger analytics, reporting, documentation, GitHub, and AI-assisted workflow skills at home using only synthetic, public, or clearly representative non-work data.</w:t>
            </w:r>
          </w:p>
        </w:tc>
      </w:tr>
    </w:tbl>
    <w:p/>
    <w:p>
      <w:pPr>
        <w:pStyle w:val="Heading1"/>
      </w:pPr>
      <w:r>
        <w:t>What success looks like</w:t>
      </w:r>
    </w:p>
    <w:p>
      <w:pPr>
        <w:ind w:left="288" w:hanging="259"/>
      </w:pPr>
      <w:r>
        <w:rPr>
          <w:b/>
        </w:rPr>
        <w:t xml:space="preserve">• </w:t>
      </w:r>
      <w:r>
        <w:t>Query relational data with confidence using SQL and explain what the query is doing in plain language.</w:t>
      </w:r>
    </w:p>
    <w:p>
      <w:pPr>
        <w:ind w:left="288" w:hanging="259"/>
      </w:pPr>
      <w:r>
        <w:rPr>
          <w:b/>
        </w:rPr>
        <w:t xml:space="preserve">• </w:t>
      </w:r>
      <w:r>
        <w:t>Build a Tableau dashboard that supports a study-status or site-performance story without overstating what the charts mean.</w:t>
      </w:r>
    </w:p>
    <w:p>
      <w:pPr>
        <w:ind w:left="288" w:hanging="259"/>
      </w:pPr>
      <w:r>
        <w:rPr>
          <w:b/>
        </w:rPr>
        <w:t xml:space="preserve">• </w:t>
      </w:r>
      <w:r>
        <w:t>Write a small Python script that checks data quality or prepares a repeatable report.</w:t>
      </w:r>
    </w:p>
    <w:p>
      <w:pPr>
        <w:ind w:left="288" w:hanging="259"/>
      </w:pPr>
      <w:r>
        <w:rPr>
          <w:b/>
        </w:rPr>
        <w:t xml:space="preserve">• </w:t>
      </w:r>
      <w:r>
        <w:t>Use AI as a tutor, reviewer, and drafting assistant while verifying outputs and documenting assumptions.</w:t>
      </w:r>
    </w:p>
    <w:p>
      <w:pPr>
        <w:ind w:left="288" w:hanging="259"/>
      </w:pPr>
      <w:r>
        <w:rPr>
          <w:b/>
        </w:rPr>
        <w:t xml:space="preserve">• </w:t>
      </w:r>
      <w:r>
        <w:t>Publish one polished GitHub portfolio project with a README, data dictionary, limitations note, and privacy-safe design statement.</w:t>
      </w:r>
    </w:p>
    <w:p>
      <w:pPr>
        <w:pStyle w:val="Heading1"/>
      </w:pPr>
      <w:r>
        <w:t>Non-negotiable boundaries</w:t>
      </w:r>
    </w:p>
    <w:p>
      <w:pPr>
        <w:ind w:left="288" w:hanging="259"/>
      </w:pPr>
      <w:r>
        <w:rPr>
          <w:b/>
        </w:rPr>
        <w:t xml:space="preserve">• </w:t>
      </w:r>
      <w:r>
        <w:t>Use only synthetic, public, or representative non-work data on personal devices.</w:t>
      </w:r>
    </w:p>
    <w:p>
      <w:pPr>
        <w:ind w:left="288" w:hanging="259"/>
      </w:pPr>
      <w:r>
        <w:rPr>
          <w:b/>
        </w:rPr>
        <w:t xml:space="preserve">• </w:t>
      </w:r>
      <w:r>
        <w:t>Do not paste PHI, screenshots, internal reports, or confidential work content into consumer AI tools.</w:t>
      </w:r>
    </w:p>
    <w:p>
      <w:pPr>
        <w:ind w:left="288" w:hanging="259"/>
      </w:pPr>
      <w:r>
        <w:rPr>
          <w:b/>
        </w:rPr>
        <w:t xml:space="preserve">• </w:t>
      </w:r>
      <w:r>
        <w:t>Treat any work use of AI or external tools as employer-governed: only approved tools, approved workflows, and approved contracts.</w:t>
      </w:r>
    </w:p>
    <w:p>
      <w:pPr>
        <w:ind w:left="288" w:hanging="259"/>
      </w:pPr>
      <w:r>
        <w:rPr>
          <w:b/>
        </w:rPr>
        <w:t xml:space="preserve">• </w:t>
      </w:r>
      <w:r>
        <w:t>Document the data source, assumptions, and verification steps for every mini-project.</w:t>
      </w:r>
    </w:p>
    <w:p>
      <w:pPr>
        <w:ind w:left="288" w:hanging="259"/>
      </w:pPr>
      <w:r>
        <w:rPr>
          <w:b/>
        </w:rPr>
        <w:t xml:space="preserve">• </w:t>
      </w:r>
      <w:r>
        <w:t>Keep GitHub repositories clean: no credentials, copied work templates, or accidental internal filenames.</w:t>
      </w:r>
    </w:p>
    <w:p>
      <w:pPr>
        <w:pStyle w:val="Heading1"/>
      </w:pPr>
      <w:r>
        <w:t>Shared through-line project</w:t>
      </w:r>
    </w:p>
    <w:p>
      <w:r>
        <w:t>Build one coherent portfolio piece across the whole plan: a Synthetic Clinical Trial Monitoring Workbench. The project uses a small synthetic multi-site study dataset stored locally in SQLite or PostgreSQL, with SQL queries for enrollment and visit progress, a Python data-quality checker, a Tableau dashboard, and an AI-assisted weekly study-status memo. Using one shared project gives the learning arc a narrative and produces a stronger portfolio artifact than disconnected mini-exercises.</w:t>
      </w:r>
    </w:p>
    <w:p>
      <w:pPr>
        <w:pStyle w:val="Heading1"/>
      </w:pPr>
      <w:r>
        <w:t>How Dad should help</w:t>
      </w:r>
    </w:p>
    <w:p>
      <w:pPr>
        <w:ind w:left="288" w:hanging="259"/>
      </w:pPr>
      <w:r>
        <w:rPr>
          <w:b/>
        </w:rPr>
        <w:t xml:space="preserve">• </w:t>
      </w:r>
      <w:r>
        <w:t>Lead setup, Git/GitHub hygiene, debugging workflow, and repo cleanup.</w:t>
      </w:r>
    </w:p>
    <w:p>
      <w:pPr>
        <w:ind w:left="288" w:hanging="259"/>
      </w:pPr>
      <w:r>
        <w:rPr>
          <w:b/>
        </w:rPr>
        <w:t xml:space="preserve">• </w:t>
      </w:r>
      <w:r>
        <w:t>Pair on Python, system structure, and AI-assisted coding habits.</w:t>
      </w:r>
    </w:p>
    <w:p>
      <w:pPr>
        <w:ind w:left="288" w:hanging="259"/>
      </w:pPr>
      <w:r>
        <w:rPr>
          <w:b/>
        </w:rPr>
        <w:t xml:space="preserve">• </w:t>
      </w:r>
      <w:r>
        <w:t>Act as reviewer and audience for dashboards, README files, and weekly summaries.</w:t>
      </w:r>
    </w:p>
    <w:p>
      <w:pPr>
        <w:ind w:left="288" w:hanging="259"/>
      </w:pPr>
      <w:r>
        <w:rPr>
          <w:b/>
        </w:rPr>
        <w:t xml:space="preserve">• </w:t>
      </w:r>
      <w:r>
        <w:t>Leave clinical framing, interpretation, and final storytelling to her.</w:t>
      </w:r>
    </w:p>
    <w:p>
      <w:pPr>
        <w:pStyle w:val="Heading1"/>
      </w:pPr>
      <w:r>
        <w:t>How to use the rest of this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7056"/>
            <w:shd w:fill="2F5E8E"/>
            <w:tcBorders>
              <w:top w:val="single" w:sz="8" w:color="1F3F5B"/>
              <w:left w:val="single" w:sz="8" w:color="1F3F5B"/>
              <w:bottom w:val="single" w:sz="8" w:color="1F3F5B"/>
              <w:right w:val="single" w:sz="8" w:color="1F3F5B"/>
            </w:tcBorders>
          </w:tcPr>
          <w:p>
            <w:r>
              <w:rPr>
                <w:b/>
                <w:color w:val="FFFFFF"/>
                <w:sz w:val="20"/>
              </w:rPr>
              <w:t>How to use it</w:t>
            </w:r>
          </w:p>
        </w:tc>
      </w:tr>
      <w:tr>
        <w:tc>
          <w:tcPr>
            <w:tcW w:type="dxa" w:w="2448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Roadmap</w:t>
            </w:r>
          </w:p>
        </w:tc>
        <w:tc>
          <w:tcPr>
            <w:tcW w:type="dxa" w:w="7056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The week-by-week plan, core deliverables, and a realistic learning cadence.</w:t>
            </w:r>
          </w:p>
        </w:tc>
      </w:tr>
      <w:tr>
        <w:tc>
          <w:tcPr>
            <w:tcW w:type="dxa" w:w="2448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Dad's Guide</w:t>
            </w:r>
          </w:p>
        </w:tc>
        <w:tc>
          <w:tcPr>
            <w:tcW w:type="dxa" w:w="7056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A support playbook for pairing well without taking over.</w:t>
            </w:r>
          </w:p>
        </w:tc>
      </w:tr>
      <w:tr>
        <w:tc>
          <w:tcPr>
            <w:tcW w:type="dxa" w:w="2448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Execution Checklist</w:t>
            </w:r>
          </w:p>
        </w:tc>
        <w:tc>
          <w:tcPr>
            <w:tcW w:type="dxa" w:w="7056"/>
            <w:tcBorders>
              <w:top w:val="single" w:sz="6" w:color="C9D5E2"/>
              <w:left w:val="single" w:sz="6" w:color="C9D5E2"/>
              <w:bottom w:val="single" w:sz="6" w:color="C9D5E2"/>
              <w:right w:val="single" w:sz="6" w:color="C9D5E2"/>
            </w:tcBorders>
            <w:vAlign w:val="center"/>
          </w:tcPr>
          <w:p>
            <w:r>
              <w:t>A one-page working checklist for setup, weekly rhythm, and finish criteria.</w:t>
            </w:r>
          </w:p>
        </w:tc>
      </w:tr>
    </w:tbl>
    <w:p/>
    <w:p>
      <w:pPr>
        <w:pStyle w:val="Heading1"/>
      </w:pPr>
      <w:r>
        <w:t>Execution principle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Borders>
              <w:top w:val="single" w:sz="8" w:color="2F5E8E"/>
              <w:left w:val="single" w:sz="8" w:color="2F5E8E"/>
              <w:bottom w:val="single" w:sz="8" w:color="2F5E8E"/>
              <w:right w:val="single" w:sz="8" w:color="2F5E8E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3F5B"/>
                <w:sz w:val="21"/>
              </w:rPr>
              <w:t>Do a light polish, then start</w:t>
              <w:br/>
            </w:r>
            <w:r>
              <w:rPr>
                <w:sz w:val="21"/>
              </w:rPr>
              <w:t>This pack is already intended to be used, not endlessly edited. Begin the work, review workload after Week 1, and make small adjustments based on what feels realistic in practice.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772"/>
        <w:sz w:val="16"/>
      </w:rPr>
      <w:t>Clinical Research Learning Final Pack • March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772"/>
        <w:sz w:val="16"/>
      </w:rPr>
      <w:t>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3F5B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E8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F5E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3F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A6772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