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41FC5" w14:textId="3B0BF823" w:rsidR="002D7DCF" w:rsidRPr="0084581A" w:rsidRDefault="00C75E62" w:rsidP="00E022EC">
      <w:pPr>
        <w:jc w:val="center"/>
        <w:rPr>
          <w:b/>
          <w:bCs/>
          <w:sz w:val="24"/>
          <w:szCs w:val="28"/>
        </w:rPr>
      </w:pPr>
      <w:r w:rsidRPr="00C75E62">
        <w:rPr>
          <w:b/>
          <w:bCs/>
          <w:sz w:val="24"/>
          <w:szCs w:val="28"/>
          <w:lang w:val="x-none"/>
        </w:rPr>
        <w:t>Pipeline Structural Capacity Analysis</w:t>
      </w:r>
      <w:r w:rsidR="00E9643B" w:rsidRPr="0084581A">
        <w:rPr>
          <w:b/>
          <w:bCs/>
          <w:sz w:val="24"/>
          <w:szCs w:val="28"/>
        </w:rPr>
        <w:t xml:space="preserve"> for TX-113 at US-</w:t>
      </w:r>
      <w:r w:rsidR="00E022EC" w:rsidRPr="0084581A">
        <w:rPr>
          <w:b/>
          <w:bCs/>
          <w:sz w:val="24"/>
          <w:szCs w:val="28"/>
        </w:rPr>
        <w:t>04538</w:t>
      </w:r>
    </w:p>
    <w:p w14:paraId="37A6DACD" w14:textId="77777777" w:rsidR="002D7DCF" w:rsidRDefault="002D7DCF" w:rsidP="0016642C">
      <w:pPr>
        <w:jc w:val="both"/>
      </w:pPr>
    </w:p>
    <w:p w14:paraId="79337508" w14:textId="77777777" w:rsidR="0016642C" w:rsidRPr="00213B85" w:rsidRDefault="0016642C" w:rsidP="0016642C">
      <w:pPr>
        <w:jc w:val="both"/>
      </w:pPr>
      <w:r w:rsidRPr="000A7A28">
        <w:t xml:space="preserve">Ground displacements </w:t>
      </w:r>
      <w:r>
        <w:t xml:space="preserve">from slope failures </w:t>
      </w:r>
      <w:r w:rsidRPr="000A7A28">
        <w:t xml:space="preserve">can cause significant strains on buried pipelines </w:t>
      </w:r>
      <w:r>
        <w:t>and compromise pipeline integrity. A “soil springs” calculation was performed on the segment of pipeline within the &lt;1.5 FOS failure surfaces determined from the stability analyses. The method employed in the soil spring forces calculation is based on several simplifications and conservative assumptions. However, it does not consider pipe bends, pipeline welds and other defects that may exist. Complex pipeline integrity problems may require use of finite element method and further guidance from geotechnical and pipeline integrity engineers.</w:t>
      </w:r>
    </w:p>
    <w:p w14:paraId="461DACD7" w14:textId="77777777" w:rsidR="0016642C" w:rsidRDefault="0016642C" w:rsidP="0016642C">
      <w:pPr>
        <w:jc w:val="both"/>
      </w:pPr>
      <w:r w:rsidRPr="003457A2">
        <w:t xml:space="preserve">The soil around the pipe is idealized as a series of uncoupled “springs”. Those forces are thought to be acting in different directions (lateral, vertical, and axial) and are considered to be independent. This </w:t>
      </w:r>
      <w:r>
        <w:t>implies</w:t>
      </w:r>
      <w:r w:rsidRPr="003457A2">
        <w:t xml:space="preserve"> that forces </w:t>
      </w:r>
      <w:r>
        <w:t>i</w:t>
      </w:r>
      <w:r w:rsidRPr="003457A2">
        <w:t xml:space="preserve">n each direction will be calculated differently. The material behavior of these elements can vary from linearly elastic to non-linear, hysteretic and rate dependent. For simplicity, we assume that these springs are linearly elastic and perfectly plastic. That means that as the displacement increases so does the force, until it reaches a maximum value and then it remains constant. </w:t>
      </w:r>
      <w:r>
        <w:t xml:space="preserve"> </w:t>
      </w:r>
    </w:p>
    <w:p w14:paraId="7B7C9489" w14:textId="44DE3767" w:rsidR="0016642C" w:rsidRDefault="0016642C" w:rsidP="0016642C">
      <w:pPr>
        <w:jc w:val="both"/>
      </w:pPr>
      <w:r w:rsidRPr="00FA0CFC">
        <w:t xml:space="preserve">The length of pipe within the failure plane is important because force and displacement relationships are usually expressed in terms of force on a unit length of pipe. </w:t>
      </w:r>
      <w:r>
        <w:t xml:space="preserve">The length of pipe parallel to the slope that lies within the FOS failure </w:t>
      </w:r>
      <w:r w:rsidR="00DE197B">
        <w:t>surface</w:t>
      </w:r>
      <w:r w:rsidR="00B66ED8">
        <w:t xml:space="preserve">s less than 1.5 </w:t>
      </w:r>
      <w:r w:rsidR="00156687">
        <w:t>wa</w:t>
      </w:r>
      <w:r>
        <w:t xml:space="preserve">s </w:t>
      </w:r>
      <w:r w:rsidR="00010B6E">
        <w:t>estim</w:t>
      </w:r>
      <w:r w:rsidR="008B0535">
        <w:t>at</w:t>
      </w:r>
      <w:r>
        <w:t xml:space="preserve">ed from the stability analysis plates presented in </w:t>
      </w:r>
      <w:r w:rsidR="008B0535">
        <w:t xml:space="preserve">the </w:t>
      </w:r>
      <w:r w:rsidR="00DA14AC" w:rsidRPr="008B0535">
        <w:t>Geosyntec Report</w:t>
      </w:r>
      <w:r w:rsidR="008B0535" w:rsidRPr="008B0535">
        <w:t xml:space="preserve"> dated January 31, 2025</w:t>
      </w:r>
      <w:r w:rsidRPr="008B0535">
        <w:t xml:space="preserve">. </w:t>
      </w:r>
      <w:r w:rsidR="006840B7">
        <w:t xml:space="preserve">Left and right banks </w:t>
      </w:r>
      <w:r w:rsidR="006663D8">
        <w:t xml:space="preserve">have similar failure </w:t>
      </w:r>
      <w:r w:rsidR="00B90AC7">
        <w:t>surfaces;</w:t>
      </w:r>
      <w:r w:rsidR="006663D8">
        <w:t xml:space="preserve"> thus o</w:t>
      </w:r>
      <w:r w:rsidR="00B90AC7">
        <w:t>nly o</w:t>
      </w:r>
      <w:r w:rsidR="006663D8">
        <w:t xml:space="preserve">ne </w:t>
      </w:r>
      <w:r w:rsidR="00B90AC7">
        <w:t xml:space="preserve">representative </w:t>
      </w:r>
      <w:r w:rsidR="006663D8">
        <w:t xml:space="preserve">analysis was </w:t>
      </w:r>
      <w:r w:rsidR="00B90AC7">
        <w:t xml:space="preserve">run. </w:t>
      </w:r>
      <w:r w:rsidR="004D22E7">
        <w:t>Estimated l</w:t>
      </w:r>
      <w:r w:rsidRPr="008B0535">
        <w:t>ength of pipe within the failure surface</w:t>
      </w:r>
      <w:r>
        <w:t xml:space="preserve"> and pipeline depth of cover for </w:t>
      </w:r>
      <w:r w:rsidR="00B90AC7">
        <w:t xml:space="preserve">the </w:t>
      </w:r>
      <w:r>
        <w:t>bank</w:t>
      </w:r>
      <w:r w:rsidR="00B90AC7">
        <w:t>s</w:t>
      </w:r>
      <w:r>
        <w:t xml:space="preserve"> are provided in Table </w:t>
      </w:r>
      <w:r w:rsidR="009C09F8">
        <w:t>1</w:t>
      </w:r>
      <w:r>
        <w:t>. Similar to the bending stress calculations for maximum allowable unsupported length of pipe, pipe properties such as wall thickness, specified minimum yield strength (SMYS) and internal pressure affect the outcome of the soil springs calculations in terms of remaining allowable stress.</w:t>
      </w:r>
    </w:p>
    <w:p w14:paraId="755B4334" w14:textId="26D3F40B" w:rsidR="0016642C" w:rsidRPr="00B04A12" w:rsidRDefault="0016642C" w:rsidP="0016642C">
      <w:pPr>
        <w:rPr>
          <w:b/>
          <w:bCs/>
          <w:sz w:val="18"/>
          <w:szCs w:val="20"/>
        </w:rPr>
      </w:pPr>
      <w:r w:rsidRPr="00B04A12">
        <w:rPr>
          <w:b/>
          <w:bCs/>
          <w:sz w:val="18"/>
          <w:szCs w:val="20"/>
        </w:rPr>
        <w:t xml:space="preserve">Table </w:t>
      </w:r>
      <w:r w:rsidR="00B073EA">
        <w:rPr>
          <w:b/>
          <w:bCs/>
          <w:sz w:val="18"/>
          <w:szCs w:val="20"/>
        </w:rPr>
        <w:t>1</w:t>
      </w:r>
      <w:r w:rsidRPr="00B04A12">
        <w:rPr>
          <w:b/>
          <w:bCs/>
          <w:sz w:val="18"/>
          <w:szCs w:val="20"/>
        </w:rPr>
        <w:t xml:space="preserve">. </w:t>
      </w:r>
      <w:r>
        <w:rPr>
          <w:b/>
          <w:bCs/>
          <w:sz w:val="18"/>
          <w:szCs w:val="20"/>
        </w:rPr>
        <w:t xml:space="preserve">Left and Right Bank Parameters </w:t>
      </w:r>
    </w:p>
    <w:tbl>
      <w:tblPr>
        <w:tblW w:w="4854" w:type="dxa"/>
        <w:tblLayout w:type="fixed"/>
        <w:tblCellMar>
          <w:left w:w="0" w:type="dxa"/>
          <w:right w:w="0" w:type="dxa"/>
        </w:tblCellMar>
        <w:tblLook w:val="04A0" w:firstRow="1" w:lastRow="0" w:firstColumn="1" w:lastColumn="0" w:noHBand="0" w:noVBand="1"/>
      </w:tblPr>
      <w:tblGrid>
        <w:gridCol w:w="3176"/>
        <w:gridCol w:w="1678"/>
      </w:tblGrid>
      <w:tr w:rsidR="00B90AC7" w:rsidRPr="00625BB5" w14:paraId="6C6B201B" w14:textId="77777777" w:rsidTr="00014501">
        <w:trPr>
          <w:trHeight w:hRule="exact" w:val="462"/>
        </w:trPr>
        <w:tc>
          <w:tcPr>
            <w:tcW w:w="3176" w:type="dxa"/>
            <w:tcBorders>
              <w:top w:val="single" w:sz="5" w:space="0" w:color="000000"/>
              <w:left w:val="single" w:sz="5" w:space="0" w:color="000000"/>
              <w:bottom w:val="single" w:sz="5" w:space="0" w:color="000000"/>
              <w:right w:val="single" w:sz="5" w:space="0" w:color="000000"/>
            </w:tcBorders>
            <w:shd w:val="clear" w:color="auto" w:fill="ED7C2E"/>
            <w:vAlign w:val="center"/>
          </w:tcPr>
          <w:p w14:paraId="492E1069" w14:textId="77777777" w:rsidR="00B90AC7" w:rsidRPr="00625BB5" w:rsidRDefault="00B90AC7" w:rsidP="0027541B">
            <w:pPr>
              <w:spacing w:before="1" w:after="0" w:line="206" w:lineRule="exact"/>
              <w:jc w:val="center"/>
              <w:textAlignment w:val="baseline"/>
              <w:rPr>
                <w:rFonts w:eastAsia="Arial"/>
                <w:b/>
                <w:color w:val="FFFFFF"/>
                <w:sz w:val="18"/>
                <w:szCs w:val="18"/>
              </w:rPr>
            </w:pPr>
            <w:r>
              <w:rPr>
                <w:rFonts w:eastAsia="Arial"/>
                <w:b/>
                <w:color w:val="FFFFFF"/>
                <w:sz w:val="18"/>
                <w:szCs w:val="18"/>
              </w:rPr>
              <w:t>Parameter</w:t>
            </w:r>
          </w:p>
        </w:tc>
        <w:tc>
          <w:tcPr>
            <w:tcW w:w="1678" w:type="dxa"/>
            <w:tcBorders>
              <w:top w:val="single" w:sz="5" w:space="0" w:color="000000"/>
              <w:left w:val="single" w:sz="5" w:space="0" w:color="000000"/>
              <w:bottom w:val="single" w:sz="5" w:space="0" w:color="000000"/>
              <w:right w:val="single" w:sz="5" w:space="0" w:color="000000"/>
            </w:tcBorders>
            <w:shd w:val="clear" w:color="auto" w:fill="ED7C2E"/>
            <w:vAlign w:val="center"/>
          </w:tcPr>
          <w:p w14:paraId="073862FD" w14:textId="31302391" w:rsidR="00B90AC7" w:rsidRPr="00625BB5" w:rsidRDefault="00B90AC7" w:rsidP="0027541B">
            <w:pPr>
              <w:spacing w:before="1" w:after="0" w:line="206" w:lineRule="exact"/>
              <w:jc w:val="center"/>
              <w:textAlignment w:val="baseline"/>
              <w:rPr>
                <w:rFonts w:eastAsia="Arial"/>
                <w:b/>
                <w:color w:val="FFFFFF"/>
                <w:sz w:val="18"/>
                <w:szCs w:val="18"/>
              </w:rPr>
            </w:pPr>
            <w:r>
              <w:rPr>
                <w:rFonts w:eastAsia="Arial"/>
                <w:b/>
                <w:color w:val="FFFFFF"/>
                <w:sz w:val="18"/>
                <w:szCs w:val="18"/>
              </w:rPr>
              <w:t>Left and Right Banks</w:t>
            </w:r>
          </w:p>
        </w:tc>
      </w:tr>
      <w:tr w:rsidR="00B90AC7" w:rsidRPr="00944DA9" w14:paraId="43DFB7AD" w14:textId="77777777" w:rsidTr="00014501">
        <w:trPr>
          <w:trHeight w:hRule="exact" w:val="462"/>
        </w:trPr>
        <w:tc>
          <w:tcPr>
            <w:tcW w:w="3176" w:type="dxa"/>
            <w:tcBorders>
              <w:top w:val="single" w:sz="5" w:space="0" w:color="000000"/>
              <w:left w:val="single" w:sz="5" w:space="0" w:color="000000"/>
              <w:bottom w:val="single" w:sz="5" w:space="0" w:color="000000"/>
              <w:right w:val="single" w:sz="5" w:space="0" w:color="000000"/>
            </w:tcBorders>
            <w:vAlign w:val="bottom"/>
          </w:tcPr>
          <w:p w14:paraId="64BB9169" w14:textId="77777777" w:rsidR="00B90AC7" w:rsidRDefault="00B90AC7" w:rsidP="0027541B">
            <w:pPr>
              <w:spacing w:before="128" w:after="123" w:line="205" w:lineRule="exact"/>
              <w:textAlignment w:val="baseline"/>
              <w:rPr>
                <w:sz w:val="18"/>
                <w:szCs w:val="18"/>
              </w:rPr>
            </w:pPr>
            <w:r w:rsidRPr="00944DA9">
              <w:rPr>
                <w:sz w:val="18"/>
                <w:szCs w:val="18"/>
              </w:rPr>
              <w:t>Pipe DOC (ft):</w:t>
            </w:r>
          </w:p>
        </w:tc>
        <w:tc>
          <w:tcPr>
            <w:tcW w:w="1678" w:type="dxa"/>
            <w:tcBorders>
              <w:top w:val="single" w:sz="5" w:space="0" w:color="000000"/>
              <w:left w:val="single" w:sz="5" w:space="0" w:color="000000"/>
              <w:bottom w:val="single" w:sz="5" w:space="0" w:color="000000"/>
              <w:right w:val="single" w:sz="5" w:space="0" w:color="000000"/>
            </w:tcBorders>
            <w:vAlign w:val="bottom"/>
          </w:tcPr>
          <w:p w14:paraId="0AC64EAD" w14:textId="7D63F44B" w:rsidR="00B90AC7" w:rsidRPr="00944DA9" w:rsidRDefault="00B90AC7" w:rsidP="0027541B">
            <w:pPr>
              <w:spacing w:before="128" w:after="123" w:line="205" w:lineRule="exact"/>
              <w:jc w:val="center"/>
              <w:textAlignment w:val="baseline"/>
              <w:rPr>
                <w:sz w:val="18"/>
                <w:szCs w:val="18"/>
              </w:rPr>
            </w:pPr>
            <w:r>
              <w:rPr>
                <w:sz w:val="18"/>
                <w:szCs w:val="18"/>
              </w:rPr>
              <w:t>15</w:t>
            </w:r>
          </w:p>
        </w:tc>
      </w:tr>
      <w:tr w:rsidR="00B90AC7" w:rsidRPr="00944DA9" w14:paraId="7079BB27" w14:textId="77777777" w:rsidTr="00014501">
        <w:trPr>
          <w:trHeight w:hRule="exact" w:val="866"/>
        </w:trPr>
        <w:tc>
          <w:tcPr>
            <w:tcW w:w="3176" w:type="dxa"/>
            <w:tcBorders>
              <w:top w:val="single" w:sz="5" w:space="0" w:color="000000"/>
              <w:left w:val="single" w:sz="5" w:space="0" w:color="000000"/>
              <w:bottom w:val="single" w:sz="5" w:space="0" w:color="000000"/>
              <w:right w:val="single" w:sz="5" w:space="0" w:color="000000"/>
            </w:tcBorders>
            <w:vAlign w:val="bottom"/>
          </w:tcPr>
          <w:p w14:paraId="78964A3A" w14:textId="1CC72CD3" w:rsidR="00B90AC7" w:rsidRDefault="00B90AC7" w:rsidP="0027541B">
            <w:pPr>
              <w:spacing w:before="128" w:after="123" w:line="205" w:lineRule="exact"/>
              <w:textAlignment w:val="baseline"/>
              <w:rPr>
                <w:sz w:val="18"/>
                <w:szCs w:val="18"/>
              </w:rPr>
            </w:pPr>
            <w:r w:rsidRPr="00944DA9">
              <w:rPr>
                <w:sz w:val="18"/>
                <w:szCs w:val="18"/>
              </w:rPr>
              <w:t>Length of Pipe in</w:t>
            </w:r>
            <w:r>
              <w:rPr>
                <w:sz w:val="18"/>
                <w:szCs w:val="18"/>
              </w:rPr>
              <w:t xml:space="preserve"> Permanent </w:t>
            </w:r>
            <w:r w:rsidRPr="00944DA9">
              <w:rPr>
                <w:sz w:val="18"/>
                <w:szCs w:val="18"/>
              </w:rPr>
              <w:t>G</w:t>
            </w:r>
            <w:r>
              <w:rPr>
                <w:sz w:val="18"/>
                <w:szCs w:val="18"/>
              </w:rPr>
              <w:t xml:space="preserve">round </w:t>
            </w:r>
            <w:r w:rsidRPr="00944DA9">
              <w:rPr>
                <w:sz w:val="18"/>
                <w:szCs w:val="18"/>
              </w:rPr>
              <w:t>D</w:t>
            </w:r>
            <w:r>
              <w:rPr>
                <w:sz w:val="18"/>
                <w:szCs w:val="18"/>
              </w:rPr>
              <w:t>eformation</w:t>
            </w:r>
            <w:r w:rsidRPr="00944DA9">
              <w:rPr>
                <w:sz w:val="18"/>
                <w:szCs w:val="18"/>
              </w:rPr>
              <w:t xml:space="preserve"> (ft):</w:t>
            </w:r>
          </w:p>
        </w:tc>
        <w:tc>
          <w:tcPr>
            <w:tcW w:w="1678" w:type="dxa"/>
            <w:tcBorders>
              <w:top w:val="single" w:sz="5" w:space="0" w:color="000000"/>
              <w:left w:val="single" w:sz="5" w:space="0" w:color="000000"/>
              <w:bottom w:val="single" w:sz="5" w:space="0" w:color="000000"/>
              <w:right w:val="single" w:sz="5" w:space="0" w:color="000000"/>
            </w:tcBorders>
            <w:vAlign w:val="bottom"/>
          </w:tcPr>
          <w:p w14:paraId="38AA7FDE" w14:textId="57EEA870" w:rsidR="00B90AC7" w:rsidRPr="00944DA9" w:rsidRDefault="00B90AC7" w:rsidP="0027541B">
            <w:pPr>
              <w:spacing w:before="128" w:after="123" w:line="205" w:lineRule="exact"/>
              <w:jc w:val="center"/>
              <w:textAlignment w:val="baseline"/>
              <w:rPr>
                <w:sz w:val="18"/>
                <w:szCs w:val="18"/>
              </w:rPr>
            </w:pPr>
            <w:r>
              <w:rPr>
                <w:sz w:val="18"/>
                <w:szCs w:val="18"/>
              </w:rPr>
              <w:t>50</w:t>
            </w:r>
          </w:p>
        </w:tc>
      </w:tr>
    </w:tbl>
    <w:p w14:paraId="090DA79B" w14:textId="77777777" w:rsidR="0016642C" w:rsidRDefault="0016642C" w:rsidP="0016642C">
      <w:pPr>
        <w:jc w:val="both"/>
      </w:pPr>
    </w:p>
    <w:p w14:paraId="35C0A1A2" w14:textId="0E0620C3" w:rsidR="001C73BE" w:rsidRDefault="0016642C" w:rsidP="0016642C">
      <w:r>
        <w:t xml:space="preserve">The </w:t>
      </w:r>
      <w:r w:rsidRPr="008547A6">
        <w:t xml:space="preserve">pipe–soil interaction forces are influenced by many factors, such as the </w:t>
      </w:r>
      <w:r>
        <w:t xml:space="preserve">physical </w:t>
      </w:r>
      <w:r w:rsidRPr="008547A6">
        <w:t xml:space="preserve">properties of </w:t>
      </w:r>
      <w:r>
        <w:t xml:space="preserve">the </w:t>
      </w:r>
      <w:r w:rsidRPr="008547A6">
        <w:t xml:space="preserve">soil and pipe, </w:t>
      </w:r>
      <w:r>
        <w:t xml:space="preserve">depth of cover, and </w:t>
      </w:r>
      <w:r w:rsidRPr="008547A6">
        <w:t>pipe</w:t>
      </w:r>
      <w:r>
        <w:t>line</w:t>
      </w:r>
      <w:r w:rsidRPr="008547A6">
        <w:t xml:space="preserve"> orientation</w:t>
      </w:r>
      <w:r>
        <w:t xml:space="preserve"> with respect to soil movement. Pipe properties are provided in Table </w:t>
      </w:r>
      <w:r w:rsidR="009C09F8">
        <w:t>2</w:t>
      </w:r>
      <w:r>
        <w:t xml:space="preserve">. These factors affect the calculation of soil forces and conservative assumptions were made. The largest depth of cover within the slope failure and </w:t>
      </w:r>
      <w:r w:rsidR="00ED791C">
        <w:t xml:space="preserve">the undrained </w:t>
      </w:r>
      <w:r w:rsidR="007736E2">
        <w:t xml:space="preserve">soil </w:t>
      </w:r>
      <w:r>
        <w:t>were used in the calculations to be conservative.</w:t>
      </w:r>
    </w:p>
    <w:p w14:paraId="4E2D9721" w14:textId="77777777" w:rsidR="007736E2" w:rsidRDefault="007736E2">
      <w:pPr>
        <w:spacing w:after="160" w:line="259" w:lineRule="auto"/>
        <w:rPr>
          <w:b/>
          <w:bCs/>
          <w:sz w:val="18"/>
          <w:szCs w:val="20"/>
        </w:rPr>
      </w:pPr>
      <w:r>
        <w:rPr>
          <w:b/>
          <w:bCs/>
          <w:sz w:val="18"/>
          <w:szCs w:val="20"/>
        </w:rPr>
        <w:br w:type="page"/>
      </w:r>
    </w:p>
    <w:p w14:paraId="7F86571A" w14:textId="3BC9F7A0" w:rsidR="0016642C" w:rsidRPr="00B04A12" w:rsidRDefault="0016642C" w:rsidP="0016642C">
      <w:pPr>
        <w:spacing w:after="0"/>
        <w:rPr>
          <w:b/>
          <w:bCs/>
          <w:sz w:val="18"/>
          <w:szCs w:val="20"/>
        </w:rPr>
      </w:pPr>
      <w:r w:rsidRPr="00B04A12">
        <w:rPr>
          <w:b/>
          <w:bCs/>
          <w:sz w:val="18"/>
          <w:szCs w:val="20"/>
        </w:rPr>
        <w:lastRenderedPageBreak/>
        <w:t xml:space="preserve">Table </w:t>
      </w:r>
      <w:r w:rsidR="00B073EA">
        <w:rPr>
          <w:b/>
          <w:bCs/>
          <w:sz w:val="18"/>
          <w:szCs w:val="20"/>
        </w:rPr>
        <w:t>2</w:t>
      </w:r>
      <w:r w:rsidRPr="00B04A12">
        <w:rPr>
          <w:b/>
          <w:bCs/>
          <w:sz w:val="18"/>
          <w:szCs w:val="20"/>
        </w:rPr>
        <w:t xml:space="preserve">. </w:t>
      </w:r>
      <w:r>
        <w:rPr>
          <w:b/>
          <w:bCs/>
          <w:sz w:val="18"/>
          <w:szCs w:val="20"/>
        </w:rPr>
        <w:t xml:space="preserve">Pipe Properties </w:t>
      </w:r>
    </w:p>
    <w:tbl>
      <w:tblPr>
        <w:tblW w:w="4834" w:type="dxa"/>
        <w:tblLayout w:type="fixed"/>
        <w:tblCellMar>
          <w:left w:w="0" w:type="dxa"/>
          <w:right w:w="0" w:type="dxa"/>
        </w:tblCellMar>
        <w:tblLook w:val="04A0" w:firstRow="1" w:lastRow="0" w:firstColumn="1" w:lastColumn="0" w:noHBand="0" w:noVBand="1"/>
      </w:tblPr>
      <w:tblGrid>
        <w:gridCol w:w="2368"/>
        <w:gridCol w:w="2466"/>
      </w:tblGrid>
      <w:tr w:rsidR="0016642C" w14:paraId="27728F48" w14:textId="77777777" w:rsidTr="00E022EC">
        <w:trPr>
          <w:trHeight w:hRule="exact" w:val="555"/>
        </w:trPr>
        <w:tc>
          <w:tcPr>
            <w:tcW w:w="4834" w:type="dxa"/>
            <w:gridSpan w:val="2"/>
            <w:tcBorders>
              <w:top w:val="single" w:sz="5" w:space="0" w:color="000000"/>
              <w:left w:val="single" w:sz="5" w:space="0" w:color="000000"/>
              <w:bottom w:val="single" w:sz="5" w:space="0" w:color="000000"/>
              <w:right w:val="single" w:sz="5" w:space="0" w:color="000000"/>
            </w:tcBorders>
            <w:shd w:val="clear" w:color="auto" w:fill="ED7C2E"/>
            <w:vAlign w:val="center"/>
          </w:tcPr>
          <w:p w14:paraId="5FC86FB6" w14:textId="77777777" w:rsidR="0016642C" w:rsidRPr="00D3046A" w:rsidRDefault="0016642C" w:rsidP="0027541B">
            <w:pPr>
              <w:spacing w:before="1" w:after="0" w:line="206" w:lineRule="exact"/>
              <w:jc w:val="center"/>
              <w:textAlignment w:val="baseline"/>
              <w:rPr>
                <w:rFonts w:eastAsia="Arial"/>
                <w:b/>
                <w:color w:val="FFFFFF"/>
                <w:sz w:val="18"/>
                <w:szCs w:val="18"/>
              </w:rPr>
            </w:pPr>
            <w:r w:rsidRPr="00D3046A">
              <w:rPr>
                <w:rFonts w:eastAsia="Arial"/>
                <w:b/>
                <w:color w:val="FFFFFF"/>
                <w:sz w:val="18"/>
                <w:szCs w:val="18"/>
              </w:rPr>
              <w:t>Pipe Properties</w:t>
            </w:r>
          </w:p>
        </w:tc>
      </w:tr>
      <w:tr w:rsidR="0016642C" w14:paraId="1FD64F1C" w14:textId="77777777" w:rsidTr="0027541B">
        <w:trPr>
          <w:trHeight w:hRule="exact" w:val="452"/>
        </w:trPr>
        <w:tc>
          <w:tcPr>
            <w:tcW w:w="2368" w:type="dxa"/>
            <w:tcBorders>
              <w:top w:val="single" w:sz="5" w:space="0" w:color="000000"/>
              <w:left w:val="single" w:sz="5" w:space="0" w:color="000000"/>
              <w:bottom w:val="single" w:sz="5" w:space="0" w:color="000000"/>
              <w:right w:val="single" w:sz="5" w:space="0" w:color="000000"/>
            </w:tcBorders>
            <w:vAlign w:val="bottom"/>
          </w:tcPr>
          <w:p w14:paraId="70EF81CA" w14:textId="77777777" w:rsidR="0016642C" w:rsidRPr="00D3046A" w:rsidRDefault="0016642C" w:rsidP="0027541B">
            <w:pPr>
              <w:spacing w:before="128" w:after="123" w:line="205" w:lineRule="exact"/>
              <w:textAlignment w:val="baseline"/>
              <w:rPr>
                <w:rFonts w:eastAsia="Arial"/>
                <w:color w:val="000000"/>
                <w:sz w:val="18"/>
                <w:szCs w:val="18"/>
              </w:rPr>
            </w:pPr>
            <w:r>
              <w:rPr>
                <w:sz w:val="18"/>
                <w:szCs w:val="18"/>
              </w:rPr>
              <w:t xml:space="preserve"> </w:t>
            </w:r>
            <w:r w:rsidRPr="00944DA9">
              <w:rPr>
                <w:sz w:val="18"/>
                <w:szCs w:val="18"/>
              </w:rPr>
              <w:t>Pipe OD (in):</w:t>
            </w:r>
          </w:p>
        </w:tc>
        <w:tc>
          <w:tcPr>
            <w:tcW w:w="2465" w:type="dxa"/>
            <w:tcBorders>
              <w:top w:val="single" w:sz="5" w:space="0" w:color="000000"/>
              <w:left w:val="single" w:sz="5" w:space="0" w:color="000000"/>
              <w:bottom w:val="single" w:sz="5" w:space="0" w:color="000000"/>
              <w:right w:val="single" w:sz="5" w:space="0" w:color="000000"/>
            </w:tcBorders>
            <w:vAlign w:val="bottom"/>
          </w:tcPr>
          <w:p w14:paraId="2F530AE9" w14:textId="2BA6C3C0" w:rsidR="0016642C" w:rsidRPr="00D3046A" w:rsidRDefault="00E13936" w:rsidP="0027541B">
            <w:pPr>
              <w:spacing w:before="128" w:after="123" w:line="205" w:lineRule="exact"/>
              <w:jc w:val="center"/>
              <w:textAlignment w:val="baseline"/>
              <w:rPr>
                <w:rFonts w:eastAsia="Arial"/>
                <w:color w:val="000000"/>
                <w:sz w:val="18"/>
                <w:szCs w:val="18"/>
              </w:rPr>
            </w:pPr>
            <w:r>
              <w:rPr>
                <w:sz w:val="18"/>
                <w:szCs w:val="18"/>
              </w:rPr>
              <w:t>8.63</w:t>
            </w:r>
          </w:p>
        </w:tc>
      </w:tr>
      <w:tr w:rsidR="0016642C" w14:paraId="38A05CD6" w14:textId="77777777" w:rsidTr="0027541B">
        <w:trPr>
          <w:trHeight w:hRule="exact" w:val="452"/>
        </w:trPr>
        <w:tc>
          <w:tcPr>
            <w:tcW w:w="2368" w:type="dxa"/>
            <w:tcBorders>
              <w:top w:val="single" w:sz="5" w:space="0" w:color="000000"/>
              <w:left w:val="single" w:sz="5" w:space="0" w:color="000000"/>
              <w:bottom w:val="single" w:sz="5" w:space="0" w:color="000000"/>
              <w:right w:val="single" w:sz="5" w:space="0" w:color="000000"/>
            </w:tcBorders>
            <w:vAlign w:val="bottom"/>
          </w:tcPr>
          <w:p w14:paraId="7BA59D11" w14:textId="77777777" w:rsidR="0016642C" w:rsidRPr="00D3046A" w:rsidRDefault="0016642C" w:rsidP="0027541B">
            <w:pPr>
              <w:spacing w:before="128" w:after="123" w:line="205" w:lineRule="exact"/>
              <w:textAlignment w:val="baseline"/>
              <w:rPr>
                <w:rFonts w:eastAsia="Arial"/>
                <w:color w:val="000000"/>
                <w:sz w:val="18"/>
                <w:szCs w:val="18"/>
              </w:rPr>
            </w:pPr>
            <w:r>
              <w:rPr>
                <w:sz w:val="18"/>
                <w:szCs w:val="18"/>
              </w:rPr>
              <w:t xml:space="preserve"> </w:t>
            </w:r>
            <w:r w:rsidRPr="00944DA9">
              <w:rPr>
                <w:sz w:val="18"/>
                <w:szCs w:val="18"/>
              </w:rPr>
              <w:t xml:space="preserve">Pipe </w:t>
            </w:r>
            <w:r>
              <w:rPr>
                <w:sz w:val="18"/>
                <w:szCs w:val="18"/>
              </w:rPr>
              <w:t>Wall Thickness</w:t>
            </w:r>
            <w:r w:rsidRPr="00944DA9">
              <w:rPr>
                <w:sz w:val="18"/>
                <w:szCs w:val="18"/>
              </w:rPr>
              <w:t xml:space="preserve"> (in):</w:t>
            </w:r>
          </w:p>
        </w:tc>
        <w:tc>
          <w:tcPr>
            <w:tcW w:w="2465" w:type="dxa"/>
            <w:tcBorders>
              <w:top w:val="single" w:sz="5" w:space="0" w:color="000000"/>
              <w:left w:val="single" w:sz="5" w:space="0" w:color="000000"/>
              <w:bottom w:val="single" w:sz="5" w:space="0" w:color="000000"/>
              <w:right w:val="single" w:sz="5" w:space="0" w:color="000000"/>
            </w:tcBorders>
            <w:vAlign w:val="bottom"/>
          </w:tcPr>
          <w:p w14:paraId="1B878259" w14:textId="16B44B60" w:rsidR="0016642C" w:rsidRPr="00D3046A" w:rsidRDefault="0016642C" w:rsidP="0027541B">
            <w:pPr>
              <w:spacing w:before="128" w:after="123" w:line="205" w:lineRule="exact"/>
              <w:jc w:val="center"/>
              <w:textAlignment w:val="baseline"/>
              <w:rPr>
                <w:rFonts w:eastAsia="Arial"/>
                <w:color w:val="000000"/>
                <w:sz w:val="18"/>
                <w:szCs w:val="18"/>
              </w:rPr>
            </w:pPr>
            <w:r w:rsidRPr="00944DA9">
              <w:rPr>
                <w:sz w:val="18"/>
                <w:szCs w:val="18"/>
              </w:rPr>
              <w:t>0.3</w:t>
            </w:r>
            <w:r w:rsidR="007F6B09">
              <w:rPr>
                <w:sz w:val="18"/>
                <w:szCs w:val="18"/>
              </w:rPr>
              <w:t>22</w:t>
            </w:r>
          </w:p>
        </w:tc>
      </w:tr>
      <w:tr w:rsidR="0016642C" w14:paraId="0B75EA72" w14:textId="77777777" w:rsidTr="0027541B">
        <w:trPr>
          <w:trHeight w:hRule="exact" w:val="452"/>
        </w:trPr>
        <w:tc>
          <w:tcPr>
            <w:tcW w:w="2368" w:type="dxa"/>
            <w:tcBorders>
              <w:top w:val="single" w:sz="5" w:space="0" w:color="000000"/>
              <w:left w:val="single" w:sz="5" w:space="0" w:color="000000"/>
              <w:bottom w:val="single" w:sz="5" w:space="0" w:color="000000"/>
              <w:right w:val="single" w:sz="5" w:space="0" w:color="000000"/>
            </w:tcBorders>
            <w:vAlign w:val="bottom"/>
          </w:tcPr>
          <w:p w14:paraId="7B1642AC" w14:textId="77777777" w:rsidR="0016642C" w:rsidRPr="00D3046A" w:rsidRDefault="0016642C" w:rsidP="0027541B">
            <w:pPr>
              <w:spacing w:before="128" w:after="123" w:line="205" w:lineRule="exact"/>
              <w:textAlignment w:val="baseline"/>
              <w:rPr>
                <w:rFonts w:eastAsia="Arial"/>
                <w:color w:val="000000"/>
                <w:sz w:val="18"/>
                <w:szCs w:val="18"/>
              </w:rPr>
            </w:pPr>
            <w:r>
              <w:rPr>
                <w:sz w:val="18"/>
                <w:szCs w:val="18"/>
              </w:rPr>
              <w:t xml:space="preserve"> </w:t>
            </w:r>
            <w:r w:rsidRPr="00944DA9">
              <w:rPr>
                <w:sz w:val="18"/>
                <w:szCs w:val="18"/>
              </w:rPr>
              <w:t>Pipe SMYS (psi):</w:t>
            </w:r>
          </w:p>
        </w:tc>
        <w:tc>
          <w:tcPr>
            <w:tcW w:w="2465" w:type="dxa"/>
            <w:tcBorders>
              <w:top w:val="single" w:sz="5" w:space="0" w:color="000000"/>
              <w:left w:val="single" w:sz="5" w:space="0" w:color="000000"/>
              <w:bottom w:val="single" w:sz="5" w:space="0" w:color="000000"/>
              <w:right w:val="single" w:sz="5" w:space="0" w:color="000000"/>
            </w:tcBorders>
            <w:vAlign w:val="bottom"/>
          </w:tcPr>
          <w:p w14:paraId="2008C4E3" w14:textId="29C24F79" w:rsidR="0016642C" w:rsidRPr="00D3046A" w:rsidRDefault="007F6B09" w:rsidP="0027541B">
            <w:pPr>
              <w:spacing w:before="128" w:after="123" w:line="205" w:lineRule="exact"/>
              <w:jc w:val="center"/>
              <w:textAlignment w:val="baseline"/>
              <w:rPr>
                <w:rFonts w:eastAsia="Arial"/>
                <w:color w:val="000000"/>
                <w:sz w:val="18"/>
                <w:szCs w:val="18"/>
              </w:rPr>
            </w:pPr>
            <w:r>
              <w:rPr>
                <w:sz w:val="18"/>
                <w:szCs w:val="18"/>
              </w:rPr>
              <w:t>Grade B</w:t>
            </w:r>
          </w:p>
        </w:tc>
      </w:tr>
      <w:tr w:rsidR="0016642C" w14:paraId="317BDB41" w14:textId="77777777" w:rsidTr="0027541B">
        <w:trPr>
          <w:trHeight w:hRule="exact" w:val="452"/>
        </w:trPr>
        <w:tc>
          <w:tcPr>
            <w:tcW w:w="2368" w:type="dxa"/>
            <w:tcBorders>
              <w:top w:val="single" w:sz="5" w:space="0" w:color="000000"/>
              <w:left w:val="single" w:sz="5" w:space="0" w:color="000000"/>
              <w:bottom w:val="single" w:sz="5" w:space="0" w:color="000000"/>
              <w:right w:val="single" w:sz="5" w:space="0" w:color="000000"/>
            </w:tcBorders>
            <w:vAlign w:val="bottom"/>
          </w:tcPr>
          <w:p w14:paraId="45AFD0CF" w14:textId="77777777" w:rsidR="0016642C" w:rsidRPr="00D3046A" w:rsidRDefault="0016642C" w:rsidP="0027541B">
            <w:pPr>
              <w:spacing w:before="128" w:after="123" w:line="205" w:lineRule="exact"/>
              <w:textAlignment w:val="baseline"/>
              <w:rPr>
                <w:rFonts w:eastAsia="Arial"/>
                <w:color w:val="000000"/>
                <w:sz w:val="18"/>
                <w:szCs w:val="18"/>
              </w:rPr>
            </w:pPr>
            <w:r>
              <w:rPr>
                <w:sz w:val="18"/>
                <w:szCs w:val="18"/>
              </w:rPr>
              <w:t xml:space="preserve"> </w:t>
            </w:r>
            <w:r w:rsidRPr="00944DA9">
              <w:rPr>
                <w:sz w:val="18"/>
                <w:szCs w:val="18"/>
              </w:rPr>
              <w:t>Pipe Coating</w:t>
            </w:r>
          </w:p>
        </w:tc>
        <w:tc>
          <w:tcPr>
            <w:tcW w:w="2465" w:type="dxa"/>
            <w:tcBorders>
              <w:top w:val="single" w:sz="5" w:space="0" w:color="000000"/>
              <w:left w:val="single" w:sz="5" w:space="0" w:color="000000"/>
              <w:bottom w:val="single" w:sz="5" w:space="0" w:color="000000"/>
              <w:right w:val="single" w:sz="5" w:space="0" w:color="000000"/>
            </w:tcBorders>
            <w:vAlign w:val="bottom"/>
          </w:tcPr>
          <w:p w14:paraId="04EA744A" w14:textId="4BA5853D" w:rsidR="0016642C" w:rsidRPr="00D3046A" w:rsidRDefault="005D497F" w:rsidP="0027541B">
            <w:pPr>
              <w:spacing w:before="128" w:after="123" w:line="205" w:lineRule="exact"/>
              <w:jc w:val="center"/>
              <w:textAlignment w:val="baseline"/>
              <w:rPr>
                <w:rFonts w:eastAsia="Arial"/>
                <w:color w:val="000000"/>
                <w:sz w:val="18"/>
                <w:szCs w:val="18"/>
              </w:rPr>
            </w:pPr>
            <w:r>
              <w:rPr>
                <w:sz w:val="18"/>
                <w:szCs w:val="18"/>
              </w:rPr>
              <w:t>None/</w:t>
            </w:r>
            <w:r w:rsidR="002C0F7C">
              <w:rPr>
                <w:sz w:val="18"/>
                <w:szCs w:val="18"/>
              </w:rPr>
              <w:t>Rough Steel</w:t>
            </w:r>
          </w:p>
        </w:tc>
      </w:tr>
      <w:tr w:rsidR="0016642C" w14:paraId="1CA0DFD8" w14:textId="77777777" w:rsidTr="0027541B">
        <w:trPr>
          <w:trHeight w:hRule="exact" w:val="452"/>
        </w:trPr>
        <w:tc>
          <w:tcPr>
            <w:tcW w:w="2368" w:type="dxa"/>
            <w:tcBorders>
              <w:top w:val="single" w:sz="5" w:space="0" w:color="000000"/>
              <w:left w:val="single" w:sz="5" w:space="0" w:color="000000"/>
              <w:bottom w:val="single" w:sz="5" w:space="0" w:color="000000"/>
              <w:right w:val="single" w:sz="5" w:space="0" w:color="000000"/>
            </w:tcBorders>
            <w:vAlign w:val="bottom"/>
          </w:tcPr>
          <w:p w14:paraId="77971212" w14:textId="77777777" w:rsidR="0016642C" w:rsidRPr="00D3046A" w:rsidRDefault="0016642C" w:rsidP="0027541B">
            <w:pPr>
              <w:spacing w:before="128" w:after="123" w:line="205" w:lineRule="exact"/>
              <w:textAlignment w:val="baseline"/>
              <w:rPr>
                <w:rFonts w:eastAsia="Arial"/>
                <w:color w:val="000000"/>
                <w:sz w:val="18"/>
                <w:szCs w:val="18"/>
              </w:rPr>
            </w:pPr>
            <w:r>
              <w:rPr>
                <w:sz w:val="18"/>
                <w:szCs w:val="18"/>
              </w:rPr>
              <w:t xml:space="preserve"> </w:t>
            </w:r>
            <w:r w:rsidRPr="00944DA9">
              <w:rPr>
                <w:sz w:val="18"/>
                <w:szCs w:val="18"/>
              </w:rPr>
              <w:t>Internal Pressure (psi):</w:t>
            </w:r>
          </w:p>
        </w:tc>
        <w:tc>
          <w:tcPr>
            <w:tcW w:w="2465" w:type="dxa"/>
            <w:tcBorders>
              <w:top w:val="single" w:sz="5" w:space="0" w:color="000000"/>
              <w:left w:val="single" w:sz="5" w:space="0" w:color="000000"/>
              <w:bottom w:val="single" w:sz="5" w:space="0" w:color="000000"/>
              <w:right w:val="single" w:sz="5" w:space="0" w:color="000000"/>
            </w:tcBorders>
            <w:vAlign w:val="bottom"/>
          </w:tcPr>
          <w:p w14:paraId="799D24FC" w14:textId="77777777" w:rsidR="0016642C" w:rsidRPr="00D3046A" w:rsidRDefault="0016642C" w:rsidP="0027541B">
            <w:pPr>
              <w:spacing w:before="128" w:after="123" w:line="205" w:lineRule="exact"/>
              <w:jc w:val="center"/>
              <w:textAlignment w:val="baseline"/>
              <w:rPr>
                <w:rFonts w:eastAsia="Arial"/>
                <w:color w:val="000000"/>
                <w:sz w:val="18"/>
                <w:szCs w:val="18"/>
              </w:rPr>
            </w:pPr>
            <w:r w:rsidRPr="00944DA9">
              <w:rPr>
                <w:sz w:val="18"/>
                <w:szCs w:val="18"/>
              </w:rPr>
              <w:t>1</w:t>
            </w:r>
            <w:r>
              <w:rPr>
                <w:sz w:val="18"/>
                <w:szCs w:val="18"/>
              </w:rPr>
              <w:t>44</w:t>
            </w:r>
            <w:r w:rsidRPr="00944DA9">
              <w:rPr>
                <w:sz w:val="18"/>
                <w:szCs w:val="18"/>
              </w:rPr>
              <w:t>0</w:t>
            </w:r>
          </w:p>
        </w:tc>
      </w:tr>
    </w:tbl>
    <w:p w14:paraId="62B82487" w14:textId="77777777" w:rsidR="0016642C" w:rsidRDefault="0016642C" w:rsidP="0016642C">
      <w:pPr>
        <w:jc w:val="both"/>
      </w:pPr>
    </w:p>
    <w:p w14:paraId="4D5E3EB0" w14:textId="43D01102" w:rsidR="0016642C" w:rsidRDefault="0016642C" w:rsidP="0016642C">
      <w:pPr>
        <w:jc w:val="both"/>
        <w:rPr>
          <w:b/>
          <w:bCs/>
          <w:sz w:val="18"/>
          <w:szCs w:val="20"/>
        </w:rPr>
      </w:pPr>
      <w:r>
        <w:t xml:space="preserve">The calculations for </w:t>
      </w:r>
      <w:r w:rsidR="001F1605">
        <w:t xml:space="preserve">the </w:t>
      </w:r>
      <w:r>
        <w:t xml:space="preserve">banks are </w:t>
      </w:r>
      <w:r w:rsidR="006348F9">
        <w:t>attached</w:t>
      </w:r>
      <w:r>
        <w:t>. Results indicate that the bending stress of the slope failure induced permanently displaced ground (PDG) on the pipeline is within allowable limits</w:t>
      </w:r>
      <w:r w:rsidR="002A0B09">
        <w:t xml:space="preserve"> </w:t>
      </w:r>
      <w:r>
        <w:t xml:space="preserve">for the </w:t>
      </w:r>
      <w:r w:rsidRPr="00730B18">
        <w:rPr>
          <w:color w:val="000000" w:themeColor="text1"/>
        </w:rPr>
        <w:t>existing 8</w:t>
      </w:r>
      <w:r w:rsidR="00730B18" w:rsidRPr="00730B18">
        <w:rPr>
          <w:color w:val="000000" w:themeColor="text1"/>
        </w:rPr>
        <w:t>.6</w:t>
      </w:r>
      <w:r w:rsidRPr="00730B18">
        <w:rPr>
          <w:color w:val="000000" w:themeColor="text1"/>
        </w:rPr>
        <w:t xml:space="preserve">-inch diameter, grade </w:t>
      </w:r>
      <w:r w:rsidR="00730B18" w:rsidRPr="00730B18">
        <w:rPr>
          <w:color w:val="000000" w:themeColor="text1"/>
        </w:rPr>
        <w:t>B</w:t>
      </w:r>
      <w:r w:rsidRPr="00730B18">
        <w:rPr>
          <w:color w:val="000000" w:themeColor="text1"/>
        </w:rPr>
        <w:t xml:space="preserve"> pipe. </w:t>
      </w:r>
      <w:r>
        <w:t xml:space="preserve">The results are summarized in Table </w:t>
      </w:r>
      <w:r w:rsidR="009C09F8">
        <w:t>3</w:t>
      </w:r>
      <w:r>
        <w:t xml:space="preserve">. </w:t>
      </w:r>
    </w:p>
    <w:p w14:paraId="3397B224" w14:textId="57BE0C6D" w:rsidR="0016642C" w:rsidRPr="00B04A12" w:rsidRDefault="0016642C" w:rsidP="0016642C">
      <w:pPr>
        <w:spacing w:after="0"/>
        <w:rPr>
          <w:b/>
          <w:bCs/>
          <w:sz w:val="18"/>
          <w:szCs w:val="20"/>
        </w:rPr>
      </w:pPr>
      <w:r w:rsidRPr="00B04A12">
        <w:rPr>
          <w:b/>
          <w:bCs/>
          <w:sz w:val="18"/>
          <w:szCs w:val="20"/>
        </w:rPr>
        <w:t xml:space="preserve">Table </w:t>
      </w:r>
      <w:r w:rsidR="00B073EA">
        <w:rPr>
          <w:b/>
          <w:bCs/>
          <w:sz w:val="18"/>
          <w:szCs w:val="20"/>
        </w:rPr>
        <w:t>3</w:t>
      </w:r>
      <w:r w:rsidRPr="00B04A12">
        <w:rPr>
          <w:b/>
          <w:bCs/>
          <w:sz w:val="18"/>
          <w:szCs w:val="20"/>
        </w:rPr>
        <w:t xml:space="preserve">. </w:t>
      </w:r>
      <w:r>
        <w:rPr>
          <w:b/>
          <w:bCs/>
          <w:sz w:val="18"/>
          <w:szCs w:val="20"/>
        </w:rPr>
        <w:t xml:space="preserve">Soil Springs Analysis Results </w:t>
      </w:r>
    </w:p>
    <w:tbl>
      <w:tblPr>
        <w:tblW w:w="7201" w:type="dxa"/>
        <w:tblLayout w:type="fixed"/>
        <w:tblCellMar>
          <w:left w:w="0" w:type="dxa"/>
          <w:right w:w="0" w:type="dxa"/>
        </w:tblCellMar>
        <w:tblLook w:val="04A0" w:firstRow="1" w:lastRow="0" w:firstColumn="1" w:lastColumn="0" w:noHBand="0" w:noVBand="1"/>
      </w:tblPr>
      <w:tblGrid>
        <w:gridCol w:w="3324"/>
        <w:gridCol w:w="3877"/>
      </w:tblGrid>
      <w:tr w:rsidR="0016642C" w14:paraId="72F9C304" w14:textId="77777777" w:rsidTr="0027541B">
        <w:trPr>
          <w:trHeight w:hRule="exact" w:val="581"/>
        </w:trPr>
        <w:tc>
          <w:tcPr>
            <w:tcW w:w="7201" w:type="dxa"/>
            <w:gridSpan w:val="2"/>
            <w:tcBorders>
              <w:top w:val="single" w:sz="5" w:space="0" w:color="000000"/>
              <w:left w:val="single" w:sz="5" w:space="0" w:color="000000"/>
              <w:bottom w:val="single" w:sz="5" w:space="0" w:color="000000"/>
              <w:right w:val="single" w:sz="5" w:space="0" w:color="000000"/>
            </w:tcBorders>
            <w:shd w:val="clear" w:color="ED7C2E" w:fill="ED7C2E"/>
            <w:vAlign w:val="center"/>
          </w:tcPr>
          <w:p w14:paraId="5D99DE80" w14:textId="27049DFC" w:rsidR="0016642C" w:rsidRPr="007D609E" w:rsidRDefault="0016642C" w:rsidP="0027541B">
            <w:pPr>
              <w:spacing w:before="1" w:after="0" w:line="206" w:lineRule="exact"/>
              <w:jc w:val="center"/>
              <w:textAlignment w:val="baseline"/>
              <w:rPr>
                <w:rFonts w:eastAsia="Arial"/>
                <w:b/>
                <w:color w:val="FFFFFF"/>
                <w:sz w:val="18"/>
                <w:szCs w:val="18"/>
              </w:rPr>
            </w:pPr>
            <w:r w:rsidRPr="007D609E">
              <w:rPr>
                <w:rFonts w:eastAsia="Arial"/>
                <w:b/>
                <w:color w:val="FFFFFF"/>
                <w:sz w:val="18"/>
                <w:szCs w:val="18"/>
              </w:rPr>
              <w:t xml:space="preserve">Analysis </w:t>
            </w:r>
            <w:r w:rsidR="006348F9" w:rsidRPr="007D609E">
              <w:rPr>
                <w:rFonts w:eastAsia="Arial"/>
                <w:b/>
                <w:color w:val="FFFFFF"/>
                <w:sz w:val="18"/>
                <w:szCs w:val="18"/>
              </w:rPr>
              <w:t>Output</w:t>
            </w:r>
            <w:r w:rsidR="006348F9">
              <w:rPr>
                <w:rFonts w:eastAsia="Arial"/>
                <w:b/>
                <w:color w:val="FFFFFF"/>
                <w:sz w:val="18"/>
                <w:szCs w:val="18"/>
              </w:rPr>
              <w:t xml:space="preserve"> Representative</w:t>
            </w:r>
            <w:r w:rsidR="00F25496">
              <w:rPr>
                <w:rFonts w:eastAsia="Arial"/>
                <w:b/>
                <w:color w:val="FFFFFF"/>
                <w:sz w:val="18"/>
                <w:szCs w:val="18"/>
              </w:rPr>
              <w:t xml:space="preserve"> </w:t>
            </w:r>
            <w:r w:rsidR="006348F9">
              <w:rPr>
                <w:rFonts w:eastAsia="Arial"/>
                <w:b/>
                <w:color w:val="FFFFFF"/>
                <w:sz w:val="18"/>
                <w:szCs w:val="18"/>
              </w:rPr>
              <w:t>of</w:t>
            </w:r>
            <w:r w:rsidR="00F25496">
              <w:rPr>
                <w:rFonts w:eastAsia="Arial"/>
                <w:b/>
                <w:color w:val="FFFFFF"/>
                <w:sz w:val="18"/>
                <w:szCs w:val="18"/>
              </w:rPr>
              <w:t xml:space="preserve"> Both Banks</w:t>
            </w:r>
          </w:p>
        </w:tc>
      </w:tr>
      <w:tr w:rsidR="0016642C" w14:paraId="7942D313" w14:textId="77777777" w:rsidTr="0027541B">
        <w:trPr>
          <w:trHeight w:hRule="exact" w:val="459"/>
        </w:trPr>
        <w:tc>
          <w:tcPr>
            <w:tcW w:w="3324" w:type="dxa"/>
            <w:tcBorders>
              <w:top w:val="single" w:sz="5" w:space="0" w:color="000000"/>
              <w:left w:val="single" w:sz="5" w:space="0" w:color="000000"/>
              <w:bottom w:val="single" w:sz="5" w:space="0" w:color="000000"/>
              <w:right w:val="single" w:sz="5" w:space="0" w:color="000000"/>
            </w:tcBorders>
            <w:vAlign w:val="bottom"/>
          </w:tcPr>
          <w:p w14:paraId="72BB6D95" w14:textId="77777777" w:rsidR="0016642C" w:rsidRPr="007D609E" w:rsidRDefault="0016642C" w:rsidP="0027541B">
            <w:pPr>
              <w:spacing w:before="128" w:after="123" w:line="205" w:lineRule="exact"/>
              <w:textAlignment w:val="baseline"/>
              <w:rPr>
                <w:rFonts w:eastAsia="Arial"/>
                <w:color w:val="000000"/>
                <w:sz w:val="18"/>
                <w:szCs w:val="18"/>
              </w:rPr>
            </w:pPr>
            <w:r>
              <w:rPr>
                <w:sz w:val="18"/>
                <w:szCs w:val="18"/>
              </w:rPr>
              <w:t xml:space="preserve"> </w:t>
            </w:r>
            <w:r w:rsidRPr="00944DA9">
              <w:rPr>
                <w:sz w:val="18"/>
                <w:szCs w:val="18"/>
              </w:rPr>
              <w:t>Longitudinal Force (lb/ft)</w:t>
            </w:r>
          </w:p>
        </w:tc>
        <w:tc>
          <w:tcPr>
            <w:tcW w:w="3877" w:type="dxa"/>
            <w:tcBorders>
              <w:top w:val="single" w:sz="5" w:space="0" w:color="000000"/>
              <w:left w:val="single" w:sz="5" w:space="0" w:color="000000"/>
              <w:bottom w:val="single" w:sz="5" w:space="0" w:color="000000"/>
              <w:right w:val="single" w:sz="5" w:space="0" w:color="000000"/>
            </w:tcBorders>
            <w:vAlign w:val="bottom"/>
          </w:tcPr>
          <w:p w14:paraId="1B67D428" w14:textId="3CE447A8" w:rsidR="0016642C" w:rsidRPr="007D609E" w:rsidRDefault="001F1605" w:rsidP="0027541B">
            <w:pPr>
              <w:spacing w:before="128" w:after="123" w:line="205" w:lineRule="exact"/>
              <w:jc w:val="center"/>
              <w:textAlignment w:val="baseline"/>
              <w:rPr>
                <w:rFonts w:eastAsia="Arial"/>
                <w:color w:val="000000"/>
                <w:sz w:val="18"/>
                <w:szCs w:val="18"/>
              </w:rPr>
            </w:pPr>
            <w:r>
              <w:rPr>
                <w:sz w:val="18"/>
                <w:szCs w:val="18"/>
              </w:rPr>
              <w:t>1</w:t>
            </w:r>
            <w:r w:rsidR="0016642C">
              <w:rPr>
                <w:sz w:val="18"/>
                <w:szCs w:val="18"/>
              </w:rPr>
              <w:t>,</w:t>
            </w:r>
            <w:r>
              <w:rPr>
                <w:sz w:val="18"/>
                <w:szCs w:val="18"/>
              </w:rPr>
              <w:t>24</w:t>
            </w:r>
            <w:r w:rsidR="00372457">
              <w:rPr>
                <w:sz w:val="18"/>
                <w:szCs w:val="18"/>
              </w:rPr>
              <w:t>9</w:t>
            </w:r>
          </w:p>
        </w:tc>
      </w:tr>
      <w:tr w:rsidR="0016642C" w14:paraId="6E01A80D" w14:textId="77777777" w:rsidTr="0027541B">
        <w:trPr>
          <w:trHeight w:hRule="exact" w:val="459"/>
        </w:trPr>
        <w:tc>
          <w:tcPr>
            <w:tcW w:w="3324" w:type="dxa"/>
            <w:tcBorders>
              <w:top w:val="single" w:sz="5" w:space="0" w:color="000000"/>
              <w:left w:val="single" w:sz="5" w:space="0" w:color="000000"/>
              <w:bottom w:val="single" w:sz="5" w:space="0" w:color="000000"/>
              <w:right w:val="single" w:sz="5" w:space="0" w:color="000000"/>
            </w:tcBorders>
            <w:vAlign w:val="bottom"/>
          </w:tcPr>
          <w:p w14:paraId="13A88A39" w14:textId="77777777" w:rsidR="0016642C" w:rsidRPr="007D609E" w:rsidRDefault="0016642C" w:rsidP="0027541B">
            <w:pPr>
              <w:spacing w:before="128" w:after="123" w:line="205" w:lineRule="exact"/>
              <w:textAlignment w:val="baseline"/>
              <w:rPr>
                <w:rFonts w:eastAsia="Arial"/>
                <w:color w:val="000000"/>
                <w:sz w:val="18"/>
                <w:szCs w:val="18"/>
              </w:rPr>
            </w:pPr>
            <w:r>
              <w:rPr>
                <w:sz w:val="18"/>
                <w:szCs w:val="18"/>
              </w:rPr>
              <w:t xml:space="preserve"> </w:t>
            </w:r>
            <w:r w:rsidRPr="00944DA9">
              <w:rPr>
                <w:sz w:val="18"/>
                <w:szCs w:val="18"/>
              </w:rPr>
              <w:t>Axial Stress (psi)</w:t>
            </w:r>
          </w:p>
        </w:tc>
        <w:tc>
          <w:tcPr>
            <w:tcW w:w="3877" w:type="dxa"/>
            <w:tcBorders>
              <w:top w:val="single" w:sz="5" w:space="0" w:color="000000"/>
              <w:left w:val="single" w:sz="5" w:space="0" w:color="000000"/>
              <w:bottom w:val="single" w:sz="5" w:space="0" w:color="000000"/>
              <w:right w:val="single" w:sz="5" w:space="0" w:color="000000"/>
            </w:tcBorders>
            <w:vAlign w:val="bottom"/>
          </w:tcPr>
          <w:p w14:paraId="43CB6C2C" w14:textId="41A7ABC8" w:rsidR="0016642C" w:rsidRPr="007D609E" w:rsidRDefault="001F1605" w:rsidP="0027541B">
            <w:pPr>
              <w:spacing w:before="128" w:after="123" w:line="205" w:lineRule="exact"/>
              <w:jc w:val="center"/>
              <w:textAlignment w:val="baseline"/>
              <w:rPr>
                <w:rFonts w:eastAsia="Arial"/>
                <w:color w:val="000000"/>
                <w:sz w:val="18"/>
                <w:szCs w:val="18"/>
              </w:rPr>
            </w:pPr>
            <w:r>
              <w:rPr>
                <w:sz w:val="18"/>
                <w:szCs w:val="18"/>
              </w:rPr>
              <w:t>3,57</w:t>
            </w:r>
            <w:r w:rsidR="00372457">
              <w:rPr>
                <w:sz w:val="18"/>
                <w:szCs w:val="18"/>
              </w:rPr>
              <w:t>8</w:t>
            </w:r>
          </w:p>
        </w:tc>
      </w:tr>
      <w:tr w:rsidR="0016642C" w14:paraId="76FA38FA" w14:textId="77777777" w:rsidTr="0027541B">
        <w:trPr>
          <w:trHeight w:hRule="exact" w:val="459"/>
        </w:trPr>
        <w:tc>
          <w:tcPr>
            <w:tcW w:w="3324" w:type="dxa"/>
            <w:tcBorders>
              <w:top w:val="single" w:sz="5" w:space="0" w:color="000000"/>
              <w:left w:val="single" w:sz="5" w:space="0" w:color="000000"/>
              <w:bottom w:val="single" w:sz="5" w:space="0" w:color="000000"/>
              <w:right w:val="single" w:sz="5" w:space="0" w:color="000000"/>
            </w:tcBorders>
            <w:vAlign w:val="bottom"/>
          </w:tcPr>
          <w:p w14:paraId="5098F348" w14:textId="77777777" w:rsidR="0016642C" w:rsidRPr="007D609E" w:rsidRDefault="0016642C" w:rsidP="0027541B">
            <w:pPr>
              <w:spacing w:before="128" w:after="123" w:line="205" w:lineRule="exact"/>
              <w:textAlignment w:val="baseline"/>
              <w:rPr>
                <w:rFonts w:eastAsia="Arial"/>
                <w:color w:val="000000"/>
                <w:sz w:val="18"/>
                <w:szCs w:val="18"/>
              </w:rPr>
            </w:pPr>
            <w:r>
              <w:rPr>
                <w:sz w:val="18"/>
                <w:szCs w:val="18"/>
              </w:rPr>
              <w:t xml:space="preserve"> </w:t>
            </w:r>
            <w:r w:rsidRPr="00944DA9">
              <w:rPr>
                <w:sz w:val="18"/>
                <w:szCs w:val="18"/>
              </w:rPr>
              <w:t>Remaining Allowable Stress (psi)</w:t>
            </w:r>
          </w:p>
        </w:tc>
        <w:tc>
          <w:tcPr>
            <w:tcW w:w="3877" w:type="dxa"/>
            <w:tcBorders>
              <w:top w:val="single" w:sz="5" w:space="0" w:color="000000"/>
              <w:left w:val="single" w:sz="5" w:space="0" w:color="000000"/>
              <w:bottom w:val="single" w:sz="5" w:space="0" w:color="000000"/>
              <w:right w:val="single" w:sz="5" w:space="0" w:color="000000"/>
            </w:tcBorders>
            <w:vAlign w:val="bottom"/>
          </w:tcPr>
          <w:p w14:paraId="16B9F50A" w14:textId="41421CDA" w:rsidR="0016642C" w:rsidRPr="007D609E" w:rsidRDefault="00372457" w:rsidP="0027541B">
            <w:pPr>
              <w:spacing w:before="128" w:after="123" w:line="205" w:lineRule="exact"/>
              <w:jc w:val="center"/>
              <w:textAlignment w:val="baseline"/>
              <w:rPr>
                <w:rFonts w:eastAsia="Arial"/>
                <w:color w:val="000000"/>
                <w:sz w:val="18"/>
                <w:szCs w:val="18"/>
              </w:rPr>
            </w:pPr>
            <w:r>
              <w:rPr>
                <w:sz w:val="18"/>
                <w:szCs w:val="18"/>
              </w:rPr>
              <w:t>9</w:t>
            </w:r>
            <w:r w:rsidR="0016642C">
              <w:rPr>
                <w:sz w:val="18"/>
                <w:szCs w:val="18"/>
              </w:rPr>
              <w:t>,</w:t>
            </w:r>
            <w:r>
              <w:rPr>
                <w:sz w:val="18"/>
                <w:szCs w:val="18"/>
              </w:rPr>
              <w:t>257</w:t>
            </w:r>
          </w:p>
        </w:tc>
      </w:tr>
      <w:tr w:rsidR="0016642C" w14:paraId="3B3D5D46" w14:textId="77777777" w:rsidTr="0027541B">
        <w:trPr>
          <w:trHeight w:hRule="exact" w:val="459"/>
        </w:trPr>
        <w:tc>
          <w:tcPr>
            <w:tcW w:w="3324" w:type="dxa"/>
            <w:tcBorders>
              <w:top w:val="single" w:sz="5" w:space="0" w:color="000000"/>
              <w:left w:val="single" w:sz="5" w:space="0" w:color="000000"/>
              <w:bottom w:val="single" w:sz="5" w:space="0" w:color="000000"/>
              <w:right w:val="single" w:sz="5" w:space="0" w:color="000000"/>
            </w:tcBorders>
            <w:vAlign w:val="bottom"/>
          </w:tcPr>
          <w:p w14:paraId="7868BF6F" w14:textId="77777777" w:rsidR="0016642C" w:rsidRPr="007D609E" w:rsidRDefault="0016642C" w:rsidP="0027541B">
            <w:pPr>
              <w:spacing w:before="128" w:after="123" w:line="205" w:lineRule="exact"/>
              <w:textAlignment w:val="baseline"/>
              <w:rPr>
                <w:rFonts w:eastAsia="Arial"/>
                <w:color w:val="000000"/>
                <w:sz w:val="18"/>
                <w:szCs w:val="18"/>
              </w:rPr>
            </w:pPr>
            <w:r>
              <w:rPr>
                <w:sz w:val="18"/>
                <w:szCs w:val="18"/>
              </w:rPr>
              <w:t xml:space="preserve"> </w:t>
            </w:r>
            <w:r w:rsidRPr="00944DA9">
              <w:rPr>
                <w:sz w:val="18"/>
                <w:szCs w:val="18"/>
              </w:rPr>
              <w:t>Allowable Pipe Length in PGD (ft):</w:t>
            </w:r>
          </w:p>
        </w:tc>
        <w:tc>
          <w:tcPr>
            <w:tcW w:w="3877" w:type="dxa"/>
            <w:tcBorders>
              <w:top w:val="single" w:sz="5" w:space="0" w:color="000000"/>
              <w:left w:val="single" w:sz="5" w:space="0" w:color="000000"/>
              <w:bottom w:val="single" w:sz="5" w:space="0" w:color="000000"/>
              <w:right w:val="single" w:sz="5" w:space="0" w:color="000000"/>
            </w:tcBorders>
            <w:vAlign w:val="bottom"/>
          </w:tcPr>
          <w:p w14:paraId="658505D3" w14:textId="05E7C947" w:rsidR="0016642C" w:rsidRPr="007D609E" w:rsidRDefault="0016642C" w:rsidP="0027541B">
            <w:pPr>
              <w:spacing w:before="128" w:after="123" w:line="205" w:lineRule="exact"/>
              <w:jc w:val="center"/>
              <w:textAlignment w:val="baseline"/>
              <w:rPr>
                <w:rFonts w:eastAsia="Arial"/>
                <w:color w:val="000000"/>
                <w:sz w:val="18"/>
                <w:szCs w:val="18"/>
              </w:rPr>
            </w:pPr>
            <w:r>
              <w:rPr>
                <w:sz w:val="18"/>
                <w:szCs w:val="18"/>
              </w:rPr>
              <w:t>1</w:t>
            </w:r>
            <w:r w:rsidR="00372457">
              <w:rPr>
                <w:sz w:val="18"/>
                <w:szCs w:val="18"/>
              </w:rPr>
              <w:t>29</w:t>
            </w:r>
          </w:p>
        </w:tc>
      </w:tr>
      <w:tr w:rsidR="0016642C" w14:paraId="4156D097" w14:textId="77777777" w:rsidTr="0027541B">
        <w:trPr>
          <w:trHeight w:hRule="exact" w:val="459"/>
        </w:trPr>
        <w:tc>
          <w:tcPr>
            <w:tcW w:w="3324" w:type="dxa"/>
            <w:tcBorders>
              <w:top w:val="single" w:sz="5" w:space="0" w:color="000000"/>
              <w:left w:val="single" w:sz="5" w:space="0" w:color="000000"/>
              <w:bottom w:val="single" w:sz="5" w:space="0" w:color="000000"/>
              <w:right w:val="single" w:sz="5" w:space="0" w:color="000000"/>
            </w:tcBorders>
            <w:vAlign w:val="bottom"/>
          </w:tcPr>
          <w:p w14:paraId="3C30164E" w14:textId="77777777" w:rsidR="0016642C" w:rsidRPr="007D609E" w:rsidRDefault="0016642C" w:rsidP="0027541B">
            <w:pPr>
              <w:spacing w:before="128" w:after="123" w:line="205" w:lineRule="exact"/>
              <w:textAlignment w:val="baseline"/>
              <w:rPr>
                <w:rFonts w:eastAsia="Arial"/>
                <w:color w:val="000000"/>
                <w:sz w:val="18"/>
                <w:szCs w:val="18"/>
              </w:rPr>
            </w:pPr>
            <w:r>
              <w:rPr>
                <w:sz w:val="18"/>
                <w:szCs w:val="18"/>
              </w:rPr>
              <w:t xml:space="preserve"> </w:t>
            </w:r>
            <w:r w:rsidRPr="00944DA9">
              <w:rPr>
                <w:sz w:val="18"/>
                <w:szCs w:val="18"/>
              </w:rPr>
              <w:t>Exceeds Allowable:</w:t>
            </w:r>
          </w:p>
        </w:tc>
        <w:tc>
          <w:tcPr>
            <w:tcW w:w="3877" w:type="dxa"/>
            <w:tcBorders>
              <w:top w:val="single" w:sz="5" w:space="0" w:color="000000"/>
              <w:left w:val="single" w:sz="5" w:space="0" w:color="000000"/>
              <w:bottom w:val="single" w:sz="5" w:space="0" w:color="000000"/>
              <w:right w:val="single" w:sz="5" w:space="0" w:color="000000"/>
            </w:tcBorders>
            <w:vAlign w:val="bottom"/>
          </w:tcPr>
          <w:p w14:paraId="1BD479F1" w14:textId="77777777" w:rsidR="0016642C" w:rsidRPr="007D609E" w:rsidRDefault="0016642C" w:rsidP="0027541B">
            <w:pPr>
              <w:spacing w:before="128" w:after="123" w:line="205" w:lineRule="exact"/>
              <w:jc w:val="center"/>
              <w:textAlignment w:val="baseline"/>
              <w:rPr>
                <w:rFonts w:eastAsia="Arial"/>
                <w:b/>
                <w:bCs/>
                <w:color w:val="000000"/>
                <w:sz w:val="18"/>
                <w:szCs w:val="18"/>
              </w:rPr>
            </w:pPr>
            <w:r w:rsidRPr="00944DA9">
              <w:rPr>
                <w:b/>
                <w:bCs/>
                <w:sz w:val="18"/>
                <w:szCs w:val="18"/>
              </w:rPr>
              <w:t>Does Not Exceed</w:t>
            </w:r>
          </w:p>
        </w:tc>
      </w:tr>
    </w:tbl>
    <w:p w14:paraId="3A8D19FB" w14:textId="77777777" w:rsidR="0016642C" w:rsidRDefault="0016642C" w:rsidP="0016642C"/>
    <w:sectPr w:rsidR="0016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2C"/>
    <w:rsid w:val="00010B6E"/>
    <w:rsid w:val="00014501"/>
    <w:rsid w:val="00156687"/>
    <w:rsid w:val="0016642C"/>
    <w:rsid w:val="001C73BE"/>
    <w:rsid w:val="001F1605"/>
    <w:rsid w:val="00263615"/>
    <w:rsid w:val="002A0B09"/>
    <w:rsid w:val="002C0F7C"/>
    <w:rsid w:val="002D7DCF"/>
    <w:rsid w:val="00336DDB"/>
    <w:rsid w:val="00372457"/>
    <w:rsid w:val="00402258"/>
    <w:rsid w:val="004D22E7"/>
    <w:rsid w:val="00530B90"/>
    <w:rsid w:val="005D497F"/>
    <w:rsid w:val="005E4B0E"/>
    <w:rsid w:val="006348F9"/>
    <w:rsid w:val="006663D8"/>
    <w:rsid w:val="006840B7"/>
    <w:rsid w:val="00730B18"/>
    <w:rsid w:val="007736E2"/>
    <w:rsid w:val="007A197A"/>
    <w:rsid w:val="007A7658"/>
    <w:rsid w:val="007D3EA0"/>
    <w:rsid w:val="007F6B09"/>
    <w:rsid w:val="0084581A"/>
    <w:rsid w:val="0087461B"/>
    <w:rsid w:val="008B0535"/>
    <w:rsid w:val="0093387A"/>
    <w:rsid w:val="009A22E3"/>
    <w:rsid w:val="009C09F8"/>
    <w:rsid w:val="00B00D05"/>
    <w:rsid w:val="00B073EA"/>
    <w:rsid w:val="00B66ED8"/>
    <w:rsid w:val="00B90AC7"/>
    <w:rsid w:val="00BE41A2"/>
    <w:rsid w:val="00C1786E"/>
    <w:rsid w:val="00C75E62"/>
    <w:rsid w:val="00CD45DE"/>
    <w:rsid w:val="00DA14AC"/>
    <w:rsid w:val="00DE197B"/>
    <w:rsid w:val="00DF5FA0"/>
    <w:rsid w:val="00E022EC"/>
    <w:rsid w:val="00E13936"/>
    <w:rsid w:val="00E9643B"/>
    <w:rsid w:val="00ED791C"/>
    <w:rsid w:val="00EF4F89"/>
    <w:rsid w:val="00F2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AB9D"/>
  <w15:chartTrackingRefBased/>
  <w15:docId w15:val="{FEFD59FC-F4ED-4244-B10B-C212C5D3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42C"/>
    <w:pPr>
      <w:spacing w:after="120" w:line="288" w:lineRule="auto"/>
    </w:pPr>
    <w:rPr>
      <w:rFonts w:ascii="Arial" w:hAnsi="Arial"/>
      <w:kern w:val="0"/>
      <w:sz w:val="20"/>
      <w14:ligatures w14:val="none"/>
    </w:rPr>
  </w:style>
  <w:style w:type="paragraph" w:styleId="Heading1">
    <w:name w:val="heading 1"/>
    <w:basedOn w:val="Normal"/>
    <w:next w:val="Normal"/>
    <w:link w:val="Heading1Char"/>
    <w:uiPriority w:val="9"/>
    <w:qFormat/>
    <w:rsid w:val="0016642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6642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6642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6642C"/>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16642C"/>
    <w:pPr>
      <w:keepNext/>
      <w:keepLines/>
      <w:spacing w:before="80" w:after="40" w:line="259" w:lineRule="auto"/>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16642C"/>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16642C"/>
    <w:pPr>
      <w:keepNext/>
      <w:keepLines/>
      <w:spacing w:before="40" w:after="0" w:line="259"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16642C"/>
    <w:pPr>
      <w:keepNext/>
      <w:keepLines/>
      <w:spacing w:after="0" w:line="259"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16642C"/>
    <w:pPr>
      <w:keepNext/>
      <w:keepLines/>
      <w:spacing w:after="0" w:line="259"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42C"/>
    <w:rPr>
      <w:rFonts w:eastAsiaTheme="majorEastAsia" w:cstheme="majorBidi"/>
      <w:color w:val="272727" w:themeColor="text1" w:themeTint="D8"/>
    </w:rPr>
  </w:style>
  <w:style w:type="paragraph" w:styleId="Title">
    <w:name w:val="Title"/>
    <w:basedOn w:val="Normal"/>
    <w:next w:val="Normal"/>
    <w:link w:val="TitleChar"/>
    <w:uiPriority w:val="10"/>
    <w:qFormat/>
    <w:rsid w:val="0016642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66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42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66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42C"/>
    <w:pPr>
      <w:spacing w:before="160" w:after="160" w:line="259" w:lineRule="auto"/>
      <w:jc w:val="center"/>
    </w:pPr>
    <w:rPr>
      <w:rFonts w:ascii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16642C"/>
    <w:rPr>
      <w:i/>
      <w:iCs/>
      <w:color w:val="404040" w:themeColor="text1" w:themeTint="BF"/>
    </w:rPr>
  </w:style>
  <w:style w:type="paragraph" w:styleId="ListParagraph">
    <w:name w:val="List Paragraph"/>
    <w:basedOn w:val="Normal"/>
    <w:uiPriority w:val="34"/>
    <w:qFormat/>
    <w:rsid w:val="0016642C"/>
    <w:pPr>
      <w:spacing w:after="160" w:line="259" w:lineRule="auto"/>
      <w:ind w:left="720"/>
      <w:contextualSpacing/>
    </w:pPr>
    <w:rPr>
      <w:rFonts w:asciiTheme="minorHAnsi" w:hAnsiTheme="minorHAnsi"/>
      <w:kern w:val="2"/>
      <w:sz w:val="22"/>
      <w14:ligatures w14:val="standardContextual"/>
    </w:rPr>
  </w:style>
  <w:style w:type="character" w:styleId="IntenseEmphasis">
    <w:name w:val="Intense Emphasis"/>
    <w:basedOn w:val="DefaultParagraphFont"/>
    <w:uiPriority w:val="21"/>
    <w:qFormat/>
    <w:rsid w:val="0016642C"/>
    <w:rPr>
      <w:i/>
      <w:iCs/>
      <w:color w:val="0F4761" w:themeColor="accent1" w:themeShade="BF"/>
    </w:rPr>
  </w:style>
  <w:style w:type="paragraph" w:styleId="IntenseQuote">
    <w:name w:val="Intense Quote"/>
    <w:basedOn w:val="Normal"/>
    <w:next w:val="Normal"/>
    <w:link w:val="IntenseQuoteChar"/>
    <w:uiPriority w:val="30"/>
    <w:qFormat/>
    <w:rsid w:val="0016642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16642C"/>
    <w:rPr>
      <w:i/>
      <w:iCs/>
      <w:color w:val="0F4761" w:themeColor="accent1" w:themeShade="BF"/>
    </w:rPr>
  </w:style>
  <w:style w:type="character" w:styleId="IntenseReference">
    <w:name w:val="Intense Reference"/>
    <w:basedOn w:val="DefaultParagraphFont"/>
    <w:uiPriority w:val="32"/>
    <w:qFormat/>
    <w:rsid w:val="001664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2B5C8B71CB584AA08FA64CBC6EB5CD" ma:contentTypeVersion="20" ma:contentTypeDescription="Create a new document." ma:contentTypeScope="" ma:versionID="b1e18c57ce5a0cdf755c9a83c3b5cb87">
  <xsd:schema xmlns:xsd="http://www.w3.org/2001/XMLSchema" xmlns:xs="http://www.w3.org/2001/XMLSchema" xmlns:p="http://schemas.microsoft.com/office/2006/metadata/properties" xmlns:ns2="edc31dcf-9d1f-43aa-a050-f085812730c9" xmlns:ns3="171cec66-62bb-4b40-baf6-1c21a67a4487" targetNamespace="http://schemas.microsoft.com/office/2006/metadata/properties" ma:root="true" ma:fieldsID="102eccd1ee2feb3d73c4c6aee13d7ece" ns2:_="" ns3:_="">
    <xsd:import namespace="edc31dcf-9d1f-43aa-a050-f085812730c9"/>
    <xsd:import namespace="171cec66-62bb-4b40-baf6-1c21a67a44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31dcf-9d1f-43aa-a050-f085812730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35aeea7-e848-442f-a6c3-04e7a31ee3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1cec66-62bb-4b40-baf6-1c21a67a44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ffb0a5e-5eea-4f60-911b-d580f38c71e3}" ma:internalName="TaxCatchAll" ma:showField="CatchAllData" ma:web="171cec66-62bb-4b40-baf6-1c21a67a44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71cec66-62bb-4b40-baf6-1c21a67a4487" xsi:nil="true"/>
    <lcf76f155ced4ddcb4097134ff3c332f xmlns="edc31dcf-9d1f-43aa-a050-f085812730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44A108-5E65-4843-B271-B4C49CD42F45}">
  <ds:schemaRefs>
    <ds:schemaRef ds:uri="http://schemas.microsoft.com/sharepoint/v3/contenttype/forms"/>
  </ds:schemaRefs>
</ds:datastoreItem>
</file>

<file path=customXml/itemProps2.xml><?xml version="1.0" encoding="utf-8"?>
<ds:datastoreItem xmlns:ds="http://schemas.openxmlformats.org/officeDocument/2006/customXml" ds:itemID="{34BD0F58-E520-4BC8-B685-A0A785755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c31dcf-9d1f-43aa-a050-f085812730c9"/>
    <ds:schemaRef ds:uri="171cec66-62bb-4b40-baf6-1c21a67a44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882F84-F8B5-47DC-9006-33F7123D2005}">
  <ds:schemaRefs>
    <ds:schemaRef ds:uri="http://schemas.microsoft.com/office/2006/metadata/properties"/>
    <ds:schemaRef ds:uri="http://schemas.microsoft.com/office/infopath/2007/PartnerControls"/>
    <ds:schemaRef ds:uri="171cec66-62bb-4b40-baf6-1c21a67a4487"/>
    <ds:schemaRef ds:uri="edc31dcf-9d1f-43aa-a050-f085812730c9"/>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Timothy</dc:creator>
  <cp:keywords/>
  <dc:description/>
  <cp:lastModifiedBy>Newton, Timothy</cp:lastModifiedBy>
  <cp:revision>3</cp:revision>
  <dcterms:created xsi:type="dcterms:W3CDTF">2025-04-01T15:13:00Z</dcterms:created>
  <dcterms:modified xsi:type="dcterms:W3CDTF">2025-04-01T15:16:00Z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0x010100A32B5C8B71CB584AA08FA64CBC6EB5CD</vt:lpwstr>
  </property>
  <property fmtid="{D5CDD505-2E9C-101B-9397-08002B2CF9AE}" pid="3" name="MediaServiceImageTags">
    <vt:lpwstr/>
  </property>
</Properties>
</file>