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2B57" w14:textId="034DA827" w:rsidR="00431444" w:rsidRDefault="00F009B4" w:rsidP="00431444">
      <w:r>
        <w:t>Nine</w:t>
      </w:r>
      <w:r w:rsidR="00431444">
        <w:t xml:space="preserve"> key </w:t>
      </w:r>
      <w:r w:rsidR="00884E2D">
        <w:t>Chapters</w:t>
      </w:r>
      <w:r w:rsidR="00431444">
        <w:t xml:space="preserve"> I have found are most helpful for completing the course task </w:t>
      </w:r>
      <w:r w:rsidR="00B921A3">
        <w:t xml:space="preserve">are </w:t>
      </w:r>
      <w:r w:rsidR="00884E2D">
        <w:t>Chapters</w:t>
      </w:r>
      <w:r w:rsidR="00B921A3">
        <w:t xml:space="preserve"> </w:t>
      </w:r>
      <w:r w:rsidR="00884E2D">
        <w:t>1</w:t>
      </w:r>
      <w:r>
        <w:t xml:space="preserve">, </w:t>
      </w:r>
      <w:r w:rsidR="00884E2D">
        <w:t>2</w:t>
      </w:r>
      <w:r w:rsidR="00431444">
        <w:t xml:space="preserve">, </w:t>
      </w:r>
      <w:r w:rsidR="00884E2D">
        <w:t>3</w:t>
      </w:r>
      <w:r w:rsidR="00431444">
        <w:t xml:space="preserve">, </w:t>
      </w:r>
      <w:r w:rsidR="00884E2D">
        <w:t>7</w:t>
      </w:r>
      <w:r w:rsidR="00431444">
        <w:t>, 1</w:t>
      </w:r>
      <w:r w:rsidR="00884E2D">
        <w:t>0</w:t>
      </w:r>
      <w:r w:rsidR="00431444">
        <w:t>, 1</w:t>
      </w:r>
      <w:r w:rsidR="00884E2D">
        <w:t>2</w:t>
      </w:r>
      <w:r w:rsidR="00431444">
        <w:t>, 1</w:t>
      </w:r>
      <w:r w:rsidR="00884E2D">
        <w:t>3</w:t>
      </w:r>
      <w:r w:rsidR="00431444">
        <w:t>, 1</w:t>
      </w:r>
      <w:r w:rsidR="00884E2D">
        <w:t>4</w:t>
      </w:r>
      <w:r w:rsidR="00431444">
        <w:t xml:space="preserve">, </w:t>
      </w:r>
      <w:r w:rsidR="00B921A3">
        <w:t xml:space="preserve">and </w:t>
      </w:r>
      <w:r w:rsidR="00431444">
        <w:t>1</w:t>
      </w:r>
      <w:r w:rsidR="00884E2D">
        <w:t>5</w:t>
      </w:r>
      <w:r w:rsidR="00431444">
        <w:t xml:space="preserve">. This coupled with guidance within the </w:t>
      </w:r>
      <w:r w:rsidR="00B921A3" w:rsidRPr="001708CD">
        <w:rPr>
          <w:b/>
          <w:bCs/>
        </w:rPr>
        <w:t xml:space="preserve">task guidance </w:t>
      </w:r>
      <w:r w:rsidR="00431444" w:rsidRPr="001708CD">
        <w:rPr>
          <w:b/>
          <w:bCs/>
        </w:rPr>
        <w:t>spreadsheet</w:t>
      </w:r>
      <w:r w:rsidR="00431444">
        <w:t xml:space="preserve">, </w:t>
      </w:r>
      <w:r w:rsidR="00431444" w:rsidRPr="001708CD">
        <w:rPr>
          <w:b/>
          <w:bCs/>
        </w:rPr>
        <w:t>the walkthrough videos</w:t>
      </w:r>
      <w:r w:rsidR="00431444">
        <w:t xml:space="preserve">, and the </w:t>
      </w:r>
      <w:r w:rsidR="00431444" w:rsidRPr="001708CD">
        <w:rPr>
          <w:b/>
          <w:bCs/>
        </w:rPr>
        <w:t xml:space="preserve">templates </w:t>
      </w:r>
      <w:r w:rsidR="00431444">
        <w:t xml:space="preserve">make for a focused and efficient approach to ensure you complete the course. Work through the steps for each task, using the </w:t>
      </w:r>
      <w:r w:rsidR="00884E2D">
        <w:t>Chapter</w:t>
      </w:r>
      <w:r w:rsidR="00431444">
        <w:t xml:space="preserve"> reading</w:t>
      </w:r>
      <w:r w:rsidR="00D94153">
        <w:t>s</w:t>
      </w:r>
      <w:r w:rsidR="00431444">
        <w:t xml:space="preserve"> as needed to fill knowledge gaps. Fit the steps into your completion timeline and hold yourself accountable for completing steps</w:t>
      </w:r>
      <w:r w:rsidR="00EB44F2">
        <w:t xml:space="preserve"> </w:t>
      </w:r>
      <w:r w:rsidR="006B5D19">
        <w:t>on time</w:t>
      </w:r>
      <w:r w:rsidR="00431444">
        <w:t>.</w:t>
      </w:r>
    </w:p>
    <w:tbl>
      <w:tblPr>
        <w:tblW w:w="10120" w:type="dxa"/>
        <w:tblLook w:val="04A0" w:firstRow="1" w:lastRow="0" w:firstColumn="1" w:lastColumn="0" w:noHBand="0" w:noVBand="1"/>
      </w:tblPr>
      <w:tblGrid>
        <w:gridCol w:w="1170"/>
        <w:gridCol w:w="8950"/>
      </w:tblGrid>
      <w:tr w:rsidR="00EE0DCD" w:rsidRPr="00EE0DCD" w14:paraId="08BEB52E" w14:textId="77777777" w:rsidTr="005C2657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63B6" w14:textId="77777777" w:rsidR="00EE0DCD" w:rsidRPr="00EE0DCD" w:rsidRDefault="00EE0DCD" w:rsidP="00EE0D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6998" w14:textId="430E5AB1" w:rsidR="00EE0DCD" w:rsidRPr="00EE0DCD" w:rsidRDefault="001E61DE" w:rsidP="00EE0DCD">
            <w:pP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Four</w:t>
            </w:r>
            <w:r w:rsidR="00EE0DCD" w:rsidRPr="00EE0DCD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-Week Pacing Plan</w:t>
            </w:r>
          </w:p>
          <w:p w14:paraId="4039E97A" w14:textId="3DB924E6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EE0DCD" w:rsidRPr="00EE0DCD" w14:paraId="08BEF6BE" w14:textId="77777777" w:rsidTr="005C2657">
        <w:trPr>
          <w:trHeight w:val="312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609B" w14:textId="77777777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F3BEB4F" w14:textId="77777777" w:rsidR="00EE0DCD" w:rsidRPr="00EE0DCD" w:rsidRDefault="00EE0DCD" w:rsidP="00EE0DC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>Task 1</w:t>
            </w:r>
          </w:p>
        </w:tc>
      </w:tr>
      <w:tr w:rsidR="00EE0DCD" w:rsidRPr="00EE0DCD" w14:paraId="491EA62E" w14:textId="77777777" w:rsidTr="005C2657">
        <w:trPr>
          <w:trHeight w:val="1401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10C7D9D" w14:textId="0D629A60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>Day 1-</w:t>
            </w:r>
            <w:r w:rsidR="005223AA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8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73BB86A" w14:textId="5D456928" w:rsidR="00EE0DCD" w:rsidRPr="00EE0DCD" w:rsidRDefault="00EE0DCD" w:rsidP="00EE0DCD">
            <w:pPr>
              <w:rPr>
                <w:rFonts w:ascii="Calibri" w:eastAsia="Times New Roman" w:hAnsi="Calibri" w:cs="Calibri"/>
                <w:color w:val="000000"/>
              </w:rPr>
            </w:pPr>
            <w:r w:rsidRPr="00EE0DCD">
              <w:rPr>
                <w:rFonts w:ascii="Calibri" w:eastAsia="Times New Roman" w:hAnsi="Calibri" w:cs="Calibri"/>
                <w:color w:val="000000"/>
              </w:rPr>
              <w:t>(1) View Task 1 Walkthrough video</w:t>
            </w:r>
            <w:r w:rsidRPr="00EE0DCD">
              <w:rPr>
                <w:rFonts w:ascii="Calibri" w:eastAsia="Times New Roman" w:hAnsi="Calibri" w:cs="Calibri"/>
                <w:color w:val="000000"/>
              </w:rPr>
              <w:br/>
              <w:t xml:space="preserve">(2) Read </w:t>
            </w:r>
            <w:r w:rsidR="00884E2D">
              <w:rPr>
                <w:rFonts w:ascii="Calibri" w:eastAsia="Times New Roman" w:hAnsi="Calibri" w:cs="Calibri"/>
                <w:color w:val="000000"/>
              </w:rPr>
              <w:t>Chapters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F339A">
              <w:rPr>
                <w:rFonts w:ascii="Calibri" w:eastAsia="Times New Roman" w:hAnsi="Calibri" w:cs="Calibri"/>
                <w:color w:val="000000"/>
              </w:rPr>
              <w:t>1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4F339A">
              <w:rPr>
                <w:rFonts w:ascii="Calibri" w:eastAsia="Times New Roman" w:hAnsi="Calibri" w:cs="Calibri"/>
                <w:color w:val="000000"/>
              </w:rPr>
              <w:t>2</w:t>
            </w:r>
            <w:r w:rsidRPr="00EE0DCD">
              <w:rPr>
                <w:rFonts w:ascii="Calibri" w:eastAsia="Times New Roman" w:hAnsi="Calibri" w:cs="Calibri"/>
                <w:color w:val="000000"/>
              </w:rPr>
              <w:t>, 1</w:t>
            </w:r>
            <w:r w:rsidR="004F339A">
              <w:rPr>
                <w:rFonts w:ascii="Calibri" w:eastAsia="Times New Roman" w:hAnsi="Calibri" w:cs="Calibri"/>
                <w:color w:val="000000"/>
              </w:rPr>
              <w:t>2</w:t>
            </w:r>
            <w:r w:rsidRPr="00EE0DCD">
              <w:rPr>
                <w:rFonts w:ascii="Calibri" w:eastAsia="Times New Roman" w:hAnsi="Calibri" w:cs="Calibri"/>
                <w:color w:val="000000"/>
              </w:rPr>
              <w:t>, 1</w:t>
            </w:r>
            <w:r w:rsidR="004F339A">
              <w:rPr>
                <w:rFonts w:ascii="Calibri" w:eastAsia="Times New Roman" w:hAnsi="Calibri" w:cs="Calibri"/>
                <w:color w:val="000000"/>
              </w:rPr>
              <w:t>5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&gt; Leverage the task guidance spreadsheet to complete Task Section A1, and ECPA&amp;CFAA portion of Task Section A2 within the PPT template</w:t>
            </w:r>
          </w:p>
        </w:tc>
      </w:tr>
      <w:tr w:rsidR="00EE0DCD" w:rsidRPr="00EE0DCD" w14:paraId="183FA37E" w14:textId="77777777" w:rsidTr="005C2657">
        <w:trPr>
          <w:trHeight w:val="1401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A0D4D" w14:textId="12A02E14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Day </w:t>
            </w:r>
            <w:r w:rsidR="005223A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>-</w:t>
            </w:r>
            <w:r w:rsidR="005C2657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5223A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8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D0D9A" w14:textId="316591A4" w:rsidR="00EE0DCD" w:rsidRPr="00EE0DCD" w:rsidRDefault="00EE0DCD" w:rsidP="00EE0DCD">
            <w:pPr>
              <w:rPr>
                <w:rFonts w:ascii="Calibri" w:eastAsia="Times New Roman" w:hAnsi="Calibri" w:cs="Calibri"/>
                <w:color w:val="000000"/>
              </w:rPr>
            </w:pPr>
            <w:r w:rsidRPr="00EE0DCD">
              <w:rPr>
                <w:rFonts w:ascii="Calibri" w:eastAsia="Times New Roman" w:hAnsi="Calibri" w:cs="Calibri"/>
                <w:color w:val="000000"/>
              </w:rPr>
              <w:t xml:space="preserve">(3) Review Negligence Torts section of </w:t>
            </w:r>
            <w:r w:rsidR="00884E2D">
              <w:rPr>
                <w:rFonts w:ascii="Calibri" w:eastAsia="Times New Roman" w:hAnsi="Calibri" w:cs="Calibri"/>
                <w:color w:val="000000"/>
              </w:rPr>
              <w:t>Chapter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1</w:t>
            </w:r>
            <w:r w:rsidR="004F339A">
              <w:rPr>
                <w:rFonts w:ascii="Calibri" w:eastAsia="Times New Roman" w:hAnsi="Calibri" w:cs="Calibri"/>
                <w:color w:val="000000"/>
              </w:rPr>
              <w:t>2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&gt; Leverage the task guidance spreadsheet to complete Task Section A3 within the PPT template Complete  </w:t>
            </w:r>
            <w:r w:rsidRPr="00EE0DCD">
              <w:rPr>
                <w:rFonts w:ascii="Calibri" w:eastAsia="Times New Roman" w:hAnsi="Calibri" w:cs="Calibri"/>
                <w:color w:val="000000"/>
              </w:rPr>
              <w:br/>
              <w:t xml:space="preserve">(4) Read </w:t>
            </w:r>
            <w:r w:rsidR="00884E2D">
              <w:rPr>
                <w:rFonts w:ascii="Calibri" w:eastAsia="Times New Roman" w:hAnsi="Calibri" w:cs="Calibri"/>
                <w:color w:val="000000"/>
              </w:rPr>
              <w:t>Chapters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F339A">
              <w:rPr>
                <w:rFonts w:ascii="Calibri" w:eastAsia="Times New Roman" w:hAnsi="Calibri" w:cs="Calibri"/>
                <w:color w:val="000000"/>
              </w:rPr>
              <w:t>7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and 1</w:t>
            </w:r>
            <w:r w:rsidR="004F339A">
              <w:rPr>
                <w:rFonts w:ascii="Calibri" w:eastAsia="Times New Roman" w:hAnsi="Calibri" w:cs="Calibri"/>
                <w:color w:val="000000"/>
              </w:rPr>
              <w:t>4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&gt; Leverage the task guidance spreadsheet to complete Task Section A4 and the SOX portion of Task Section A2 within the PPT template</w:t>
            </w:r>
          </w:p>
        </w:tc>
      </w:tr>
      <w:tr w:rsidR="00EE0DCD" w:rsidRPr="00EE0DCD" w14:paraId="5C45BC9A" w14:textId="77777777" w:rsidTr="005C2657">
        <w:trPr>
          <w:trHeight w:val="1401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C6FC461" w14:textId="5E009D66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Day </w:t>
            </w:r>
            <w:r w:rsidR="005C2657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5223A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="005C2657">
              <w:rPr>
                <w:rFonts w:ascii="Calibri" w:eastAsia="Times New Roman" w:hAnsi="Calibri" w:cs="Calibri"/>
                <w:b/>
                <w:bCs/>
                <w:color w:val="000000"/>
              </w:rPr>
              <w:t>-1</w:t>
            </w:r>
            <w:r w:rsidR="004C1CAB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8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6CDB280" w14:textId="7A78837D" w:rsidR="00EE0DCD" w:rsidRPr="00EE0DCD" w:rsidRDefault="00EE0DCD" w:rsidP="00EE0DCD">
            <w:pPr>
              <w:rPr>
                <w:rFonts w:ascii="Calibri" w:eastAsia="Times New Roman" w:hAnsi="Calibri" w:cs="Calibri"/>
                <w:color w:val="000000"/>
              </w:rPr>
            </w:pPr>
            <w:r w:rsidRPr="00EE0DCD">
              <w:rPr>
                <w:rFonts w:ascii="Calibri" w:eastAsia="Times New Roman" w:hAnsi="Calibri" w:cs="Calibri"/>
                <w:color w:val="000000"/>
              </w:rPr>
              <w:t xml:space="preserve">(5) Revisit </w:t>
            </w:r>
            <w:r w:rsidR="00884E2D">
              <w:rPr>
                <w:rFonts w:ascii="Calibri" w:eastAsia="Times New Roman" w:hAnsi="Calibri" w:cs="Calibri"/>
                <w:color w:val="000000"/>
              </w:rPr>
              <w:t>Chapters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F339A">
              <w:rPr>
                <w:rFonts w:ascii="Calibri" w:eastAsia="Times New Roman" w:hAnsi="Calibri" w:cs="Calibri"/>
                <w:color w:val="000000"/>
              </w:rPr>
              <w:t>2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4F339A">
              <w:rPr>
                <w:rFonts w:ascii="Calibri" w:eastAsia="Times New Roman" w:hAnsi="Calibri" w:cs="Calibri"/>
                <w:color w:val="000000"/>
              </w:rPr>
              <w:t>7</w:t>
            </w:r>
            <w:r w:rsidRPr="00EE0DCD">
              <w:rPr>
                <w:rFonts w:ascii="Calibri" w:eastAsia="Times New Roman" w:hAnsi="Calibri" w:cs="Calibri"/>
                <w:color w:val="000000"/>
              </w:rPr>
              <w:t>, 1</w:t>
            </w:r>
            <w:r w:rsidR="004F339A">
              <w:rPr>
                <w:rFonts w:ascii="Calibri" w:eastAsia="Times New Roman" w:hAnsi="Calibri" w:cs="Calibri"/>
                <w:color w:val="000000"/>
              </w:rPr>
              <w:t>2</w:t>
            </w:r>
            <w:r w:rsidRPr="00EE0DCD">
              <w:rPr>
                <w:rFonts w:ascii="Calibri" w:eastAsia="Times New Roman" w:hAnsi="Calibri" w:cs="Calibri"/>
                <w:color w:val="000000"/>
              </w:rPr>
              <w:t>, 1</w:t>
            </w:r>
            <w:r w:rsidR="004F339A">
              <w:rPr>
                <w:rFonts w:ascii="Calibri" w:eastAsia="Times New Roman" w:hAnsi="Calibri" w:cs="Calibri"/>
                <w:color w:val="000000"/>
              </w:rPr>
              <w:t>5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as needed &gt; complete Task Sections B1a within the PPT template. Leverage Task Guidance Spreadsheet.</w:t>
            </w:r>
            <w:r w:rsidRPr="00EE0DCD">
              <w:rPr>
                <w:rFonts w:ascii="Calibri" w:eastAsia="Times New Roman" w:hAnsi="Calibri" w:cs="Calibri"/>
                <w:color w:val="000000"/>
              </w:rPr>
              <w:br/>
              <w:t xml:space="preserve">(6) Read </w:t>
            </w:r>
            <w:r w:rsidR="00884E2D">
              <w:rPr>
                <w:rFonts w:ascii="Calibri" w:eastAsia="Times New Roman" w:hAnsi="Calibri" w:cs="Calibri"/>
                <w:color w:val="000000"/>
              </w:rPr>
              <w:t>Chapter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1</w:t>
            </w:r>
            <w:r w:rsidR="004F339A">
              <w:rPr>
                <w:rFonts w:ascii="Calibri" w:eastAsia="Times New Roman" w:hAnsi="Calibri" w:cs="Calibri"/>
                <w:color w:val="000000"/>
              </w:rPr>
              <w:t>3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&gt; Leverage the task guidance spreadsheet to complete Task Section B1b within the PPT template</w:t>
            </w:r>
          </w:p>
        </w:tc>
      </w:tr>
      <w:tr w:rsidR="00EE0DCD" w:rsidRPr="00EE0DCD" w14:paraId="6C699B3A" w14:textId="77777777" w:rsidTr="005C2657">
        <w:trPr>
          <w:trHeight w:val="1321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1538E" w14:textId="5B047D73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Day </w:t>
            </w:r>
            <w:r w:rsidR="005C2657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4C1CAB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r w:rsidR="005C2657">
              <w:rPr>
                <w:rFonts w:ascii="Calibri" w:eastAsia="Times New Roman" w:hAnsi="Calibri" w:cs="Calibri"/>
                <w:b/>
                <w:bCs/>
                <w:color w:val="000000"/>
              </w:rPr>
              <w:t>-1</w:t>
            </w:r>
            <w:r w:rsidR="004C1CA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8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F7935" w14:textId="6D119346" w:rsidR="00EE0DCD" w:rsidRPr="00EE0DCD" w:rsidRDefault="00EE0DCD" w:rsidP="00EE0DCD">
            <w:pPr>
              <w:rPr>
                <w:rFonts w:ascii="Calibri" w:eastAsia="Times New Roman" w:hAnsi="Calibri" w:cs="Calibri"/>
                <w:color w:val="000000"/>
              </w:rPr>
            </w:pPr>
            <w:r w:rsidRPr="00EE0DCD">
              <w:rPr>
                <w:rFonts w:ascii="Calibri" w:eastAsia="Times New Roman" w:hAnsi="Calibri" w:cs="Calibri"/>
                <w:color w:val="000000"/>
              </w:rPr>
              <w:t xml:space="preserve">(7) Review Negligence Torts section of </w:t>
            </w:r>
            <w:r w:rsidR="00884E2D">
              <w:rPr>
                <w:rFonts w:ascii="Calibri" w:eastAsia="Times New Roman" w:hAnsi="Calibri" w:cs="Calibri"/>
                <w:color w:val="000000"/>
              </w:rPr>
              <w:t>Chapter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1</w:t>
            </w:r>
            <w:r w:rsidR="004F339A">
              <w:rPr>
                <w:rFonts w:ascii="Calibri" w:eastAsia="Times New Roman" w:hAnsi="Calibri" w:cs="Calibri"/>
                <w:color w:val="000000"/>
              </w:rPr>
              <w:t>2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&gt; Leverage the task guidance spreadsheet to complete Task Section B2a within the PPT template Complete </w:t>
            </w:r>
            <w:r w:rsidRPr="00EE0DCD">
              <w:rPr>
                <w:rFonts w:ascii="Calibri" w:eastAsia="Times New Roman" w:hAnsi="Calibri" w:cs="Calibri"/>
                <w:color w:val="000000"/>
              </w:rPr>
              <w:br/>
              <w:t xml:space="preserve">(8) Revisit </w:t>
            </w:r>
            <w:r w:rsidR="00884E2D">
              <w:rPr>
                <w:rFonts w:ascii="Calibri" w:eastAsia="Times New Roman" w:hAnsi="Calibri" w:cs="Calibri"/>
                <w:color w:val="000000"/>
              </w:rPr>
              <w:t>Chapter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1</w:t>
            </w:r>
            <w:r w:rsidR="004F339A">
              <w:rPr>
                <w:rFonts w:ascii="Calibri" w:eastAsia="Times New Roman" w:hAnsi="Calibri" w:cs="Calibri"/>
                <w:color w:val="000000"/>
              </w:rPr>
              <w:t>3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as needed &gt; Leverage the task guidance spreadsheet to complete Task Section B2b within the PPT template</w:t>
            </w:r>
          </w:p>
        </w:tc>
      </w:tr>
      <w:tr w:rsidR="00EE0DCD" w:rsidRPr="00EE0DCD" w14:paraId="32E3F07A" w14:textId="77777777" w:rsidTr="005C2657">
        <w:trPr>
          <w:trHeight w:val="1401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A74EA06" w14:textId="0C9AD7F3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Day </w:t>
            </w:r>
            <w:r w:rsidR="004C1CAB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  <w:r w:rsidR="00780CC9">
              <w:rPr>
                <w:rFonts w:ascii="Calibri" w:eastAsia="Times New Roman" w:hAnsi="Calibri" w:cs="Calibri"/>
                <w:b/>
                <w:bCs/>
                <w:color w:val="000000"/>
              </w:rPr>
              <w:t>-20</w:t>
            </w:r>
          </w:p>
        </w:tc>
        <w:tc>
          <w:tcPr>
            <w:tcW w:w="89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242AC96" w14:textId="35BA8D30" w:rsidR="00EE0DCD" w:rsidRPr="00EE0DCD" w:rsidRDefault="00EE0DCD" w:rsidP="00EE0DCD">
            <w:pPr>
              <w:rPr>
                <w:rFonts w:ascii="Calibri" w:eastAsia="Times New Roman" w:hAnsi="Calibri" w:cs="Calibri"/>
                <w:color w:val="000000"/>
              </w:rPr>
            </w:pPr>
            <w:r w:rsidRPr="00EE0DCD">
              <w:rPr>
                <w:rFonts w:ascii="Calibri" w:eastAsia="Times New Roman" w:hAnsi="Calibri" w:cs="Calibri"/>
                <w:color w:val="000000"/>
              </w:rPr>
              <w:t xml:space="preserve">(9) Read </w:t>
            </w:r>
            <w:r w:rsidR="00884E2D">
              <w:rPr>
                <w:rFonts w:ascii="Calibri" w:eastAsia="Times New Roman" w:hAnsi="Calibri" w:cs="Calibri"/>
                <w:color w:val="000000"/>
              </w:rPr>
              <w:t>Chapter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84E2D">
              <w:rPr>
                <w:rFonts w:ascii="Calibri" w:eastAsia="Times New Roman" w:hAnsi="Calibri" w:cs="Calibri"/>
                <w:color w:val="000000"/>
              </w:rPr>
              <w:t>3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&gt; Leverage the task guidance spreadsheet to complete Task Section C within the PPT template</w:t>
            </w:r>
            <w:r w:rsidRPr="00EE0DCD">
              <w:rPr>
                <w:rFonts w:ascii="Calibri" w:eastAsia="Times New Roman" w:hAnsi="Calibri" w:cs="Calibri"/>
                <w:color w:val="000000"/>
              </w:rPr>
              <w:br/>
              <w:t>Submission: Cross check each section using questions in the right column of the Task Guidance spreadsheet, view similarity check video and adjust similarity &gt; Submit!</w:t>
            </w:r>
          </w:p>
        </w:tc>
      </w:tr>
      <w:tr w:rsidR="00EE0DCD" w:rsidRPr="00EE0DCD" w14:paraId="08541C67" w14:textId="77777777" w:rsidTr="005C2657">
        <w:trPr>
          <w:trHeight w:val="36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D8D4711" w14:textId="77777777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vAlign w:val="center"/>
            <w:hideMark/>
          </w:tcPr>
          <w:p w14:paraId="5FEC53B4" w14:textId="77777777" w:rsidR="00EE0DCD" w:rsidRPr="00EE0DCD" w:rsidRDefault="00EE0DCD" w:rsidP="00EE0DC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>Task 2</w:t>
            </w:r>
          </w:p>
        </w:tc>
      </w:tr>
      <w:tr w:rsidR="00EE0DCD" w:rsidRPr="00EE0DCD" w14:paraId="7DDF1336" w14:textId="77777777" w:rsidTr="005C2657">
        <w:trPr>
          <w:trHeight w:val="1401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DD24023" w14:textId="3BCF5455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Day </w:t>
            </w:r>
            <w:r w:rsidR="00780CC9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  <w:r w:rsidR="00FC43B0">
              <w:rPr>
                <w:rFonts w:ascii="Calibri" w:eastAsia="Times New Roman" w:hAnsi="Calibri" w:cs="Calibri"/>
                <w:b/>
                <w:bCs/>
                <w:color w:val="000000"/>
              </w:rPr>
              <w:t>-</w:t>
            </w:r>
            <w:r w:rsidR="00780CC9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="007F4F8E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8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5F33258" w14:textId="5E72842A" w:rsidR="00EE0DCD" w:rsidRPr="00EE0DCD" w:rsidRDefault="00EE0DCD" w:rsidP="00EE0DCD">
            <w:pPr>
              <w:rPr>
                <w:rFonts w:ascii="Calibri" w:eastAsia="Times New Roman" w:hAnsi="Calibri" w:cs="Calibri"/>
                <w:color w:val="000000"/>
              </w:rPr>
            </w:pPr>
            <w:r w:rsidRPr="00EE0DCD">
              <w:rPr>
                <w:rFonts w:ascii="Calibri" w:eastAsia="Times New Roman" w:hAnsi="Calibri" w:cs="Calibri"/>
                <w:color w:val="000000"/>
              </w:rPr>
              <w:t>(1) View Task 2 Walkthrough video</w:t>
            </w:r>
            <w:r w:rsidRPr="00EE0DCD">
              <w:rPr>
                <w:rFonts w:ascii="Calibri" w:eastAsia="Times New Roman" w:hAnsi="Calibri" w:cs="Calibri"/>
                <w:color w:val="000000"/>
              </w:rPr>
              <w:br/>
              <w:t xml:space="preserve">(2) Review </w:t>
            </w:r>
            <w:r w:rsidR="00884E2D">
              <w:rPr>
                <w:rFonts w:ascii="Calibri" w:eastAsia="Times New Roman" w:hAnsi="Calibri" w:cs="Calibri"/>
                <w:color w:val="000000"/>
              </w:rPr>
              <w:t>Chapters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1</w:t>
            </w:r>
            <w:r w:rsidR="00884E2D">
              <w:rPr>
                <w:rFonts w:ascii="Calibri" w:eastAsia="Times New Roman" w:hAnsi="Calibri" w:cs="Calibri"/>
                <w:color w:val="000000"/>
              </w:rPr>
              <w:t>3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if/as needed. &gt; Leverage the task guidance spreadsheet to complete Task Section A1a within the PPT template</w:t>
            </w:r>
          </w:p>
        </w:tc>
      </w:tr>
      <w:tr w:rsidR="00EE0DCD" w:rsidRPr="00EE0DCD" w14:paraId="78F68E62" w14:textId="77777777" w:rsidTr="005C2657">
        <w:trPr>
          <w:trHeight w:val="1401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0F620" w14:textId="55D57789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Day </w:t>
            </w:r>
            <w:r w:rsidR="007F4F8E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  <w:r w:rsidR="00FC43B0">
              <w:rPr>
                <w:rFonts w:ascii="Calibri" w:eastAsia="Times New Roman" w:hAnsi="Calibri" w:cs="Calibri"/>
                <w:b/>
                <w:bCs/>
                <w:color w:val="000000"/>
              </w:rPr>
              <w:t>-2</w:t>
            </w:r>
            <w:r w:rsidR="007F4F8E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8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F1F0A" w14:textId="77777777" w:rsidR="00EE0DCD" w:rsidRPr="00EE0DCD" w:rsidRDefault="00EE0DCD" w:rsidP="00EE0DCD">
            <w:pPr>
              <w:rPr>
                <w:rFonts w:ascii="Calibri" w:eastAsia="Times New Roman" w:hAnsi="Calibri" w:cs="Calibri"/>
                <w:color w:val="000000"/>
              </w:rPr>
            </w:pPr>
            <w:r w:rsidRPr="00EE0DCD">
              <w:rPr>
                <w:rFonts w:ascii="Calibri" w:eastAsia="Times New Roman" w:hAnsi="Calibri" w:cs="Calibri"/>
                <w:color w:val="000000"/>
              </w:rPr>
              <w:t xml:space="preserve">(3) Leverage the task guidance spreadsheet to complete Task Section A2 within the PPT template Complete  </w:t>
            </w:r>
            <w:r w:rsidRPr="00EE0DCD">
              <w:rPr>
                <w:rFonts w:ascii="Calibri" w:eastAsia="Times New Roman" w:hAnsi="Calibri" w:cs="Calibri"/>
                <w:color w:val="000000"/>
              </w:rPr>
              <w:br/>
              <w:t>(4) Leverage the task guidance spreadsheet to complete Task Section A3 within the PPT template</w:t>
            </w:r>
          </w:p>
        </w:tc>
      </w:tr>
      <w:tr w:rsidR="00EE0DCD" w:rsidRPr="00EE0DCD" w14:paraId="14F2AB96" w14:textId="77777777" w:rsidTr="005C2657">
        <w:trPr>
          <w:trHeight w:val="1401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5C137F2" w14:textId="0D7D8DA3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Day </w:t>
            </w:r>
            <w:r w:rsidR="00FC43B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="007F4F8E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r w:rsidR="00FC43B0">
              <w:rPr>
                <w:rFonts w:ascii="Calibri" w:eastAsia="Times New Roman" w:hAnsi="Calibri" w:cs="Calibri"/>
                <w:b/>
                <w:bCs/>
                <w:color w:val="000000"/>
              </w:rPr>
              <w:t>-2</w:t>
            </w:r>
            <w:r w:rsidR="007F4F8E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8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08BF996" w14:textId="479891ED" w:rsidR="00EE0DCD" w:rsidRPr="00EE0DCD" w:rsidRDefault="00EE0DCD" w:rsidP="00EE0DCD">
            <w:pPr>
              <w:rPr>
                <w:rFonts w:ascii="Calibri" w:eastAsia="Times New Roman" w:hAnsi="Calibri" w:cs="Calibri"/>
                <w:color w:val="000000"/>
              </w:rPr>
            </w:pPr>
            <w:r w:rsidRPr="00EE0DCD">
              <w:rPr>
                <w:rFonts w:ascii="Calibri" w:eastAsia="Times New Roman" w:hAnsi="Calibri" w:cs="Calibri"/>
                <w:color w:val="000000"/>
              </w:rPr>
              <w:t xml:space="preserve">(5) Read </w:t>
            </w:r>
            <w:r w:rsidR="00884E2D">
              <w:rPr>
                <w:rFonts w:ascii="Calibri" w:eastAsia="Times New Roman" w:hAnsi="Calibri" w:cs="Calibri"/>
                <w:color w:val="000000"/>
              </w:rPr>
              <w:t>Chapter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11. Review </w:t>
            </w:r>
            <w:r w:rsidR="00884E2D">
              <w:rPr>
                <w:rFonts w:ascii="Calibri" w:eastAsia="Times New Roman" w:hAnsi="Calibri" w:cs="Calibri"/>
                <w:color w:val="000000"/>
              </w:rPr>
              <w:t>Chapter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1</w:t>
            </w:r>
            <w:r w:rsidR="00884E2D">
              <w:rPr>
                <w:rFonts w:ascii="Calibri" w:eastAsia="Times New Roman" w:hAnsi="Calibri" w:cs="Calibri"/>
                <w:color w:val="000000"/>
              </w:rPr>
              <w:t>3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if/as needed. &gt; Leverage the task guidance spreadsheet to complete Task Section B1 within the PPT template</w:t>
            </w:r>
          </w:p>
        </w:tc>
      </w:tr>
      <w:tr w:rsidR="00EE0DCD" w:rsidRPr="00EE0DCD" w14:paraId="3DA56DE0" w14:textId="77777777" w:rsidTr="005C2657">
        <w:trPr>
          <w:trHeight w:val="1401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D66E5" w14:textId="401C75C3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Day </w:t>
            </w:r>
            <w:r w:rsidR="00FC43B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="003945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  <w:r w:rsidR="00FC43B0">
              <w:rPr>
                <w:rFonts w:ascii="Calibri" w:eastAsia="Times New Roman" w:hAnsi="Calibri" w:cs="Calibri"/>
                <w:b/>
                <w:bCs/>
                <w:color w:val="000000"/>
              </w:rPr>
              <w:t>-2</w:t>
            </w:r>
            <w:r w:rsidR="0039452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8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13685" w14:textId="501EC23B" w:rsidR="00EE0DCD" w:rsidRPr="00EE0DCD" w:rsidRDefault="00EE0DCD" w:rsidP="00EE0DCD">
            <w:pPr>
              <w:rPr>
                <w:rFonts w:ascii="Calibri" w:eastAsia="Times New Roman" w:hAnsi="Calibri" w:cs="Calibri"/>
                <w:color w:val="000000"/>
              </w:rPr>
            </w:pPr>
            <w:r w:rsidRPr="00EE0DCD">
              <w:rPr>
                <w:rFonts w:ascii="Calibri" w:eastAsia="Times New Roman" w:hAnsi="Calibri" w:cs="Calibri"/>
                <w:color w:val="000000"/>
              </w:rPr>
              <w:t xml:space="preserve">(6) </w:t>
            </w:r>
            <w:r w:rsidR="00DF2416">
              <w:rPr>
                <w:rFonts w:ascii="Calibri" w:eastAsia="Times New Roman" w:hAnsi="Calibri" w:cs="Calibri"/>
                <w:color w:val="000000"/>
              </w:rPr>
              <w:t xml:space="preserve">Review Chapter 13 if/as needed. &gt; </w:t>
            </w:r>
            <w:r w:rsidRPr="00EE0DCD">
              <w:rPr>
                <w:rFonts w:ascii="Calibri" w:eastAsia="Times New Roman" w:hAnsi="Calibri" w:cs="Calibri"/>
                <w:color w:val="000000"/>
              </w:rPr>
              <w:t>Leverage the task guidance spreadsheet to complete Task Section B2, B2a, and B2b within the PPT template</w:t>
            </w:r>
          </w:p>
        </w:tc>
      </w:tr>
      <w:tr w:rsidR="00EE0DCD" w:rsidRPr="00EE0DCD" w14:paraId="28E3BF45" w14:textId="77777777" w:rsidTr="005C2657">
        <w:trPr>
          <w:trHeight w:val="1401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E74F0E3" w14:textId="0970F1A8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Day </w:t>
            </w:r>
            <w:r w:rsidR="00394522">
              <w:rPr>
                <w:rFonts w:ascii="Calibri" w:eastAsia="Times New Roman" w:hAnsi="Calibri" w:cs="Calibri"/>
                <w:b/>
                <w:bCs/>
                <w:color w:val="000000"/>
              </w:rPr>
              <w:t>29-30</w:t>
            </w:r>
          </w:p>
        </w:tc>
        <w:tc>
          <w:tcPr>
            <w:tcW w:w="8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749E505" w14:textId="345E743A" w:rsidR="00EE0DCD" w:rsidRPr="00EE0DCD" w:rsidRDefault="00EE0DCD" w:rsidP="00EE0DCD">
            <w:pPr>
              <w:rPr>
                <w:rFonts w:ascii="Calibri" w:eastAsia="Times New Roman" w:hAnsi="Calibri" w:cs="Calibri"/>
                <w:color w:val="000000"/>
              </w:rPr>
            </w:pPr>
            <w:r w:rsidRPr="00EE0DCD">
              <w:rPr>
                <w:rFonts w:ascii="Calibri" w:eastAsia="Times New Roman" w:hAnsi="Calibri" w:cs="Calibri"/>
                <w:color w:val="000000"/>
              </w:rPr>
              <w:t xml:space="preserve">(7) Review </w:t>
            </w:r>
            <w:r w:rsidR="00884E2D">
              <w:rPr>
                <w:rFonts w:ascii="Calibri" w:eastAsia="Times New Roman" w:hAnsi="Calibri" w:cs="Calibri"/>
                <w:color w:val="000000"/>
              </w:rPr>
              <w:t>Chapter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84E2D">
              <w:rPr>
                <w:rFonts w:ascii="Calibri" w:eastAsia="Times New Roman" w:hAnsi="Calibri" w:cs="Calibri"/>
                <w:color w:val="000000"/>
              </w:rPr>
              <w:t>3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if/as needed&gt; Leverage the task guidance spreadsheet to complete Task Section C within the PPT template</w:t>
            </w:r>
            <w:r w:rsidRPr="00EE0DCD">
              <w:rPr>
                <w:rFonts w:ascii="Calibri" w:eastAsia="Times New Roman" w:hAnsi="Calibri" w:cs="Calibri"/>
                <w:color w:val="000000"/>
              </w:rPr>
              <w:br/>
              <w:t>Submission: Cross check each section using questions in the right column of the Task Guidance spreadsheet, view similarity check video and adjust similarity &gt; Submit!</w:t>
            </w:r>
          </w:p>
        </w:tc>
      </w:tr>
    </w:tbl>
    <w:p w14:paraId="353EC4E8" w14:textId="131879D0" w:rsidR="00BE666F" w:rsidRDefault="00BE666F" w:rsidP="00431444"/>
    <w:p w14:paraId="2D05D7A3" w14:textId="77777777" w:rsidR="00BD7DE8" w:rsidRPr="00431444" w:rsidRDefault="00BD7DE8" w:rsidP="00431444"/>
    <w:sectPr w:rsidR="00BD7DE8" w:rsidRPr="0043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8B"/>
    <w:rsid w:val="000936D5"/>
    <w:rsid w:val="0009782C"/>
    <w:rsid w:val="001708CD"/>
    <w:rsid w:val="001E61DE"/>
    <w:rsid w:val="002812C3"/>
    <w:rsid w:val="002D1D67"/>
    <w:rsid w:val="002D73C0"/>
    <w:rsid w:val="0035204D"/>
    <w:rsid w:val="00364074"/>
    <w:rsid w:val="00394522"/>
    <w:rsid w:val="003959A8"/>
    <w:rsid w:val="003A15E4"/>
    <w:rsid w:val="00431444"/>
    <w:rsid w:val="004A7285"/>
    <w:rsid w:val="004C1CAB"/>
    <w:rsid w:val="004F339A"/>
    <w:rsid w:val="0052229A"/>
    <w:rsid w:val="005223AA"/>
    <w:rsid w:val="005534B9"/>
    <w:rsid w:val="00576153"/>
    <w:rsid w:val="005C2657"/>
    <w:rsid w:val="005D41F7"/>
    <w:rsid w:val="00634B84"/>
    <w:rsid w:val="00680A50"/>
    <w:rsid w:val="006965BF"/>
    <w:rsid w:val="006B5D19"/>
    <w:rsid w:val="00702FF4"/>
    <w:rsid w:val="00726051"/>
    <w:rsid w:val="00780CC9"/>
    <w:rsid w:val="007F29ED"/>
    <w:rsid w:val="007F4F8E"/>
    <w:rsid w:val="007F7D41"/>
    <w:rsid w:val="00884E2D"/>
    <w:rsid w:val="00887CFD"/>
    <w:rsid w:val="008C15CA"/>
    <w:rsid w:val="00901FF9"/>
    <w:rsid w:val="00967D06"/>
    <w:rsid w:val="009D6502"/>
    <w:rsid w:val="009F6702"/>
    <w:rsid w:val="00A33940"/>
    <w:rsid w:val="00A65A2B"/>
    <w:rsid w:val="00A762E6"/>
    <w:rsid w:val="00AA4CCD"/>
    <w:rsid w:val="00B03867"/>
    <w:rsid w:val="00B43C0D"/>
    <w:rsid w:val="00B91E5A"/>
    <w:rsid w:val="00B921A3"/>
    <w:rsid w:val="00BA0960"/>
    <w:rsid w:val="00BD7DE8"/>
    <w:rsid w:val="00BE666F"/>
    <w:rsid w:val="00C4628B"/>
    <w:rsid w:val="00C832C3"/>
    <w:rsid w:val="00CB5614"/>
    <w:rsid w:val="00D153B7"/>
    <w:rsid w:val="00D46D79"/>
    <w:rsid w:val="00D94153"/>
    <w:rsid w:val="00D9421F"/>
    <w:rsid w:val="00DF2416"/>
    <w:rsid w:val="00E95A69"/>
    <w:rsid w:val="00EB44F2"/>
    <w:rsid w:val="00EE0DCD"/>
    <w:rsid w:val="00F009B4"/>
    <w:rsid w:val="00F0759B"/>
    <w:rsid w:val="00F548CD"/>
    <w:rsid w:val="00F7657B"/>
    <w:rsid w:val="00FC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E4F2"/>
  <w15:chartTrackingRefBased/>
  <w15:docId w15:val="{4992EB0F-ACF6-4231-8A0B-C0FF7E1A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44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1444"/>
    <w:rPr>
      <w:color w:val="0000FF"/>
      <w:u w:val="single"/>
    </w:rPr>
  </w:style>
  <w:style w:type="table" w:styleId="TableGrid">
    <w:name w:val="Table Grid"/>
    <w:basedOn w:val="TableNormal"/>
    <w:uiPriority w:val="39"/>
    <w:rsid w:val="004A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Dill</dc:creator>
  <cp:keywords/>
  <dc:description/>
  <cp:lastModifiedBy>Shawn Dill</cp:lastModifiedBy>
  <cp:revision>65</cp:revision>
  <dcterms:created xsi:type="dcterms:W3CDTF">2021-09-07T16:10:00Z</dcterms:created>
  <dcterms:modified xsi:type="dcterms:W3CDTF">2022-01-31T15:25:00Z</dcterms:modified>
</cp:coreProperties>
</file>