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0AA2" w14:textId="4BD6CCDD" w:rsidR="007C18DA" w:rsidRDefault="007C18DA" w:rsidP="00C97A72">
      <w:pPr>
        <w:shd w:val="clear" w:color="auto" w:fill="FFFFFF"/>
        <w:spacing w:before="72" w:after="0" w:line="240" w:lineRule="auto"/>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C844 TASK 2 Steps to Success notes</w:t>
      </w:r>
    </w:p>
    <w:p w14:paraId="6FC31405" w14:textId="6246CFF1" w:rsidR="007C18DA" w:rsidRDefault="007C18DA" w:rsidP="00C97A72">
      <w:pPr>
        <w:shd w:val="clear" w:color="auto" w:fill="FFFFFF"/>
        <w:spacing w:before="72" w:after="0" w:line="240" w:lineRule="auto"/>
        <w:outlineLvl w:val="2"/>
        <w:rPr>
          <w:rFonts w:ascii="Arial" w:eastAsia="Times New Roman" w:hAnsi="Arial" w:cs="Arial"/>
          <w:b/>
          <w:bCs/>
          <w:color w:val="000000"/>
          <w:sz w:val="20"/>
          <w:szCs w:val="20"/>
        </w:rPr>
      </w:pPr>
    </w:p>
    <w:p w14:paraId="51A444EA" w14:textId="12E9C96C" w:rsidR="007C18DA" w:rsidRPr="007C18DA" w:rsidRDefault="007C18DA" w:rsidP="00C97A72">
      <w:pPr>
        <w:shd w:val="clear" w:color="auto" w:fill="FFFFFF"/>
        <w:spacing w:before="72" w:after="0" w:line="240" w:lineRule="auto"/>
        <w:outlineLvl w:val="2"/>
        <w:rPr>
          <w:rFonts w:ascii="Arial" w:eastAsia="Times New Roman" w:hAnsi="Arial" w:cs="Arial"/>
          <w:b/>
          <w:bCs/>
          <w:color w:val="000000"/>
          <w:sz w:val="20"/>
          <w:szCs w:val="20"/>
        </w:rPr>
      </w:pPr>
      <w:r>
        <w:rPr>
          <w:rFonts w:ascii="Arial" w:eastAsia="Times New Roman" w:hAnsi="Arial" w:cs="Arial"/>
          <w:b/>
          <w:bCs/>
          <w:color w:val="000000"/>
          <w:sz w:val="20"/>
          <w:szCs w:val="20"/>
        </w:rPr>
        <w:t>Many students tend to confuse the Federal/State regulations for cybersecurity with standards for cybersecurity.  Regulations are mandated by the state of government. Standards are</w:t>
      </w:r>
      <w:r w:rsidR="0009540B" w:rsidRPr="0009540B">
        <w:rPr>
          <w:rFonts w:ascii="Arial" w:eastAsia="Times New Roman" w:hAnsi="Arial" w:cs="Arial"/>
          <w:b/>
          <w:bCs/>
          <w:color w:val="000000"/>
          <w:sz w:val="20"/>
          <w:szCs w:val="20"/>
        </w:rPr>
        <w:t xml:space="preserve"> </w:t>
      </w:r>
      <w:r w:rsidR="0009540B">
        <w:rPr>
          <w:rFonts w:ascii="Arial" w:eastAsia="Times New Roman" w:hAnsi="Arial" w:cs="Arial"/>
          <w:b/>
          <w:bCs/>
          <w:color w:val="000000"/>
          <w:sz w:val="20"/>
          <w:szCs w:val="20"/>
        </w:rPr>
        <w:t>usually</w:t>
      </w:r>
      <w:r>
        <w:rPr>
          <w:rFonts w:ascii="Arial" w:eastAsia="Times New Roman" w:hAnsi="Arial" w:cs="Arial"/>
          <w:b/>
          <w:bCs/>
          <w:color w:val="000000"/>
          <w:sz w:val="20"/>
          <w:szCs w:val="20"/>
        </w:rPr>
        <w:t xml:space="preserve"> chosen by the sanction</w:t>
      </w:r>
      <w:r w:rsidR="0009540B">
        <w:rPr>
          <w:rFonts w:ascii="Arial" w:eastAsia="Times New Roman" w:hAnsi="Arial" w:cs="Arial"/>
          <w:b/>
          <w:bCs/>
          <w:color w:val="000000"/>
          <w:sz w:val="20"/>
          <w:szCs w:val="20"/>
        </w:rPr>
        <w:t xml:space="preserve">ing </w:t>
      </w:r>
      <w:r>
        <w:rPr>
          <w:rFonts w:ascii="Arial" w:eastAsia="Times New Roman" w:hAnsi="Arial" w:cs="Arial"/>
          <w:b/>
          <w:bCs/>
          <w:color w:val="000000"/>
          <w:sz w:val="20"/>
          <w:szCs w:val="20"/>
        </w:rPr>
        <w:t>b</w:t>
      </w:r>
      <w:r w:rsidR="0009540B">
        <w:rPr>
          <w:rFonts w:ascii="Arial" w:eastAsia="Times New Roman" w:hAnsi="Arial" w:cs="Arial"/>
          <w:b/>
          <w:bCs/>
          <w:color w:val="000000"/>
          <w:sz w:val="20"/>
          <w:szCs w:val="20"/>
        </w:rPr>
        <w:t>od</w:t>
      </w:r>
      <w:r>
        <w:rPr>
          <w:rFonts w:ascii="Arial" w:eastAsia="Times New Roman" w:hAnsi="Arial" w:cs="Arial"/>
          <w:b/>
          <w:bCs/>
          <w:color w:val="000000"/>
          <w:sz w:val="20"/>
          <w:szCs w:val="20"/>
        </w:rPr>
        <w:t xml:space="preserve">y in charge of the network accreditation process. </w:t>
      </w:r>
      <w:r w:rsidR="0009540B">
        <w:rPr>
          <w:rFonts w:ascii="Arial" w:eastAsia="Times New Roman" w:hAnsi="Arial" w:cs="Arial"/>
          <w:b/>
          <w:bCs/>
          <w:color w:val="000000"/>
          <w:sz w:val="20"/>
          <w:szCs w:val="20"/>
        </w:rPr>
        <w:t>Please review the example</w:t>
      </w:r>
      <w:bookmarkStart w:id="0" w:name="_GoBack"/>
      <w:bookmarkEnd w:id="0"/>
      <w:r w:rsidR="0009540B">
        <w:rPr>
          <w:rFonts w:ascii="Arial" w:eastAsia="Times New Roman" w:hAnsi="Arial" w:cs="Arial"/>
          <w:b/>
          <w:bCs/>
          <w:color w:val="000000"/>
          <w:sz w:val="20"/>
          <w:szCs w:val="20"/>
        </w:rPr>
        <w:t xml:space="preserve"> below if you have questions schedule an appointment with your assigned Course Instructor. </w:t>
      </w:r>
    </w:p>
    <w:p w14:paraId="2C04FF5B" w14:textId="6E2DB401" w:rsidR="007C18DA" w:rsidRPr="007C18DA" w:rsidRDefault="007C18DA" w:rsidP="00C97A72">
      <w:pPr>
        <w:shd w:val="clear" w:color="auto" w:fill="FFFFFF"/>
        <w:spacing w:before="72" w:after="0" w:line="240" w:lineRule="auto"/>
        <w:outlineLvl w:val="2"/>
        <w:rPr>
          <w:rFonts w:ascii="Arial" w:eastAsia="Times New Roman" w:hAnsi="Arial" w:cs="Arial"/>
          <w:b/>
          <w:bCs/>
          <w:color w:val="000000"/>
        </w:rPr>
      </w:pPr>
    </w:p>
    <w:p w14:paraId="6575297C" w14:textId="42006928" w:rsidR="00C97A72" w:rsidRPr="00C97A72" w:rsidRDefault="00C97A72" w:rsidP="00C97A72">
      <w:pPr>
        <w:shd w:val="clear" w:color="auto" w:fill="FFFFFF"/>
        <w:spacing w:before="72" w:after="0" w:line="240" w:lineRule="auto"/>
        <w:outlineLvl w:val="2"/>
        <w:rPr>
          <w:rFonts w:ascii="Arial" w:eastAsia="Times New Roman" w:hAnsi="Arial" w:cs="Arial"/>
          <w:b/>
          <w:bCs/>
          <w:color w:val="000000"/>
          <w:sz w:val="29"/>
          <w:szCs w:val="29"/>
        </w:rPr>
      </w:pPr>
      <w:r w:rsidRPr="00C97A72">
        <w:rPr>
          <w:rFonts w:ascii="Arial" w:eastAsia="Times New Roman" w:hAnsi="Arial" w:cs="Arial"/>
          <w:b/>
          <w:bCs/>
          <w:color w:val="000000"/>
          <w:sz w:val="29"/>
          <w:szCs w:val="29"/>
        </w:rPr>
        <w:t xml:space="preserve">Federal </w:t>
      </w:r>
      <w:proofErr w:type="gramStart"/>
      <w:r>
        <w:rPr>
          <w:rFonts w:ascii="Arial" w:eastAsia="Times New Roman" w:hAnsi="Arial" w:cs="Arial"/>
          <w:b/>
          <w:bCs/>
          <w:color w:val="000000"/>
          <w:sz w:val="29"/>
          <w:szCs w:val="29"/>
        </w:rPr>
        <w:t>G</w:t>
      </w:r>
      <w:r w:rsidRPr="00C97A72">
        <w:rPr>
          <w:rFonts w:ascii="Arial" w:eastAsia="Times New Roman" w:hAnsi="Arial" w:cs="Arial"/>
          <w:b/>
          <w:bCs/>
          <w:color w:val="000000"/>
          <w:sz w:val="29"/>
          <w:szCs w:val="29"/>
        </w:rPr>
        <w:t>overnment  Regulations</w:t>
      </w:r>
      <w:proofErr w:type="gramEnd"/>
      <w:r w:rsidRPr="00C97A72">
        <w:rPr>
          <w:rFonts w:ascii="Arial" w:eastAsia="Times New Roman" w:hAnsi="Arial" w:cs="Arial"/>
          <w:b/>
          <w:bCs/>
          <w:color w:val="000000"/>
          <w:sz w:val="29"/>
          <w:szCs w:val="29"/>
        </w:rPr>
        <w:t xml:space="preserve"> </w:t>
      </w:r>
    </w:p>
    <w:p w14:paraId="009CCB6F" w14:textId="6309F0C7" w:rsidR="00C97A72" w:rsidRPr="00C97A72" w:rsidRDefault="0009540B" w:rsidP="00C97A72">
      <w:pPr>
        <w:shd w:val="clear" w:color="auto" w:fill="FFFFFF"/>
        <w:spacing w:before="72" w:after="0" w:line="240" w:lineRule="auto"/>
        <w:outlineLvl w:val="2"/>
        <w:rPr>
          <w:rFonts w:ascii="Arial" w:eastAsia="Times New Roman" w:hAnsi="Arial" w:cs="Arial"/>
          <w:b/>
          <w:bCs/>
          <w:color w:val="000000"/>
          <w:sz w:val="20"/>
          <w:szCs w:val="20"/>
        </w:rPr>
      </w:pPr>
      <w:hyperlink r:id="rId5" w:tooltip="Health Insurance Portability and Accountability Act" w:history="1">
        <w:r w:rsidR="00C97A72" w:rsidRPr="00C97A72">
          <w:rPr>
            <w:rFonts w:ascii="Arial" w:eastAsia="Times New Roman" w:hAnsi="Arial" w:cs="Arial"/>
            <w:b/>
            <w:bCs/>
            <w:sz w:val="20"/>
            <w:szCs w:val="20"/>
          </w:rPr>
          <w:t>Health Insurance Portability and Accountability Act</w:t>
        </w:r>
      </w:hyperlink>
      <w:r w:rsidR="00C97A72" w:rsidRPr="00C97A72">
        <w:rPr>
          <w:rFonts w:ascii="Arial" w:eastAsia="Times New Roman" w:hAnsi="Arial" w:cs="Arial"/>
          <w:b/>
          <w:bCs/>
          <w:sz w:val="20"/>
          <w:szCs w:val="20"/>
        </w:rPr>
        <w:t> </w:t>
      </w:r>
      <w:r w:rsidR="00C97A72" w:rsidRPr="00C97A72">
        <w:rPr>
          <w:rFonts w:ascii="Arial" w:eastAsia="Times New Roman" w:hAnsi="Arial" w:cs="Arial"/>
          <w:b/>
          <w:bCs/>
          <w:color w:val="222222"/>
          <w:sz w:val="20"/>
          <w:szCs w:val="20"/>
        </w:rPr>
        <w:t>(HIPAA),</w:t>
      </w:r>
      <w:r w:rsidR="00C97A72" w:rsidRPr="00C97A72">
        <w:rPr>
          <w:rFonts w:ascii="Arial" w:eastAsia="Times New Roman" w:hAnsi="Arial" w:cs="Arial"/>
          <w:color w:val="222222"/>
          <w:sz w:val="20"/>
          <w:szCs w:val="20"/>
        </w:rPr>
        <w:t xml:space="preserve"> the </w:t>
      </w:r>
      <w:r w:rsidR="00C97A72" w:rsidRPr="00C97A72">
        <w:rPr>
          <w:rFonts w:ascii="Arial" w:eastAsia="Times New Roman" w:hAnsi="Arial" w:cs="Arial"/>
          <w:b/>
          <w:bCs/>
          <w:color w:val="222222"/>
          <w:sz w:val="20"/>
          <w:szCs w:val="20"/>
        </w:rPr>
        <w:t>1999 </w:t>
      </w:r>
      <w:hyperlink r:id="rId6" w:tooltip="Gramm-Leach-Bliley Act" w:history="1">
        <w:r w:rsidR="00C97A72" w:rsidRPr="00C97A72">
          <w:rPr>
            <w:rFonts w:ascii="Arial" w:eastAsia="Times New Roman" w:hAnsi="Arial" w:cs="Arial"/>
            <w:b/>
            <w:bCs/>
            <w:sz w:val="20"/>
            <w:szCs w:val="20"/>
          </w:rPr>
          <w:t>Gramm-Leach-Bliley Act</w:t>
        </w:r>
      </w:hyperlink>
      <w:r w:rsidR="00C97A72" w:rsidRPr="00C97A72">
        <w:rPr>
          <w:rFonts w:ascii="Arial" w:eastAsia="Times New Roman" w:hAnsi="Arial" w:cs="Arial"/>
          <w:sz w:val="20"/>
          <w:szCs w:val="20"/>
        </w:rPr>
        <w:t>,</w:t>
      </w:r>
      <w:r w:rsidR="00C97A72" w:rsidRPr="00C97A72">
        <w:rPr>
          <w:rFonts w:ascii="Arial" w:eastAsia="Times New Roman" w:hAnsi="Arial" w:cs="Arial"/>
          <w:color w:val="222222"/>
          <w:sz w:val="20"/>
          <w:szCs w:val="20"/>
        </w:rPr>
        <w:t xml:space="preserve"> and the 2002 </w:t>
      </w:r>
      <w:hyperlink r:id="rId7" w:tooltip="Homeland Security Act" w:history="1">
        <w:r w:rsidR="00C97A72" w:rsidRPr="00C97A72">
          <w:rPr>
            <w:rFonts w:ascii="Arial" w:eastAsia="Times New Roman" w:hAnsi="Arial" w:cs="Arial"/>
            <w:sz w:val="20"/>
            <w:szCs w:val="20"/>
          </w:rPr>
          <w:t>Homeland Security Act</w:t>
        </w:r>
      </w:hyperlink>
      <w:r w:rsidR="00C97A72" w:rsidRPr="00C97A72">
        <w:rPr>
          <w:rFonts w:ascii="Arial" w:eastAsia="Times New Roman" w:hAnsi="Arial" w:cs="Arial"/>
          <w:sz w:val="20"/>
          <w:szCs w:val="20"/>
        </w:rPr>
        <w:t xml:space="preserve">, </w:t>
      </w:r>
      <w:r w:rsidR="00C97A72" w:rsidRPr="00C97A72">
        <w:rPr>
          <w:rFonts w:ascii="Arial" w:eastAsia="Times New Roman" w:hAnsi="Arial" w:cs="Arial"/>
          <w:color w:val="222222"/>
          <w:sz w:val="20"/>
          <w:szCs w:val="20"/>
        </w:rPr>
        <w:t>which included th</w:t>
      </w:r>
      <w:r w:rsidR="00C97A72" w:rsidRPr="00C97A72">
        <w:rPr>
          <w:rFonts w:ascii="Arial" w:eastAsia="Times New Roman" w:hAnsi="Arial" w:cs="Arial"/>
          <w:sz w:val="20"/>
          <w:szCs w:val="20"/>
        </w:rPr>
        <w:t>e </w:t>
      </w:r>
      <w:hyperlink r:id="rId8" w:tooltip="Federal Information Security Management Act" w:history="1">
        <w:r w:rsidR="00C97A72" w:rsidRPr="00C97A72">
          <w:rPr>
            <w:rFonts w:ascii="Arial" w:eastAsia="Times New Roman" w:hAnsi="Arial" w:cs="Arial"/>
            <w:b/>
            <w:bCs/>
            <w:sz w:val="20"/>
            <w:szCs w:val="20"/>
          </w:rPr>
          <w:t>Federal Information Security Management Act</w:t>
        </w:r>
      </w:hyperlink>
      <w:r w:rsidR="00C97A72" w:rsidRPr="00C97A72">
        <w:rPr>
          <w:rFonts w:ascii="Arial" w:eastAsia="Times New Roman" w:hAnsi="Arial" w:cs="Arial"/>
          <w:b/>
          <w:bCs/>
          <w:color w:val="222222"/>
          <w:sz w:val="20"/>
          <w:szCs w:val="20"/>
        </w:rPr>
        <w:t> (FISMA)</w:t>
      </w:r>
      <w:r w:rsidR="00C97A72" w:rsidRPr="00C97A72">
        <w:rPr>
          <w:rFonts w:ascii="Arial" w:eastAsia="Times New Roman" w:hAnsi="Arial" w:cs="Arial"/>
          <w:color w:val="222222"/>
          <w:sz w:val="20"/>
          <w:szCs w:val="20"/>
        </w:rPr>
        <w:t>. The three regulations mandate that healthcare organizations, financial institutions, and federal agencies should protect their systems and information.</w:t>
      </w:r>
      <w:hyperlink r:id="rId9" w:anchor="endnote_heiman" w:history="1">
        <w:r w:rsidR="00C97A72" w:rsidRPr="00C97A72">
          <w:rPr>
            <w:rFonts w:ascii="Arial" w:eastAsia="Times New Roman" w:hAnsi="Arial" w:cs="Arial"/>
            <w:color w:val="663366"/>
            <w:sz w:val="20"/>
            <w:szCs w:val="20"/>
            <w:u w:val="single"/>
            <w:vertAlign w:val="superscript"/>
          </w:rPr>
          <w:t>[3]</w:t>
        </w:r>
      </w:hyperlink>
      <w:r w:rsidR="00C97A72" w:rsidRPr="00C97A72">
        <w:rPr>
          <w:rFonts w:ascii="Arial" w:eastAsia="Times New Roman" w:hAnsi="Arial" w:cs="Arial"/>
          <w:color w:val="222222"/>
          <w:sz w:val="20"/>
          <w:szCs w:val="20"/>
        </w:rPr>
        <w:t xml:space="preserve"> For example, FISMA, which applies to every government agency, "requires the development and implementation of mandatory policies, principles, standards, and guidelines on information security." However, the regulations do not address numerous computer-related industries, such </w:t>
      </w:r>
      <w:r w:rsidR="00C97A72" w:rsidRPr="00C97A72">
        <w:rPr>
          <w:rFonts w:ascii="Arial" w:eastAsia="Times New Roman" w:hAnsi="Arial" w:cs="Arial"/>
          <w:sz w:val="20"/>
          <w:szCs w:val="20"/>
        </w:rPr>
        <w:t>as </w:t>
      </w:r>
      <w:hyperlink r:id="rId10" w:tooltip="Internet Service Provider" w:history="1">
        <w:r w:rsidR="00C97A72" w:rsidRPr="00C97A72">
          <w:rPr>
            <w:rFonts w:ascii="Arial" w:eastAsia="Times New Roman" w:hAnsi="Arial" w:cs="Arial"/>
            <w:sz w:val="20"/>
            <w:szCs w:val="20"/>
          </w:rPr>
          <w:t>Internet Service Providers</w:t>
        </w:r>
      </w:hyperlink>
      <w:r w:rsidR="00C97A72" w:rsidRPr="00C97A72">
        <w:rPr>
          <w:rFonts w:ascii="Arial" w:eastAsia="Times New Roman" w:hAnsi="Arial" w:cs="Arial"/>
          <w:sz w:val="20"/>
          <w:szCs w:val="20"/>
        </w:rPr>
        <w:t> </w:t>
      </w:r>
      <w:r w:rsidR="00C97A72" w:rsidRPr="00C97A72">
        <w:rPr>
          <w:rFonts w:ascii="Arial" w:eastAsia="Times New Roman" w:hAnsi="Arial" w:cs="Arial"/>
          <w:color w:val="222222"/>
          <w:sz w:val="20"/>
          <w:szCs w:val="20"/>
        </w:rPr>
        <w:t>(ISPs) and software companies.</w:t>
      </w:r>
      <w:hyperlink r:id="rId11" w:anchor="endnote_lemos" w:history="1">
        <w:r w:rsidR="00C97A72" w:rsidRPr="00C97A72">
          <w:rPr>
            <w:rFonts w:ascii="Arial" w:eastAsia="Times New Roman" w:hAnsi="Arial" w:cs="Arial"/>
            <w:color w:val="663366"/>
            <w:sz w:val="20"/>
            <w:szCs w:val="20"/>
            <w:u w:val="single"/>
            <w:vertAlign w:val="superscript"/>
          </w:rPr>
          <w:t>[4]</w:t>
        </w:r>
      </w:hyperlink>
      <w:r w:rsidR="00C97A72" w:rsidRPr="00C97A72">
        <w:rPr>
          <w:rFonts w:ascii="Arial" w:eastAsia="Times New Roman" w:hAnsi="Arial" w:cs="Arial"/>
          <w:color w:val="222222"/>
          <w:sz w:val="20"/>
          <w:szCs w:val="20"/>
        </w:rPr>
        <w:t xml:space="preserve"> Furthermore, the regulations do not specify what cybersecurity measures must be implemented and require only a "reasonable" level of security. </w:t>
      </w:r>
    </w:p>
    <w:p w14:paraId="543798A5" w14:textId="26B8D67B" w:rsidR="00C97A72" w:rsidRPr="00C97A72" w:rsidRDefault="00C97A72" w:rsidP="00C97A72">
      <w:pPr>
        <w:shd w:val="clear" w:color="auto" w:fill="FFFFFF"/>
        <w:spacing w:before="72" w:after="0" w:line="240" w:lineRule="auto"/>
        <w:outlineLvl w:val="2"/>
        <w:rPr>
          <w:rFonts w:ascii="Arial" w:eastAsia="Times New Roman" w:hAnsi="Arial" w:cs="Arial"/>
          <w:b/>
          <w:bCs/>
          <w:color w:val="000000"/>
          <w:sz w:val="29"/>
          <w:szCs w:val="29"/>
        </w:rPr>
      </w:pPr>
      <w:r w:rsidRPr="00C97A72">
        <w:rPr>
          <w:rFonts w:ascii="Arial" w:eastAsia="Times New Roman" w:hAnsi="Arial" w:cs="Arial"/>
          <w:b/>
          <w:bCs/>
          <w:color w:val="000000"/>
          <w:sz w:val="29"/>
          <w:szCs w:val="29"/>
        </w:rPr>
        <w:t>State Regulations</w:t>
      </w:r>
    </w:p>
    <w:p w14:paraId="006919CA" w14:textId="60CB7A64" w:rsidR="00C97A72" w:rsidRPr="00C97A72" w:rsidRDefault="0009540B" w:rsidP="00C97A72">
      <w:pPr>
        <w:shd w:val="clear" w:color="auto" w:fill="FFFFFF"/>
        <w:spacing w:before="72" w:after="0" w:line="240" w:lineRule="auto"/>
        <w:outlineLvl w:val="2"/>
        <w:rPr>
          <w:rFonts w:ascii="Arial" w:eastAsia="Times New Roman" w:hAnsi="Arial" w:cs="Arial"/>
          <w:b/>
          <w:bCs/>
          <w:color w:val="000000"/>
          <w:sz w:val="20"/>
          <w:szCs w:val="20"/>
        </w:rPr>
      </w:pPr>
      <w:hyperlink r:id="rId12" w:tooltip="California" w:history="1">
        <w:r w:rsidR="00C97A72" w:rsidRPr="00C97A72">
          <w:rPr>
            <w:rFonts w:ascii="Arial" w:eastAsia="Times New Roman" w:hAnsi="Arial" w:cs="Arial"/>
            <w:sz w:val="20"/>
            <w:szCs w:val="20"/>
          </w:rPr>
          <w:t>California</w:t>
        </w:r>
      </w:hyperlink>
      <w:r w:rsidR="00C97A72" w:rsidRPr="00C97A72">
        <w:rPr>
          <w:rFonts w:ascii="Arial" w:eastAsia="Times New Roman" w:hAnsi="Arial" w:cs="Arial"/>
          <w:sz w:val="20"/>
          <w:szCs w:val="20"/>
        </w:rPr>
        <w:t> </w:t>
      </w:r>
      <w:r w:rsidR="00C97A72" w:rsidRPr="00C97A72">
        <w:rPr>
          <w:rFonts w:ascii="Arial" w:eastAsia="Times New Roman" w:hAnsi="Arial" w:cs="Arial"/>
          <w:color w:val="222222"/>
          <w:sz w:val="20"/>
          <w:szCs w:val="20"/>
        </w:rPr>
        <w:t xml:space="preserve">passed the </w:t>
      </w:r>
      <w:r w:rsidR="00C97A72" w:rsidRPr="00C97A72">
        <w:rPr>
          <w:rFonts w:ascii="Arial" w:eastAsia="Times New Roman" w:hAnsi="Arial" w:cs="Arial"/>
          <w:b/>
          <w:bCs/>
          <w:color w:val="222222"/>
          <w:sz w:val="20"/>
          <w:szCs w:val="20"/>
        </w:rPr>
        <w:t>Notice of Security Breach Act</w:t>
      </w:r>
      <w:r w:rsidR="00C97A72" w:rsidRPr="00C97A72">
        <w:rPr>
          <w:rFonts w:ascii="Arial" w:eastAsia="Times New Roman" w:hAnsi="Arial" w:cs="Arial"/>
          <w:color w:val="222222"/>
          <w:sz w:val="20"/>
          <w:szCs w:val="20"/>
        </w:rPr>
        <w:t>, which requires that any company that maintains personal information of California citizens and has a security breach must disclose the details of the event. Personal information includes name, </w:t>
      </w:r>
      <w:hyperlink r:id="rId13" w:tooltip="Social security number" w:history="1">
        <w:r w:rsidR="00C97A72" w:rsidRPr="00C97A72">
          <w:rPr>
            <w:rFonts w:ascii="Arial" w:eastAsia="Times New Roman" w:hAnsi="Arial" w:cs="Arial"/>
            <w:sz w:val="20"/>
            <w:szCs w:val="20"/>
          </w:rPr>
          <w:t>social security number</w:t>
        </w:r>
      </w:hyperlink>
      <w:r w:rsidR="00C97A72" w:rsidRPr="00C97A72">
        <w:rPr>
          <w:rFonts w:ascii="Arial" w:eastAsia="Times New Roman" w:hAnsi="Arial" w:cs="Arial"/>
          <w:sz w:val="20"/>
          <w:szCs w:val="20"/>
        </w:rPr>
        <w:t xml:space="preserve">, </w:t>
      </w:r>
      <w:r w:rsidR="00C97A72" w:rsidRPr="00C97A72">
        <w:rPr>
          <w:rFonts w:ascii="Arial" w:eastAsia="Times New Roman" w:hAnsi="Arial" w:cs="Arial"/>
          <w:color w:val="222222"/>
          <w:sz w:val="20"/>
          <w:szCs w:val="20"/>
        </w:rPr>
        <w:t>driver's license number</w:t>
      </w:r>
      <w:r w:rsidR="00C97A72" w:rsidRPr="00C97A72">
        <w:rPr>
          <w:rFonts w:ascii="Arial" w:eastAsia="Times New Roman" w:hAnsi="Arial" w:cs="Arial"/>
          <w:sz w:val="20"/>
          <w:szCs w:val="20"/>
          <w:u w:val="single"/>
        </w:rPr>
        <w:t>, </w:t>
      </w:r>
      <w:hyperlink r:id="rId14" w:tooltip="Payment card number" w:history="1">
        <w:r w:rsidR="00C97A72" w:rsidRPr="00C97A72">
          <w:rPr>
            <w:rFonts w:ascii="Arial" w:eastAsia="Times New Roman" w:hAnsi="Arial" w:cs="Arial"/>
            <w:sz w:val="20"/>
            <w:szCs w:val="20"/>
          </w:rPr>
          <w:t>credit card number</w:t>
        </w:r>
      </w:hyperlink>
      <w:r w:rsidR="00C97A72" w:rsidRPr="00C97A72">
        <w:rPr>
          <w:rFonts w:ascii="Arial" w:eastAsia="Times New Roman" w:hAnsi="Arial" w:cs="Arial"/>
          <w:color w:val="222222"/>
          <w:sz w:val="20"/>
          <w:szCs w:val="20"/>
        </w:rPr>
        <w:t> or financial information</w:t>
      </w:r>
    </w:p>
    <w:p w14:paraId="7584570D" w14:textId="676BB2BA" w:rsidR="00C97A72" w:rsidRDefault="00C97A72" w:rsidP="00C97A72">
      <w:pPr>
        <w:shd w:val="clear" w:color="auto" w:fill="FFFFFF"/>
        <w:spacing w:before="120" w:after="120" w:line="240" w:lineRule="auto"/>
        <w:rPr>
          <w:rFonts w:ascii="Arial" w:eastAsia="Times New Roman" w:hAnsi="Arial" w:cs="Arial"/>
          <w:color w:val="222222"/>
          <w:sz w:val="20"/>
          <w:szCs w:val="20"/>
        </w:rPr>
      </w:pPr>
      <w:r w:rsidRPr="00C97A72">
        <w:rPr>
          <w:rFonts w:ascii="Arial" w:eastAsia="Times New Roman" w:hAnsi="Arial" w:cs="Arial"/>
          <w:color w:val="222222"/>
          <w:sz w:val="20"/>
          <w:szCs w:val="20"/>
        </w:rPr>
        <w:t>The </w:t>
      </w:r>
      <w:hyperlink r:id="rId15" w:tooltip="California State Legislature" w:history="1">
        <w:r w:rsidRPr="00C97A72">
          <w:rPr>
            <w:rFonts w:ascii="Arial" w:eastAsia="Times New Roman" w:hAnsi="Arial" w:cs="Arial"/>
            <w:sz w:val="20"/>
            <w:szCs w:val="20"/>
          </w:rPr>
          <w:t>California State Legislature</w:t>
        </w:r>
      </w:hyperlink>
      <w:r w:rsidRPr="00C97A72">
        <w:rPr>
          <w:rFonts w:ascii="Arial" w:eastAsia="Times New Roman" w:hAnsi="Arial" w:cs="Arial"/>
          <w:color w:val="222222"/>
          <w:sz w:val="20"/>
          <w:szCs w:val="20"/>
        </w:rPr>
        <w:t xml:space="preserve"> passed </w:t>
      </w:r>
      <w:r w:rsidRPr="00C97A72">
        <w:rPr>
          <w:rFonts w:ascii="Arial" w:eastAsia="Times New Roman" w:hAnsi="Arial" w:cs="Arial"/>
          <w:b/>
          <w:bCs/>
          <w:color w:val="222222"/>
          <w:sz w:val="20"/>
          <w:szCs w:val="20"/>
        </w:rPr>
        <w:t>California Assembly Bill</w:t>
      </w:r>
      <w:r w:rsidRPr="00C97A72">
        <w:rPr>
          <w:rFonts w:ascii="Arial" w:eastAsia="Times New Roman" w:hAnsi="Arial" w:cs="Arial"/>
          <w:color w:val="222222"/>
          <w:sz w:val="20"/>
          <w:szCs w:val="20"/>
        </w:rPr>
        <w:t xml:space="preserve"> 1950, which also applies to businesses that own or maintain personal information for California residents. The regulation dictates for businesses to maintain a reasonable level of security and that they required security practices also extend to business partners.</w:t>
      </w:r>
      <w:hyperlink r:id="rId16" w:anchor="endnote_rasmussen" w:history="1">
        <w:r w:rsidRPr="00C97A72">
          <w:rPr>
            <w:rFonts w:ascii="Arial" w:eastAsia="Times New Roman" w:hAnsi="Arial" w:cs="Arial"/>
            <w:color w:val="663366"/>
            <w:sz w:val="20"/>
            <w:szCs w:val="20"/>
            <w:u w:val="single"/>
            <w:vertAlign w:val="superscript"/>
          </w:rPr>
          <w:t>[9]</w:t>
        </w:r>
      </w:hyperlink>
      <w:r w:rsidRPr="00C97A72">
        <w:rPr>
          <w:rFonts w:ascii="Arial" w:eastAsia="Times New Roman" w:hAnsi="Arial" w:cs="Arial"/>
          <w:color w:val="222222"/>
          <w:sz w:val="20"/>
          <w:szCs w:val="20"/>
        </w:rPr>
        <w:t> The regulation is an improvement on the federal standard because it expands the number of firms required to maintain an acceptable standard of cybersecurity. However, like the federal legislation, it requires a "reasonable" level of cybersecurity, which leaves much room for interpretation until case law is established.</w:t>
      </w:r>
    </w:p>
    <w:p w14:paraId="29B47A6A" w14:textId="77777777" w:rsidR="00C97A72" w:rsidRDefault="00C97A72" w:rsidP="00C97A72">
      <w:pPr>
        <w:shd w:val="clear" w:color="auto" w:fill="FFFFFF"/>
        <w:spacing w:before="120" w:after="120" w:line="240" w:lineRule="auto"/>
        <w:rPr>
          <w:rFonts w:ascii="Arial" w:eastAsia="Times New Roman" w:hAnsi="Arial" w:cs="Arial"/>
          <w:color w:val="222222"/>
          <w:sz w:val="21"/>
          <w:szCs w:val="21"/>
        </w:rPr>
      </w:pPr>
    </w:p>
    <w:p w14:paraId="47960DC2" w14:textId="54AC0C96" w:rsidR="00F71396" w:rsidRDefault="00C97A72" w:rsidP="00C97A72">
      <w:pPr>
        <w:shd w:val="clear" w:color="auto" w:fill="FFFFFF"/>
        <w:spacing w:before="120" w:after="120" w:line="240" w:lineRule="auto"/>
        <w:jc w:val="center"/>
      </w:pPr>
      <w:r w:rsidRPr="00C97A72">
        <w:rPr>
          <w:rFonts w:ascii="Bell MT" w:eastAsia="Times New Roman" w:hAnsi="Bell MT" w:cs="Arial"/>
          <w:b/>
          <w:bCs/>
          <w:color w:val="222222"/>
          <w:sz w:val="72"/>
          <w:szCs w:val="72"/>
        </w:rPr>
        <w:t>VS</w:t>
      </w:r>
    </w:p>
    <w:p w14:paraId="53C93B73" w14:textId="19C15FE9" w:rsidR="00C97A72" w:rsidRDefault="00C97A72" w:rsidP="00C97A72">
      <w:pPr>
        <w:shd w:val="clear" w:color="auto" w:fill="FFFFFF"/>
        <w:spacing w:before="72" w:after="0" w:line="240" w:lineRule="auto"/>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Cyber Security Standards</w:t>
      </w:r>
    </w:p>
    <w:p w14:paraId="6E296613" w14:textId="3C2E8C5C" w:rsidR="00C97A72" w:rsidRDefault="00C97A72" w:rsidP="00C97A72">
      <w:pPr>
        <w:pStyle w:val="NormalWeb"/>
        <w:shd w:val="clear" w:color="auto" w:fill="FFFFFF"/>
        <w:spacing w:before="120" w:beforeAutospacing="0" w:after="120" w:afterAutospacing="0"/>
        <w:rPr>
          <w:rFonts w:ascii="Arial" w:hAnsi="Arial" w:cs="Arial"/>
          <w:color w:val="222222"/>
          <w:sz w:val="21"/>
          <w:szCs w:val="21"/>
        </w:rPr>
      </w:pPr>
      <w:r w:rsidRPr="00C97A72">
        <w:rPr>
          <w:rFonts w:ascii="Arial" w:hAnsi="Arial" w:cs="Arial"/>
          <w:sz w:val="21"/>
          <w:szCs w:val="21"/>
        </w:rPr>
        <w:t>Cybersecurity standards</w:t>
      </w:r>
      <w:r>
        <w:rPr>
          <w:rFonts w:ascii="Arial" w:hAnsi="Arial" w:cs="Arial"/>
          <w:color w:val="222222"/>
          <w:sz w:val="21"/>
          <w:szCs w:val="21"/>
        </w:rPr>
        <w:t xml:space="preserve"> are techniques generally set forth in published materials that attempt to protect the cyber environment of a user or organization.</w:t>
      </w:r>
      <w:r>
        <w:rPr>
          <w:rFonts w:ascii="Arial" w:hAnsi="Arial" w:cs="Arial"/>
          <w:color w:val="222222"/>
          <w:sz w:val="17"/>
          <w:szCs w:val="17"/>
          <w:vertAlign w:val="superscript"/>
        </w:rPr>
        <w:t xml:space="preserve"> </w:t>
      </w:r>
      <w:r>
        <w:rPr>
          <w:rFonts w:ascii="Arial" w:hAnsi="Arial" w:cs="Arial"/>
          <w:color w:val="222222"/>
          <w:sz w:val="21"/>
          <w:szCs w:val="21"/>
        </w:rPr>
        <w:t>This environment includes users themselves, networks, devices, all software, processes, the information in storage or transit, applications, services, and systems that can be connected directly or indirectly to networks.</w:t>
      </w:r>
    </w:p>
    <w:p w14:paraId="453DD9D8" w14:textId="12F1E4A3" w:rsidR="00C97A72" w:rsidRDefault="00C97A72" w:rsidP="00C97A7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principal objective is to reduce the risks, including the prevention or mitigation of </w:t>
      </w:r>
      <w:hyperlink r:id="rId17" w:tooltip="Cyber-attack" w:history="1">
        <w:r w:rsidRPr="00C97A72">
          <w:rPr>
            <w:rStyle w:val="Hyperlink"/>
            <w:rFonts w:ascii="Arial" w:hAnsi="Arial" w:cs="Arial"/>
            <w:color w:val="auto"/>
            <w:sz w:val="21"/>
            <w:szCs w:val="21"/>
            <w:u w:val="none"/>
          </w:rPr>
          <w:t>cyber-attacks</w:t>
        </w:r>
      </w:hyperlink>
      <w:r w:rsidRPr="00C97A72">
        <w:rPr>
          <w:rFonts w:ascii="Arial" w:hAnsi="Arial" w:cs="Arial"/>
          <w:sz w:val="21"/>
          <w:szCs w:val="21"/>
        </w:rPr>
        <w:t xml:space="preserve">. </w:t>
      </w:r>
      <w:r>
        <w:rPr>
          <w:rFonts w:ascii="Arial" w:hAnsi="Arial" w:cs="Arial"/>
          <w:color w:val="222222"/>
          <w:sz w:val="21"/>
          <w:szCs w:val="21"/>
        </w:rPr>
        <w:t>These published materials consist of collections of tools, policies, security concepts, security safeguards, guidelines, risk management approaches, actions, training, best practices, assurance, and technologies.</w:t>
      </w:r>
    </w:p>
    <w:p w14:paraId="4F65862A" w14:textId="60BFF97F" w:rsidR="00C97A72" w:rsidRDefault="00C97A72" w:rsidP="00C97A72">
      <w:pPr>
        <w:shd w:val="clear" w:color="auto" w:fill="FFFFFF"/>
        <w:spacing w:before="72" w:after="0" w:line="240" w:lineRule="auto"/>
        <w:outlineLvl w:val="2"/>
        <w:rPr>
          <w:rFonts w:ascii="Arial" w:hAnsi="Arial" w:cs="Arial"/>
          <w:i/>
          <w:iCs/>
          <w:sz w:val="21"/>
          <w:szCs w:val="21"/>
          <w:shd w:val="clear" w:color="auto" w:fill="FFFFFF"/>
        </w:rPr>
      </w:pPr>
      <w:r w:rsidRPr="00C97A72">
        <w:rPr>
          <w:rFonts w:ascii="Arial" w:hAnsi="Arial" w:cs="Arial"/>
          <w:b/>
          <w:bCs/>
          <w:sz w:val="21"/>
          <w:szCs w:val="21"/>
          <w:shd w:val="clear" w:color="auto" w:fill="FFFFFF"/>
        </w:rPr>
        <w:t>ISO/IEC 27001</w:t>
      </w:r>
      <w:r w:rsidRPr="00C97A72">
        <w:rPr>
          <w:rFonts w:ascii="Arial" w:hAnsi="Arial" w:cs="Arial"/>
          <w:sz w:val="21"/>
          <w:szCs w:val="21"/>
          <w:shd w:val="clear" w:color="auto" w:fill="FFFFFF"/>
        </w:rPr>
        <w:t>, part of the growing </w:t>
      </w:r>
      <w:hyperlink r:id="rId18" w:tooltip="ISO/IEC 27000-series" w:history="1">
        <w:r w:rsidRPr="00C97A72">
          <w:rPr>
            <w:rStyle w:val="Hyperlink"/>
            <w:rFonts w:ascii="Arial" w:hAnsi="Arial" w:cs="Arial"/>
            <w:b/>
            <w:bCs/>
            <w:color w:val="auto"/>
            <w:sz w:val="21"/>
            <w:szCs w:val="21"/>
            <w:u w:val="none"/>
            <w:shd w:val="clear" w:color="auto" w:fill="FFFFFF"/>
          </w:rPr>
          <w:t>ISO/IEC 27000</w:t>
        </w:r>
        <w:r w:rsidRPr="00C97A72">
          <w:rPr>
            <w:rStyle w:val="Hyperlink"/>
            <w:rFonts w:ascii="Arial" w:hAnsi="Arial" w:cs="Arial"/>
            <w:color w:val="auto"/>
            <w:sz w:val="21"/>
            <w:szCs w:val="21"/>
            <w:u w:val="none"/>
            <w:shd w:val="clear" w:color="auto" w:fill="FFFFFF"/>
          </w:rPr>
          <w:t xml:space="preserve"> family of standards</w:t>
        </w:r>
      </w:hyperlink>
      <w:r w:rsidRPr="00C97A72">
        <w:rPr>
          <w:rFonts w:ascii="Arial" w:hAnsi="Arial" w:cs="Arial"/>
          <w:sz w:val="21"/>
          <w:szCs w:val="21"/>
          <w:shd w:val="clear" w:color="auto" w:fill="FFFFFF"/>
        </w:rPr>
        <w:t>, is an </w:t>
      </w:r>
      <w:hyperlink r:id="rId19" w:tooltip="Information security management system" w:history="1">
        <w:r w:rsidRPr="00C97A72">
          <w:rPr>
            <w:rStyle w:val="Hyperlink"/>
            <w:rFonts w:ascii="Arial" w:hAnsi="Arial" w:cs="Arial"/>
            <w:color w:val="auto"/>
            <w:sz w:val="21"/>
            <w:szCs w:val="21"/>
            <w:u w:val="none"/>
            <w:shd w:val="clear" w:color="auto" w:fill="FFFFFF"/>
          </w:rPr>
          <w:t>information security management system</w:t>
        </w:r>
      </w:hyperlink>
      <w:r w:rsidRPr="00C97A72">
        <w:rPr>
          <w:rFonts w:ascii="Arial" w:hAnsi="Arial" w:cs="Arial"/>
          <w:sz w:val="21"/>
          <w:szCs w:val="21"/>
          <w:shd w:val="clear" w:color="auto" w:fill="FFFFFF"/>
        </w:rPr>
        <w:t> (ISMS) standard, of which the last revision was published in October 2013 by the </w:t>
      </w:r>
      <w:hyperlink r:id="rId20" w:tooltip="International Organization for Standardization" w:history="1">
        <w:r w:rsidRPr="00C97A72">
          <w:rPr>
            <w:rStyle w:val="Hyperlink"/>
            <w:rFonts w:ascii="Arial" w:hAnsi="Arial" w:cs="Arial"/>
            <w:color w:val="auto"/>
            <w:sz w:val="21"/>
            <w:szCs w:val="21"/>
            <w:u w:val="none"/>
            <w:shd w:val="clear" w:color="auto" w:fill="FFFFFF"/>
          </w:rPr>
          <w:t>International Organization for Standardization</w:t>
        </w:r>
      </w:hyperlink>
      <w:r w:rsidRPr="00C97A72">
        <w:rPr>
          <w:rFonts w:ascii="Arial" w:hAnsi="Arial" w:cs="Arial"/>
          <w:sz w:val="21"/>
          <w:szCs w:val="21"/>
          <w:shd w:val="clear" w:color="auto" w:fill="FFFFFF"/>
        </w:rPr>
        <w:t> (ISO) and the </w:t>
      </w:r>
      <w:hyperlink r:id="rId21" w:tooltip="International Electrotechnical Commission" w:history="1">
        <w:r w:rsidRPr="00C97A72">
          <w:rPr>
            <w:rStyle w:val="Hyperlink"/>
            <w:rFonts w:ascii="Arial" w:hAnsi="Arial" w:cs="Arial"/>
            <w:color w:val="auto"/>
            <w:sz w:val="21"/>
            <w:szCs w:val="21"/>
            <w:u w:val="none"/>
            <w:shd w:val="clear" w:color="auto" w:fill="FFFFFF"/>
          </w:rPr>
          <w:t xml:space="preserve">International Electrotechnical </w:t>
        </w:r>
        <w:r w:rsidRPr="00C97A72">
          <w:rPr>
            <w:rStyle w:val="Hyperlink"/>
            <w:rFonts w:ascii="Arial" w:hAnsi="Arial" w:cs="Arial"/>
            <w:color w:val="auto"/>
            <w:sz w:val="21"/>
            <w:szCs w:val="21"/>
            <w:u w:val="none"/>
            <w:shd w:val="clear" w:color="auto" w:fill="FFFFFF"/>
          </w:rPr>
          <w:lastRenderedPageBreak/>
          <w:t>Commission</w:t>
        </w:r>
      </w:hyperlink>
      <w:r w:rsidRPr="00C97A72">
        <w:rPr>
          <w:rFonts w:ascii="Arial" w:hAnsi="Arial" w:cs="Arial"/>
          <w:sz w:val="21"/>
          <w:szCs w:val="21"/>
          <w:shd w:val="clear" w:color="auto" w:fill="FFFFFF"/>
        </w:rPr>
        <w:t> (IEC). Its full name is </w:t>
      </w:r>
      <w:r w:rsidRPr="00C97A72">
        <w:rPr>
          <w:rFonts w:ascii="Arial" w:hAnsi="Arial" w:cs="Arial"/>
          <w:i/>
          <w:iCs/>
          <w:sz w:val="21"/>
          <w:szCs w:val="21"/>
          <w:shd w:val="clear" w:color="auto" w:fill="FFFFFF"/>
        </w:rPr>
        <w:t>ISO/IEC 27001:2013 – Information technology – Security techniques – Information security management systems</w:t>
      </w:r>
    </w:p>
    <w:p w14:paraId="3FD354CE" w14:textId="77777777" w:rsidR="00C97A72" w:rsidRDefault="00C97A72" w:rsidP="00C97A72">
      <w:pPr>
        <w:shd w:val="clear" w:color="auto" w:fill="FFFFFF"/>
        <w:spacing w:before="72" w:after="0" w:line="240" w:lineRule="auto"/>
        <w:outlineLvl w:val="2"/>
        <w:rPr>
          <w:rFonts w:ascii="Arial" w:hAnsi="Arial" w:cs="Arial"/>
          <w:i/>
          <w:iCs/>
          <w:sz w:val="21"/>
          <w:szCs w:val="21"/>
          <w:shd w:val="clear" w:color="auto" w:fill="FFFFFF"/>
        </w:rPr>
      </w:pPr>
    </w:p>
    <w:p w14:paraId="10DBCD14" w14:textId="42866A55" w:rsidR="00C97A72" w:rsidRPr="00C97A72" w:rsidRDefault="00C97A72" w:rsidP="00C97A72">
      <w:pPr>
        <w:shd w:val="clear" w:color="auto" w:fill="FFFFFF"/>
        <w:spacing w:before="72" w:after="0" w:line="240" w:lineRule="auto"/>
        <w:outlineLvl w:val="2"/>
        <w:rPr>
          <w:rFonts w:ascii="Arial" w:hAnsi="Arial" w:cs="Arial"/>
          <w:i/>
          <w:iCs/>
          <w:sz w:val="21"/>
          <w:szCs w:val="21"/>
          <w:shd w:val="clear" w:color="auto" w:fill="FFFFFF"/>
        </w:rPr>
      </w:pPr>
      <w:r>
        <w:rPr>
          <w:rFonts w:ascii="Arial" w:hAnsi="Arial" w:cs="Arial"/>
          <w:i/>
          <w:iCs/>
          <w:sz w:val="21"/>
          <w:szCs w:val="21"/>
          <w:shd w:val="clear" w:color="auto" w:fill="FFFFFF"/>
        </w:rPr>
        <w:t xml:space="preserve"> </w:t>
      </w:r>
      <w:r w:rsidRPr="00C97A72">
        <w:rPr>
          <w:rFonts w:ascii="Arial" w:eastAsia="Times New Roman" w:hAnsi="Arial" w:cs="Arial"/>
          <w:i/>
          <w:iCs/>
          <w:sz w:val="21"/>
          <w:szCs w:val="21"/>
        </w:rPr>
        <w:t> </w:t>
      </w:r>
      <w:hyperlink r:id="rId22" w:tooltip="National Institute of Standards and Technology" w:history="1">
        <w:r w:rsidRPr="00C97A72">
          <w:rPr>
            <w:rFonts w:ascii="Arial" w:eastAsia="Times New Roman" w:hAnsi="Arial" w:cs="Arial"/>
            <w:b/>
            <w:bCs/>
            <w:i/>
            <w:iCs/>
            <w:sz w:val="21"/>
            <w:szCs w:val="21"/>
          </w:rPr>
          <w:t>National Institute of Standards and Technology</w:t>
        </w:r>
      </w:hyperlink>
      <w:r>
        <w:rPr>
          <w:rFonts w:ascii="Arial" w:eastAsia="Times New Roman" w:hAnsi="Arial" w:cs="Arial"/>
          <w:i/>
          <w:iCs/>
          <w:sz w:val="21"/>
          <w:szCs w:val="21"/>
        </w:rPr>
        <w:t xml:space="preserve">: </w:t>
      </w:r>
      <w:r w:rsidRPr="00C97A72">
        <w:rPr>
          <w:rFonts w:ascii="Arial" w:eastAsia="Times New Roman" w:hAnsi="Arial" w:cs="Arial"/>
          <w:color w:val="222222"/>
          <w:sz w:val="21"/>
          <w:szCs w:val="21"/>
        </w:rPr>
        <w:t>The </w:t>
      </w:r>
      <w:hyperlink r:id="rId23" w:tooltip="NIST Cybersecurity Framework" w:history="1">
        <w:r w:rsidRPr="00C97A72">
          <w:rPr>
            <w:rFonts w:ascii="Arial" w:eastAsia="Times New Roman" w:hAnsi="Arial" w:cs="Arial"/>
            <w:b/>
            <w:bCs/>
            <w:sz w:val="21"/>
            <w:szCs w:val="21"/>
          </w:rPr>
          <w:t>NIST</w:t>
        </w:r>
        <w:r w:rsidRPr="00C97A72">
          <w:rPr>
            <w:rFonts w:ascii="Arial" w:eastAsia="Times New Roman" w:hAnsi="Arial" w:cs="Arial"/>
            <w:sz w:val="21"/>
            <w:szCs w:val="21"/>
          </w:rPr>
          <w:t xml:space="preserve"> Cybersecurity Framework</w:t>
        </w:r>
      </w:hyperlink>
      <w:r w:rsidRPr="00C97A72">
        <w:rPr>
          <w:rFonts w:ascii="Arial" w:eastAsia="Times New Roman" w:hAnsi="Arial" w:cs="Arial"/>
          <w:sz w:val="21"/>
          <w:szCs w:val="21"/>
        </w:rPr>
        <w:t> (</w:t>
      </w:r>
      <w:r w:rsidRPr="00C97A72">
        <w:rPr>
          <w:rFonts w:ascii="Arial" w:eastAsia="Times New Roman" w:hAnsi="Arial" w:cs="Arial"/>
          <w:color w:val="222222"/>
          <w:sz w:val="21"/>
          <w:szCs w:val="21"/>
        </w:rPr>
        <w:t>NIST CSF) "provides a high</w:t>
      </w:r>
      <w:r>
        <w:rPr>
          <w:rFonts w:ascii="Arial" w:eastAsia="Times New Roman" w:hAnsi="Arial" w:cs="Arial"/>
          <w:color w:val="222222"/>
          <w:sz w:val="21"/>
          <w:szCs w:val="21"/>
        </w:rPr>
        <w:t>-</w:t>
      </w:r>
      <w:r w:rsidRPr="00C97A72">
        <w:rPr>
          <w:rFonts w:ascii="Arial" w:eastAsia="Times New Roman" w:hAnsi="Arial" w:cs="Arial"/>
          <w:color w:val="222222"/>
          <w:sz w:val="21"/>
          <w:szCs w:val="21"/>
        </w:rPr>
        <w:t>level taxonomy of cybersecurity outcomes and a methodology to assess and manage those outcomes." It is intended to help private sector organizations that provide </w:t>
      </w:r>
      <w:hyperlink r:id="rId24" w:tooltip="Critical infrastructure" w:history="1">
        <w:r w:rsidRPr="00C97A72">
          <w:rPr>
            <w:rFonts w:ascii="Arial" w:eastAsia="Times New Roman" w:hAnsi="Arial" w:cs="Arial"/>
            <w:sz w:val="21"/>
            <w:szCs w:val="21"/>
          </w:rPr>
          <w:t xml:space="preserve">critical </w:t>
        </w:r>
        <w:r w:rsidRPr="00C97A72">
          <w:rPr>
            <w:rFonts w:ascii="Arial" w:eastAsia="Times New Roman" w:hAnsi="Arial" w:cs="Arial"/>
            <w:color w:val="0B0080"/>
            <w:sz w:val="21"/>
            <w:szCs w:val="21"/>
            <w:u w:val="single"/>
          </w:rPr>
          <w:t>i</w:t>
        </w:r>
        <w:r w:rsidRPr="00C97A72">
          <w:rPr>
            <w:rFonts w:ascii="Arial" w:eastAsia="Times New Roman" w:hAnsi="Arial" w:cs="Arial"/>
            <w:sz w:val="21"/>
            <w:szCs w:val="21"/>
          </w:rPr>
          <w:t>nfrastructure</w:t>
        </w:r>
      </w:hyperlink>
      <w:r w:rsidRPr="00C97A72">
        <w:rPr>
          <w:rFonts w:ascii="Arial" w:eastAsia="Times New Roman" w:hAnsi="Arial" w:cs="Arial"/>
          <w:color w:val="222222"/>
          <w:sz w:val="21"/>
          <w:szCs w:val="21"/>
        </w:rPr>
        <w:t> with guidance on how to protect it, along with relevant protections for</w:t>
      </w:r>
      <w:r w:rsidRPr="00C97A72">
        <w:rPr>
          <w:rFonts w:ascii="Arial" w:eastAsia="Times New Roman" w:hAnsi="Arial" w:cs="Arial"/>
          <w:sz w:val="21"/>
          <w:szCs w:val="21"/>
        </w:rPr>
        <w:t> </w:t>
      </w:r>
      <w:hyperlink r:id="rId25" w:tooltip="Privacy" w:history="1">
        <w:r w:rsidRPr="00C97A72">
          <w:rPr>
            <w:rFonts w:ascii="Arial" w:eastAsia="Times New Roman" w:hAnsi="Arial" w:cs="Arial"/>
            <w:sz w:val="21"/>
            <w:szCs w:val="21"/>
          </w:rPr>
          <w:t>privacy</w:t>
        </w:r>
      </w:hyperlink>
      <w:r w:rsidRPr="00C97A72">
        <w:rPr>
          <w:rFonts w:ascii="Arial" w:eastAsia="Times New Roman" w:hAnsi="Arial" w:cs="Arial"/>
          <w:color w:val="222222"/>
          <w:sz w:val="21"/>
          <w:szCs w:val="21"/>
        </w:rPr>
        <w:t> </w:t>
      </w:r>
      <w:r w:rsidRPr="00C97A72">
        <w:rPr>
          <w:rFonts w:ascii="Arial" w:eastAsia="Times New Roman" w:hAnsi="Arial" w:cs="Arial"/>
          <w:sz w:val="21"/>
          <w:szCs w:val="21"/>
        </w:rPr>
        <w:t>and </w:t>
      </w:r>
      <w:hyperlink r:id="rId26" w:tooltip="Civil liberties" w:history="1">
        <w:r w:rsidRPr="00C97A72">
          <w:rPr>
            <w:rFonts w:ascii="Arial" w:eastAsia="Times New Roman" w:hAnsi="Arial" w:cs="Arial"/>
            <w:sz w:val="21"/>
            <w:szCs w:val="21"/>
          </w:rPr>
          <w:t>civil liberties</w:t>
        </w:r>
      </w:hyperlink>
      <w:r w:rsidRPr="00C97A72">
        <w:rPr>
          <w:rFonts w:ascii="Arial" w:eastAsia="Times New Roman" w:hAnsi="Arial" w:cs="Arial"/>
          <w:sz w:val="21"/>
          <w:szCs w:val="21"/>
        </w:rPr>
        <w:t>.</w:t>
      </w:r>
    </w:p>
    <w:p w14:paraId="098BD10B" w14:textId="77777777" w:rsidR="00C97A72" w:rsidRPr="00C97A72" w:rsidRDefault="00C97A72" w:rsidP="00C97A72">
      <w:pPr>
        <w:shd w:val="clear" w:color="auto" w:fill="FFFFFF"/>
        <w:spacing w:before="72" w:after="0" w:line="240" w:lineRule="auto"/>
        <w:outlineLvl w:val="2"/>
        <w:rPr>
          <w:rFonts w:ascii="Arial" w:eastAsia="Times New Roman" w:hAnsi="Arial" w:cs="Arial"/>
          <w:sz w:val="29"/>
          <w:szCs w:val="29"/>
        </w:rPr>
      </w:pPr>
    </w:p>
    <w:p w14:paraId="5865C87D" w14:textId="77777777" w:rsidR="00C97A72" w:rsidRPr="00C97A72" w:rsidRDefault="00C97A72">
      <w:pPr>
        <w:rPr>
          <w:rFonts w:ascii="Arial" w:hAnsi="Arial" w:cs="Arial"/>
        </w:rPr>
      </w:pPr>
    </w:p>
    <w:sectPr w:rsidR="00C97A72" w:rsidRPr="00C97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031CF"/>
    <w:multiLevelType w:val="multilevel"/>
    <w:tmpl w:val="3F4C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MjI2MTQ1NzcwNDRQ0lEKTi0uzszPAykwrgUARJxLFiwAAAA="/>
  </w:docVars>
  <w:rsids>
    <w:rsidRoot w:val="00C97A72"/>
    <w:rsid w:val="0009540B"/>
    <w:rsid w:val="00183EB1"/>
    <w:rsid w:val="007C18DA"/>
    <w:rsid w:val="00C97A72"/>
    <w:rsid w:val="00F7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B02F"/>
  <w15:chartTrackingRefBased/>
  <w15:docId w15:val="{B2F2DBD1-45C6-42B5-AD3B-FD727F8A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A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7A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84418">
      <w:bodyDiv w:val="1"/>
      <w:marLeft w:val="0"/>
      <w:marRight w:val="0"/>
      <w:marTop w:val="0"/>
      <w:marBottom w:val="0"/>
      <w:divBdr>
        <w:top w:val="none" w:sz="0" w:space="0" w:color="auto"/>
        <w:left w:val="none" w:sz="0" w:space="0" w:color="auto"/>
        <w:bottom w:val="none" w:sz="0" w:space="0" w:color="auto"/>
        <w:right w:val="none" w:sz="0" w:space="0" w:color="auto"/>
      </w:divBdr>
      <w:divsChild>
        <w:div w:id="1857117900">
          <w:marLeft w:val="0"/>
          <w:marRight w:val="0"/>
          <w:marTop w:val="0"/>
          <w:marBottom w:val="120"/>
          <w:divBdr>
            <w:top w:val="none" w:sz="0" w:space="0" w:color="auto"/>
            <w:left w:val="none" w:sz="0" w:space="0" w:color="auto"/>
            <w:bottom w:val="none" w:sz="0" w:space="0" w:color="auto"/>
            <w:right w:val="none" w:sz="0" w:space="0" w:color="auto"/>
          </w:divBdr>
        </w:div>
      </w:divsChild>
    </w:div>
    <w:div w:id="1228757767">
      <w:bodyDiv w:val="1"/>
      <w:marLeft w:val="0"/>
      <w:marRight w:val="0"/>
      <w:marTop w:val="0"/>
      <w:marBottom w:val="0"/>
      <w:divBdr>
        <w:top w:val="none" w:sz="0" w:space="0" w:color="auto"/>
        <w:left w:val="none" w:sz="0" w:space="0" w:color="auto"/>
        <w:bottom w:val="none" w:sz="0" w:space="0" w:color="auto"/>
        <w:right w:val="none" w:sz="0" w:space="0" w:color="auto"/>
      </w:divBdr>
    </w:div>
    <w:div w:id="16005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deral_Information_Security_Management_Act" TargetMode="External"/><Relationship Id="rId13" Type="http://schemas.openxmlformats.org/officeDocument/2006/relationships/hyperlink" Target="https://en.wikipedia.org/wiki/Social_security_number" TargetMode="External"/><Relationship Id="rId18" Type="http://schemas.openxmlformats.org/officeDocument/2006/relationships/hyperlink" Target="https://en.wikipedia.org/wiki/ISO/IEC_27000-series" TargetMode="External"/><Relationship Id="rId26" Type="http://schemas.openxmlformats.org/officeDocument/2006/relationships/hyperlink" Target="https://en.wikipedia.org/wiki/Civil_liberties" TargetMode="External"/><Relationship Id="rId3" Type="http://schemas.openxmlformats.org/officeDocument/2006/relationships/settings" Target="settings.xml"/><Relationship Id="rId21" Type="http://schemas.openxmlformats.org/officeDocument/2006/relationships/hyperlink" Target="https://en.wikipedia.org/wiki/International_Electrotechnical_Commission" TargetMode="External"/><Relationship Id="rId7" Type="http://schemas.openxmlformats.org/officeDocument/2006/relationships/hyperlink" Target="https://en.wikipedia.org/wiki/Homeland_Security_Act" TargetMode="External"/><Relationship Id="rId12" Type="http://schemas.openxmlformats.org/officeDocument/2006/relationships/hyperlink" Target="https://en.wikipedia.org/wiki/California" TargetMode="External"/><Relationship Id="rId17" Type="http://schemas.openxmlformats.org/officeDocument/2006/relationships/hyperlink" Target="https://en.wikipedia.org/wiki/Cyber-attack" TargetMode="External"/><Relationship Id="rId25" Type="http://schemas.openxmlformats.org/officeDocument/2006/relationships/hyperlink" Target="https://en.wikipedia.org/wiki/Privacy" TargetMode="External"/><Relationship Id="rId2" Type="http://schemas.openxmlformats.org/officeDocument/2006/relationships/styles" Target="styles.xml"/><Relationship Id="rId16" Type="http://schemas.openxmlformats.org/officeDocument/2006/relationships/hyperlink" Target="https://en.wikipedia.org/wiki/Cyber-security_regulation" TargetMode="External"/><Relationship Id="rId20" Type="http://schemas.openxmlformats.org/officeDocument/2006/relationships/hyperlink" Target="https://en.wikipedia.org/wiki/International_Organization_for_Standardization" TargetMode="External"/><Relationship Id="rId1" Type="http://schemas.openxmlformats.org/officeDocument/2006/relationships/numbering" Target="numbering.xml"/><Relationship Id="rId6" Type="http://schemas.openxmlformats.org/officeDocument/2006/relationships/hyperlink" Target="https://en.wikipedia.org/wiki/Gramm-Leach-Bliley_Act" TargetMode="External"/><Relationship Id="rId11" Type="http://schemas.openxmlformats.org/officeDocument/2006/relationships/hyperlink" Target="https://en.wikipedia.org/wiki/Cyber-security_regulation" TargetMode="External"/><Relationship Id="rId24" Type="http://schemas.openxmlformats.org/officeDocument/2006/relationships/hyperlink" Target="https://en.wikipedia.org/wiki/Critical_infrastructure" TargetMode="External"/><Relationship Id="rId5" Type="http://schemas.openxmlformats.org/officeDocument/2006/relationships/hyperlink" Target="https://en.wikipedia.org/wiki/Health_Insurance_Portability_and_Accountability_Act" TargetMode="External"/><Relationship Id="rId15" Type="http://schemas.openxmlformats.org/officeDocument/2006/relationships/hyperlink" Target="https://en.wikipedia.org/wiki/California_State_Legislature" TargetMode="External"/><Relationship Id="rId23" Type="http://schemas.openxmlformats.org/officeDocument/2006/relationships/hyperlink" Target="https://en.wikipedia.org/wiki/NIST_Cybersecurity_Framework" TargetMode="External"/><Relationship Id="rId28" Type="http://schemas.openxmlformats.org/officeDocument/2006/relationships/theme" Target="theme/theme1.xml"/><Relationship Id="rId10" Type="http://schemas.openxmlformats.org/officeDocument/2006/relationships/hyperlink" Target="https://en.wikipedia.org/wiki/Internet_Service_Provider" TargetMode="External"/><Relationship Id="rId19" Type="http://schemas.openxmlformats.org/officeDocument/2006/relationships/hyperlink" Target="https://en.wikipedia.org/wiki/Information_security_management_system" TargetMode="External"/><Relationship Id="rId4" Type="http://schemas.openxmlformats.org/officeDocument/2006/relationships/webSettings" Target="webSettings.xml"/><Relationship Id="rId9" Type="http://schemas.openxmlformats.org/officeDocument/2006/relationships/hyperlink" Target="https://en.wikipedia.org/wiki/Cyber-security_regulation" TargetMode="External"/><Relationship Id="rId14" Type="http://schemas.openxmlformats.org/officeDocument/2006/relationships/hyperlink" Target="https://en.wikipedia.org/wiki/Payment_card_number" TargetMode="External"/><Relationship Id="rId22" Type="http://schemas.openxmlformats.org/officeDocument/2006/relationships/hyperlink" Target="https://en.wikipedia.org/wiki/National_Institute_of_Standards_and_Technolog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jakes</dc:creator>
  <cp:keywords/>
  <dc:description/>
  <cp:lastModifiedBy>Jackie Jakes</cp:lastModifiedBy>
  <cp:revision>3</cp:revision>
  <dcterms:created xsi:type="dcterms:W3CDTF">2020-02-12T23:43:00Z</dcterms:created>
  <dcterms:modified xsi:type="dcterms:W3CDTF">2020-02-13T00:02:00Z</dcterms:modified>
</cp:coreProperties>
</file>