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1F40D" w14:textId="77777777" w:rsidR="00974CA4" w:rsidRPr="007832B2" w:rsidRDefault="00974CA4" w:rsidP="00974CA4">
      <w:pPr>
        <w:pStyle w:val="Title"/>
        <w:rPr>
          <w:rFonts w:ascii="Futura Medium" w:hAnsi="Futura Medium" w:cs="Futura Medium"/>
          <w:color w:val="00AAA3"/>
        </w:rPr>
      </w:pPr>
      <w:r w:rsidRPr="007832B2">
        <w:rPr>
          <w:rStyle w:val="Strong"/>
          <w:rFonts w:ascii="Futura Medium" w:hAnsi="Futura Medium" w:cs="Futura Medium" w:hint="cs"/>
          <w:color w:val="00AAA3"/>
        </w:rPr>
        <w:t>Estimating the Number of Measles-Susceptible Children in the State of Georgia</w:t>
      </w:r>
    </w:p>
    <w:p w14:paraId="615C8B4F" w14:textId="77777777" w:rsidR="00974CA4" w:rsidRDefault="00C9615E" w:rsidP="00974CA4">
      <w:r>
        <w:rPr>
          <w:noProof/>
        </w:rPr>
        <w:pict w14:anchorId="7D67423A">
          <v:rect id="_x0000_i1029" alt="" style="width:468pt;height:.05pt;mso-width-percent:0;mso-height-percent:0;mso-width-percent:0;mso-height-percent:0" o:hralign="center" o:hrstd="t" o:hr="t" fillcolor="#a0a0a0" stroked="f"/>
        </w:pict>
      </w:r>
    </w:p>
    <w:p w14:paraId="77D5F764" w14:textId="23459100" w:rsidR="00661B28" w:rsidRPr="00661B28" w:rsidRDefault="00974CA4" w:rsidP="00661B28">
      <w:pPr>
        <w:pStyle w:val="NormalWeb"/>
      </w:pPr>
      <w:r>
        <w:rPr>
          <w:rStyle w:val="Strong"/>
        </w:rPr>
        <w:t>Principal Investigator/Project Lead</w:t>
      </w:r>
      <w:r>
        <w:br/>
      </w:r>
      <w:r>
        <w:rPr>
          <w:rStyle w:val="Emphasis"/>
        </w:rPr>
        <w:t xml:space="preserve">Robert A. </w:t>
      </w:r>
      <w:proofErr w:type="spellStart"/>
      <w:r>
        <w:rPr>
          <w:rStyle w:val="Emphasis"/>
        </w:rPr>
        <w:t>Bednarczyk</w:t>
      </w:r>
      <w:proofErr w:type="spellEnd"/>
      <w:r>
        <w:rPr>
          <w:rStyle w:val="Emphasis"/>
        </w:rPr>
        <w:t>, PhD</w:t>
      </w:r>
      <w:r>
        <w:br/>
        <w:t>Associate Professor, Hubert Department of Global Health, Rollins School of Public Health, Emory University</w:t>
      </w:r>
      <w:r w:rsidR="00661B28">
        <w:br/>
      </w:r>
      <w:r w:rsidR="00661B28">
        <w:rPr>
          <w:rStyle w:val="Emphasis"/>
        </w:rPr>
        <w:br/>
      </w:r>
      <w:r w:rsidR="00661B28">
        <w:rPr>
          <w:rStyle w:val="Emphasis"/>
        </w:rPr>
        <w:t xml:space="preserve">Amaka </w:t>
      </w:r>
      <w:proofErr w:type="spellStart"/>
      <w:r w:rsidR="00661B28">
        <w:rPr>
          <w:rStyle w:val="Emphasis"/>
        </w:rPr>
        <w:t>Mgboh</w:t>
      </w:r>
      <w:proofErr w:type="spellEnd"/>
      <w:r w:rsidR="00661B28">
        <w:rPr>
          <w:rStyle w:val="Emphasis"/>
        </w:rPr>
        <w:t xml:space="preserve">, </w:t>
      </w:r>
      <w:proofErr w:type="spellStart"/>
      <w:r w:rsidR="00661B28">
        <w:rPr>
          <w:rStyle w:val="Emphasis"/>
        </w:rPr>
        <w:t>MPHc</w:t>
      </w:r>
      <w:proofErr w:type="spellEnd"/>
      <w:r w:rsidR="00661B28">
        <w:rPr>
          <w:rStyle w:val="Emphasis"/>
        </w:rPr>
        <w:br/>
      </w:r>
      <w:r w:rsidR="00661B28">
        <w:rPr>
          <w:rStyle w:val="Emphasis"/>
          <w:i w:val="0"/>
          <w:iCs w:val="0"/>
        </w:rPr>
        <w:t>Graduate Student Research Assistant, CDC, Emory University</w:t>
      </w:r>
    </w:p>
    <w:p w14:paraId="365947D1" w14:textId="6680AFD0" w:rsidR="00974CA4" w:rsidRDefault="00974CA4" w:rsidP="00974CA4">
      <w:pPr>
        <w:pStyle w:val="NormalWeb"/>
      </w:pPr>
    </w:p>
    <w:p w14:paraId="1A24E8E8" w14:textId="15ED884A" w:rsidR="00974CA4" w:rsidRDefault="00974CA4" w:rsidP="00974CA4">
      <w:pPr>
        <w:pStyle w:val="NormalWeb"/>
        <w:rPr>
          <w:rStyle w:val="Emphasis"/>
        </w:rPr>
      </w:pPr>
      <w:r>
        <w:rPr>
          <w:rStyle w:val="Strong"/>
        </w:rPr>
        <w:t>Public Health Collaborators</w:t>
      </w:r>
      <w:r>
        <w:br/>
      </w:r>
      <w:r>
        <w:rPr>
          <w:rStyle w:val="Emphasis"/>
        </w:rPr>
        <w:t>Connor Van Meter, MSPH</w:t>
      </w:r>
      <w:r>
        <w:br/>
      </w:r>
      <w:r>
        <w:rPr>
          <w:rStyle w:val="Emphasis"/>
        </w:rPr>
        <w:t>Marina Bruck, MPH</w:t>
      </w:r>
    </w:p>
    <w:p w14:paraId="1507C6CE" w14:textId="77777777" w:rsidR="00974CA4" w:rsidRDefault="00974CA4" w:rsidP="00974CA4">
      <w:pPr>
        <w:pStyle w:val="NormalWeb"/>
      </w:pPr>
      <w:r>
        <w:rPr>
          <w:rStyle w:val="Strong"/>
        </w:rPr>
        <w:t>Sponsor</w:t>
      </w:r>
      <w:r>
        <w:br/>
        <w:t>Georgia Department of Public Health and Georgia Registry of Immunization Transactions and Services (GRITS), Emory University</w:t>
      </w:r>
    </w:p>
    <w:p w14:paraId="66627AFD" w14:textId="77777777" w:rsidR="00974CA4" w:rsidRDefault="00C9615E" w:rsidP="00974CA4">
      <w:r>
        <w:rPr>
          <w:noProof/>
        </w:rPr>
        <w:pict w14:anchorId="7D64B23D">
          <v:rect id="_x0000_i1028" alt="" style="width:468pt;height:.05pt;mso-width-percent:0;mso-height-percent:0;mso-width-percent:0;mso-height-percent:0" o:hralign="center" o:hrstd="t" o:hr="t" fillcolor="#a0a0a0" stroked="f"/>
        </w:pict>
      </w:r>
    </w:p>
    <w:p w14:paraId="6B1537EA" w14:textId="77777777" w:rsidR="00974CA4" w:rsidRPr="009D240C" w:rsidRDefault="00974CA4" w:rsidP="009D240C">
      <w:pPr>
        <w:pStyle w:val="Heading1"/>
      </w:pPr>
      <w:r w:rsidRPr="009D240C">
        <w:t>1. Significance/Justification</w:t>
      </w:r>
    </w:p>
    <w:p w14:paraId="280EFD73" w14:textId="77777777" w:rsidR="00974CA4" w:rsidRDefault="00974CA4" w:rsidP="00974CA4">
      <w:pPr>
        <w:pStyle w:val="NormalWeb"/>
      </w:pPr>
      <w:r>
        <w:t>There is an urgent need to understand childhood vaccine uptake and its behavioral and social drivers to ensure effective strategies for improving vaccine coverage. Measles susceptibility is a significant public health concern due to the contagious nature of the virus and its potential to cause severe health complications, especially among unvaccinated children. Data from the Georgia Registry of Immunization Transactions and Services (GRITS) reveals a considerable number of adolescents who have received zero doses of the measles-containing vaccine, thus creating a reservoir of susceptible individuals.</w:t>
      </w:r>
    </w:p>
    <w:p w14:paraId="621DFEEA" w14:textId="77777777" w:rsidR="00974CA4" w:rsidRDefault="00C9615E" w:rsidP="00974CA4">
      <w:r>
        <w:rPr>
          <w:noProof/>
        </w:rPr>
        <w:pict w14:anchorId="1B16C214">
          <v:rect id="_x0000_i1027" alt="" style="width:468pt;height:.05pt;mso-width-percent:0;mso-height-percent:0;mso-width-percent:0;mso-height-percent:0" o:hralign="center" o:hrstd="t" o:hr="t" fillcolor="#a0a0a0" stroked="f"/>
        </w:pict>
      </w:r>
    </w:p>
    <w:p w14:paraId="33C9448E" w14:textId="77777777" w:rsidR="00974CA4" w:rsidRDefault="00974CA4" w:rsidP="009D240C">
      <w:pPr>
        <w:pStyle w:val="Heading1"/>
      </w:pPr>
      <w:r>
        <w:lastRenderedPageBreak/>
        <w:t>2. Aims of the Study</w:t>
      </w:r>
    </w:p>
    <w:p w14:paraId="4B57C47E" w14:textId="77777777" w:rsidR="00974CA4" w:rsidRDefault="00974CA4" w:rsidP="00974CA4">
      <w:pPr>
        <w:pStyle w:val="NormalWeb"/>
        <w:numPr>
          <w:ilvl w:val="0"/>
          <w:numId w:val="6"/>
        </w:numPr>
      </w:pPr>
      <w:r>
        <w:rPr>
          <w:rStyle w:val="Strong"/>
        </w:rPr>
        <w:t>Spatial Distributions</w:t>
      </w:r>
      <w:r>
        <w:t>: The primary objective is to explore the spatial distribution of unvaccinated children using the GRITS dataset, identify factors contributing to these clusters, and assess how this information can guide efforts to improve vaccination rates.</w:t>
      </w:r>
    </w:p>
    <w:p w14:paraId="0119E580" w14:textId="77777777" w:rsidR="00974CA4" w:rsidRDefault="00974CA4" w:rsidP="00974CA4">
      <w:pPr>
        <w:pStyle w:val="NormalWeb"/>
        <w:numPr>
          <w:ilvl w:val="0"/>
          <w:numId w:val="6"/>
        </w:numPr>
      </w:pPr>
      <w:r>
        <w:rPr>
          <w:rStyle w:val="Strong"/>
        </w:rPr>
        <w:t>Vaccination Records</w:t>
      </w:r>
      <w:r>
        <w:t>: Analyze the vaccination records and immunization coverage for children born in Georgia after January 1, 2014, to identify the proportion of the susceptible population within the state.</w:t>
      </w:r>
    </w:p>
    <w:p w14:paraId="59861D2A" w14:textId="77777777" w:rsidR="00974CA4" w:rsidRDefault="00974CA4" w:rsidP="00974CA4">
      <w:pPr>
        <w:pStyle w:val="NormalWeb"/>
        <w:numPr>
          <w:ilvl w:val="0"/>
          <w:numId w:val="6"/>
        </w:numPr>
      </w:pPr>
      <w:r>
        <w:rPr>
          <w:rStyle w:val="Strong"/>
        </w:rPr>
        <w:t>Geographic Disparities</w:t>
      </w:r>
      <w:r>
        <w:t>: Evaluate geographic and demographic disparities in measles vaccination rates across regions within Georgia.</w:t>
      </w:r>
    </w:p>
    <w:p w14:paraId="0919C0E9" w14:textId="77777777" w:rsidR="00974CA4" w:rsidRDefault="00C9615E" w:rsidP="00974CA4">
      <w:r>
        <w:rPr>
          <w:noProof/>
        </w:rPr>
        <w:pict w14:anchorId="53202CBE">
          <v:rect id="_x0000_i1026" alt="" style="width:468pt;height:.05pt;mso-width-percent:0;mso-height-percent:0;mso-width-percent:0;mso-height-percent:0" o:hralign="center" o:hrstd="t" o:hr="t" fillcolor="#a0a0a0" stroked="f"/>
        </w:pict>
      </w:r>
    </w:p>
    <w:p w14:paraId="3C0A51C2" w14:textId="77777777" w:rsidR="00974CA4" w:rsidRDefault="00974CA4" w:rsidP="009D240C">
      <w:pPr>
        <w:pStyle w:val="Heading1"/>
      </w:pPr>
      <w:r>
        <w:t>3. Analysis Plan</w:t>
      </w:r>
    </w:p>
    <w:p w14:paraId="72EF5245" w14:textId="77777777" w:rsidR="00974CA4" w:rsidRPr="009D240C" w:rsidRDefault="00974CA4" w:rsidP="009D240C">
      <w:pPr>
        <w:pStyle w:val="Heading2"/>
      </w:pPr>
      <w:r w:rsidRPr="009D240C">
        <w:t>Data Requests:</w:t>
      </w:r>
    </w:p>
    <w:p w14:paraId="62341641" w14:textId="77777777" w:rsidR="00974CA4" w:rsidRDefault="00974CA4" w:rsidP="00974CA4">
      <w:pPr>
        <w:numPr>
          <w:ilvl w:val="0"/>
          <w:numId w:val="7"/>
        </w:numPr>
        <w:spacing w:before="100" w:beforeAutospacing="1" w:after="100" w:afterAutospacing="1" w:line="240" w:lineRule="auto"/>
      </w:pPr>
      <w:r>
        <w:t>Obtain vaccine administration data, provider data, and vaccine order data from the GRITS dataset for children born on or after January 1, 2014.</w:t>
      </w:r>
    </w:p>
    <w:p w14:paraId="034698C1" w14:textId="77777777" w:rsidR="00974CA4" w:rsidRDefault="00974CA4" w:rsidP="009D240C">
      <w:pPr>
        <w:pStyle w:val="Heading2"/>
      </w:pPr>
      <w:r>
        <w:t>Methodology:</w:t>
      </w:r>
    </w:p>
    <w:p w14:paraId="465ECF1F" w14:textId="77777777" w:rsidR="00974CA4" w:rsidRDefault="00974CA4" w:rsidP="00974CA4">
      <w:pPr>
        <w:numPr>
          <w:ilvl w:val="0"/>
          <w:numId w:val="8"/>
        </w:numPr>
        <w:spacing w:before="100" w:beforeAutospacing="1" w:after="100" w:afterAutospacing="1" w:line="240" w:lineRule="auto"/>
      </w:pPr>
      <w:r>
        <w:rPr>
          <w:rStyle w:val="Strong"/>
        </w:rPr>
        <w:t>Geocoding</w:t>
      </w:r>
      <w:r>
        <w:t>: Geocode local addresses to ensure geographic coordinates are included.</w:t>
      </w:r>
    </w:p>
    <w:p w14:paraId="3E3CBC25" w14:textId="77777777" w:rsidR="00974CA4" w:rsidRDefault="00974CA4" w:rsidP="00974CA4">
      <w:pPr>
        <w:numPr>
          <w:ilvl w:val="0"/>
          <w:numId w:val="8"/>
        </w:numPr>
        <w:spacing w:before="100" w:beforeAutospacing="1" w:after="100" w:afterAutospacing="1" w:line="240" w:lineRule="auto"/>
      </w:pPr>
      <w:r>
        <w:rPr>
          <w:rStyle w:val="Strong"/>
        </w:rPr>
        <w:t>Data Integration</w:t>
      </w:r>
      <w:r>
        <w:t>: Join vaccination data with relevant demographic and geographic data, including census data.</w:t>
      </w:r>
    </w:p>
    <w:p w14:paraId="3B0AA6CB" w14:textId="77777777" w:rsidR="00974CA4" w:rsidRDefault="00974CA4" w:rsidP="00974CA4">
      <w:pPr>
        <w:numPr>
          <w:ilvl w:val="0"/>
          <w:numId w:val="8"/>
        </w:numPr>
        <w:spacing w:before="100" w:beforeAutospacing="1" w:after="100" w:afterAutospacing="1" w:line="240" w:lineRule="auto"/>
      </w:pPr>
      <w:r>
        <w:rPr>
          <w:rStyle w:val="Strong"/>
        </w:rPr>
        <w:t>Visualization</w:t>
      </w:r>
      <w:r>
        <w:t>: Create heatmaps and cluster analyses to identify hotspots of unvaccinated children.</w:t>
      </w:r>
    </w:p>
    <w:p w14:paraId="22AD7AF0" w14:textId="77777777" w:rsidR="00974CA4" w:rsidRDefault="00974CA4" w:rsidP="00974CA4">
      <w:pPr>
        <w:numPr>
          <w:ilvl w:val="0"/>
          <w:numId w:val="8"/>
        </w:numPr>
        <w:spacing w:before="100" w:beforeAutospacing="1" w:after="100" w:afterAutospacing="1" w:line="240" w:lineRule="auto"/>
      </w:pPr>
      <w:r>
        <w:rPr>
          <w:rStyle w:val="Strong"/>
        </w:rPr>
        <w:t>Access to Services</w:t>
      </w:r>
      <w:r>
        <w:t>: Include data on healthcare facilities and vaccination clinics to assess service access.</w:t>
      </w:r>
    </w:p>
    <w:p w14:paraId="7451FDB6" w14:textId="77777777" w:rsidR="00974CA4" w:rsidRDefault="00974CA4" w:rsidP="00974CA4">
      <w:pPr>
        <w:numPr>
          <w:ilvl w:val="0"/>
          <w:numId w:val="8"/>
        </w:numPr>
        <w:spacing w:before="100" w:beforeAutospacing="1" w:after="100" w:afterAutospacing="1" w:line="240" w:lineRule="auto"/>
      </w:pPr>
      <w:r>
        <w:rPr>
          <w:rStyle w:val="Strong"/>
        </w:rPr>
        <w:t>Socioeconomic Factors</w:t>
      </w:r>
      <w:r>
        <w:t>: Analyze correlations between vaccination rates and socioeconomic variables.</w:t>
      </w:r>
    </w:p>
    <w:p w14:paraId="087F159F" w14:textId="77777777" w:rsidR="00974CA4" w:rsidRDefault="00974CA4" w:rsidP="00974CA4">
      <w:pPr>
        <w:numPr>
          <w:ilvl w:val="0"/>
          <w:numId w:val="8"/>
        </w:numPr>
        <w:spacing w:before="100" w:beforeAutospacing="1" w:after="100" w:afterAutospacing="1" w:line="240" w:lineRule="auto"/>
      </w:pPr>
      <w:r>
        <w:rPr>
          <w:rStyle w:val="Strong"/>
        </w:rPr>
        <w:t>Buffer Analysis</w:t>
      </w:r>
      <w:r>
        <w:t>: Evaluate proximity to healthcare facilities for unvaccinated children.</w:t>
      </w:r>
    </w:p>
    <w:p w14:paraId="0E6D3AD3" w14:textId="77777777" w:rsidR="00974CA4" w:rsidRDefault="00974CA4" w:rsidP="009D240C">
      <w:pPr>
        <w:pStyle w:val="Heading2"/>
      </w:pPr>
      <w:r>
        <w:t>Data Analysis:</w:t>
      </w:r>
    </w:p>
    <w:p w14:paraId="0F765DC3" w14:textId="77777777" w:rsidR="00974CA4" w:rsidRDefault="00974CA4" w:rsidP="00974CA4">
      <w:pPr>
        <w:numPr>
          <w:ilvl w:val="0"/>
          <w:numId w:val="9"/>
        </w:numPr>
        <w:spacing w:before="100" w:beforeAutospacing="1" w:after="100" w:afterAutospacing="1" w:line="240" w:lineRule="auto"/>
      </w:pPr>
      <w:r>
        <w:t>Load and geocode the GRITS dataset, integrating external datasets (e.g., census data) to include socioeconomic factors, population density, and age distribution.</w:t>
      </w:r>
    </w:p>
    <w:p w14:paraId="4AF7C2A7" w14:textId="77777777" w:rsidR="00974CA4" w:rsidRDefault="00974CA4" w:rsidP="00974CA4">
      <w:pPr>
        <w:numPr>
          <w:ilvl w:val="0"/>
          <w:numId w:val="9"/>
        </w:numPr>
        <w:spacing w:before="100" w:beforeAutospacing="1" w:after="100" w:afterAutospacing="1" w:line="240" w:lineRule="auto"/>
      </w:pPr>
      <w:r>
        <w:t>Filter data for children born after January 1, 2014, who received zero doses of the measles-containing vaccine.</w:t>
      </w:r>
    </w:p>
    <w:p w14:paraId="1DF35F14" w14:textId="77777777" w:rsidR="00974CA4" w:rsidRDefault="00974CA4" w:rsidP="00974CA4">
      <w:pPr>
        <w:numPr>
          <w:ilvl w:val="0"/>
          <w:numId w:val="9"/>
        </w:numPr>
        <w:spacing w:before="100" w:beforeAutospacing="1" w:after="100" w:afterAutospacing="1" w:line="240" w:lineRule="auto"/>
      </w:pPr>
      <w:r>
        <w:t>Use the Optimized Hot Spot Analysis tool to identify clusters of unvaccinated children.</w:t>
      </w:r>
    </w:p>
    <w:p w14:paraId="1C935703" w14:textId="77777777" w:rsidR="00974CA4" w:rsidRDefault="00C9615E" w:rsidP="00974CA4">
      <w:pPr>
        <w:spacing w:after="0"/>
      </w:pPr>
      <w:r>
        <w:rPr>
          <w:noProof/>
        </w:rPr>
        <w:pict w14:anchorId="146146B3">
          <v:rect id="_x0000_i1025" alt="" style="width:468pt;height:.05pt;mso-width-percent:0;mso-height-percent:0;mso-width-percent:0;mso-height-percent:0" o:hralign="center" o:hrstd="t" o:hr="t" fillcolor="#a0a0a0" stroked="f"/>
        </w:pict>
      </w:r>
    </w:p>
    <w:p w14:paraId="5B7DD246" w14:textId="77777777" w:rsidR="00974CA4" w:rsidRDefault="00974CA4" w:rsidP="009D240C">
      <w:pPr>
        <w:pStyle w:val="Heading1"/>
      </w:pPr>
      <w:r>
        <w:lastRenderedPageBreak/>
        <w:t>4. Expected Outcomes</w:t>
      </w:r>
    </w:p>
    <w:p w14:paraId="04F8AC83" w14:textId="77777777" w:rsidR="00974CA4" w:rsidRDefault="00974CA4" w:rsidP="00974CA4">
      <w:pPr>
        <w:pStyle w:val="NormalWeb"/>
      </w:pPr>
      <w:r>
        <w:t>The findings will inform public health stakeholders and provide data-driven insights to develop interactive dashboards for exploring trends and generating reports. This will facilitate the planning of targeted vaccination campaigns in identified high-risk areas to reduce measles susceptibility.</w:t>
      </w:r>
    </w:p>
    <w:p w14:paraId="38BD2497" w14:textId="17A05846" w:rsidR="00364501" w:rsidRPr="00974CA4" w:rsidRDefault="00364501" w:rsidP="00974CA4"/>
    <w:sectPr w:rsidR="00364501" w:rsidRPr="00974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altName w:val="Calibri"/>
    <w:panose1 w:val="020B06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panose1 w:val="020B0604020202020204"/>
    <w:charset w:val="00"/>
    <w:family w:val="swiss"/>
    <w:pitch w:val="variable"/>
    <w:sig w:usb0="20000287" w:usb1="00000003" w:usb2="00000000" w:usb3="00000000" w:csb0="0000019F" w:csb1="00000000"/>
  </w:font>
  <w:font w:name="Futura Medium">
    <w:altName w:val="FUTURA MEDIUM"/>
    <w:panose1 w:val="020B0602020204020303"/>
    <w:charset w:val="B1"/>
    <w:family w:val="swiss"/>
    <w:pitch w:val="variable"/>
    <w:sig w:usb0="80000867" w:usb1="00000000" w:usb2="00000000" w:usb3="00000000" w:csb0="000001F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E503B"/>
    <w:multiLevelType w:val="multilevel"/>
    <w:tmpl w:val="3E2E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D7CB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F04A5"/>
    <w:multiLevelType w:val="multilevel"/>
    <w:tmpl w:val="D608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B06DC"/>
    <w:multiLevelType w:val="hybridMultilevel"/>
    <w:tmpl w:val="0858977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0D0AA9"/>
    <w:multiLevelType w:val="multilevel"/>
    <w:tmpl w:val="5660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719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9F467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CC663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B63047"/>
    <w:multiLevelType w:val="multilevel"/>
    <w:tmpl w:val="A664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7"/>
  </w:num>
  <w:num w:numId="5">
    <w:abstractNumId w:val="6"/>
  </w:num>
  <w:num w:numId="6">
    <w:abstractNumId w:val="0"/>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303"/>
    <w:rsid w:val="0001274A"/>
    <w:rsid w:val="000138DF"/>
    <w:rsid w:val="00025D4D"/>
    <w:rsid w:val="00027BF4"/>
    <w:rsid w:val="00046F8D"/>
    <w:rsid w:val="0007097C"/>
    <w:rsid w:val="000B6936"/>
    <w:rsid w:val="000D515F"/>
    <w:rsid w:val="00112C43"/>
    <w:rsid w:val="001156C8"/>
    <w:rsid w:val="00134A82"/>
    <w:rsid w:val="001756A4"/>
    <w:rsid w:val="0018071C"/>
    <w:rsid w:val="001957D3"/>
    <w:rsid w:val="001A1F0D"/>
    <w:rsid w:val="001C22FD"/>
    <w:rsid w:val="001E1163"/>
    <w:rsid w:val="001E557B"/>
    <w:rsid w:val="001F5335"/>
    <w:rsid w:val="00254351"/>
    <w:rsid w:val="00271DD0"/>
    <w:rsid w:val="0027662E"/>
    <w:rsid w:val="00293130"/>
    <w:rsid w:val="002B419D"/>
    <w:rsid w:val="002C4CDA"/>
    <w:rsid w:val="00357A2E"/>
    <w:rsid w:val="00364501"/>
    <w:rsid w:val="00393D84"/>
    <w:rsid w:val="003A1764"/>
    <w:rsid w:val="003E191E"/>
    <w:rsid w:val="00402EA6"/>
    <w:rsid w:val="004179C8"/>
    <w:rsid w:val="00427EA3"/>
    <w:rsid w:val="004A2F92"/>
    <w:rsid w:val="004F6F05"/>
    <w:rsid w:val="00514908"/>
    <w:rsid w:val="0052314A"/>
    <w:rsid w:val="00552B84"/>
    <w:rsid w:val="005A1373"/>
    <w:rsid w:val="005B19F3"/>
    <w:rsid w:val="005B202B"/>
    <w:rsid w:val="005D3DCE"/>
    <w:rsid w:val="0061165A"/>
    <w:rsid w:val="00650D9A"/>
    <w:rsid w:val="00661B28"/>
    <w:rsid w:val="00683763"/>
    <w:rsid w:val="006871B7"/>
    <w:rsid w:val="00693622"/>
    <w:rsid w:val="006A1CDE"/>
    <w:rsid w:val="006A6E66"/>
    <w:rsid w:val="00740FB8"/>
    <w:rsid w:val="00751A87"/>
    <w:rsid w:val="007619CE"/>
    <w:rsid w:val="007832B2"/>
    <w:rsid w:val="007C1F79"/>
    <w:rsid w:val="007C5B95"/>
    <w:rsid w:val="007F1C88"/>
    <w:rsid w:val="00800E48"/>
    <w:rsid w:val="00802B67"/>
    <w:rsid w:val="00816157"/>
    <w:rsid w:val="00864A8B"/>
    <w:rsid w:val="008941B3"/>
    <w:rsid w:val="008A4C60"/>
    <w:rsid w:val="0092069F"/>
    <w:rsid w:val="0094286D"/>
    <w:rsid w:val="00974CA4"/>
    <w:rsid w:val="00993C4F"/>
    <w:rsid w:val="009D240C"/>
    <w:rsid w:val="00A201E2"/>
    <w:rsid w:val="00A72852"/>
    <w:rsid w:val="00A75C6F"/>
    <w:rsid w:val="00A91FE8"/>
    <w:rsid w:val="00AD275D"/>
    <w:rsid w:val="00AE6300"/>
    <w:rsid w:val="00B47CD2"/>
    <w:rsid w:val="00B81551"/>
    <w:rsid w:val="00B956DC"/>
    <w:rsid w:val="00BC10A6"/>
    <w:rsid w:val="00BC1D17"/>
    <w:rsid w:val="00BD1D98"/>
    <w:rsid w:val="00BE5E40"/>
    <w:rsid w:val="00BF6B90"/>
    <w:rsid w:val="00C22B0E"/>
    <w:rsid w:val="00C22D06"/>
    <w:rsid w:val="00C308E4"/>
    <w:rsid w:val="00C35655"/>
    <w:rsid w:val="00C40DBF"/>
    <w:rsid w:val="00C41A0C"/>
    <w:rsid w:val="00C62AD3"/>
    <w:rsid w:val="00C9615E"/>
    <w:rsid w:val="00CC6C69"/>
    <w:rsid w:val="00CC6D82"/>
    <w:rsid w:val="00D10EFD"/>
    <w:rsid w:val="00D11BF3"/>
    <w:rsid w:val="00D209C5"/>
    <w:rsid w:val="00D226E8"/>
    <w:rsid w:val="00D242C0"/>
    <w:rsid w:val="00D26FDA"/>
    <w:rsid w:val="00D32F6B"/>
    <w:rsid w:val="00D57B99"/>
    <w:rsid w:val="00D668C9"/>
    <w:rsid w:val="00D829A1"/>
    <w:rsid w:val="00DA1413"/>
    <w:rsid w:val="00DA4478"/>
    <w:rsid w:val="00E1722F"/>
    <w:rsid w:val="00E21611"/>
    <w:rsid w:val="00E42BD4"/>
    <w:rsid w:val="00E63504"/>
    <w:rsid w:val="00E75303"/>
    <w:rsid w:val="00EA6756"/>
    <w:rsid w:val="00ED2E4A"/>
    <w:rsid w:val="00F0555D"/>
    <w:rsid w:val="00F5016D"/>
    <w:rsid w:val="00F626B3"/>
    <w:rsid w:val="00F62839"/>
    <w:rsid w:val="00F63181"/>
    <w:rsid w:val="00F7130B"/>
    <w:rsid w:val="00F76C5E"/>
    <w:rsid w:val="00FA154C"/>
    <w:rsid w:val="00FA264B"/>
    <w:rsid w:val="00FA6B8C"/>
    <w:rsid w:val="00FB24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9246"/>
  <w15:chartTrackingRefBased/>
  <w15:docId w15:val="{54DC1D81-174C-9D41-A44B-9119CF2D2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3"/>
    <w:next w:val="Normal"/>
    <w:link w:val="Heading1Char"/>
    <w:uiPriority w:val="9"/>
    <w:qFormat/>
    <w:rsid w:val="009D240C"/>
    <w:pPr>
      <w:outlineLvl w:val="0"/>
    </w:pPr>
    <w:rPr>
      <w:color w:val="00AAA3"/>
    </w:rPr>
  </w:style>
  <w:style w:type="paragraph" w:styleId="Heading2">
    <w:name w:val="heading 2"/>
    <w:basedOn w:val="Heading4"/>
    <w:next w:val="Normal"/>
    <w:link w:val="Heading2Char"/>
    <w:uiPriority w:val="9"/>
    <w:unhideWhenUsed/>
    <w:qFormat/>
    <w:rsid w:val="009D240C"/>
    <w:pPr>
      <w:outlineLvl w:val="1"/>
    </w:pPr>
    <w:rPr>
      <w:color w:val="00AAA3"/>
    </w:rPr>
  </w:style>
  <w:style w:type="paragraph" w:styleId="Heading3">
    <w:name w:val="heading 3"/>
    <w:basedOn w:val="Normal"/>
    <w:next w:val="Normal"/>
    <w:link w:val="Heading3Char"/>
    <w:uiPriority w:val="9"/>
    <w:semiHidden/>
    <w:unhideWhenUsed/>
    <w:qFormat/>
    <w:rsid w:val="00E753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53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53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53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3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3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3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40C"/>
    <w:rPr>
      <w:rFonts w:eastAsiaTheme="majorEastAsia" w:cstheme="majorBidi"/>
      <w:color w:val="00AAA3"/>
      <w:sz w:val="28"/>
      <w:szCs w:val="28"/>
    </w:rPr>
  </w:style>
  <w:style w:type="character" w:customStyle="1" w:styleId="Heading2Char">
    <w:name w:val="Heading 2 Char"/>
    <w:basedOn w:val="DefaultParagraphFont"/>
    <w:link w:val="Heading2"/>
    <w:uiPriority w:val="9"/>
    <w:rsid w:val="009D240C"/>
    <w:rPr>
      <w:rFonts w:eastAsiaTheme="majorEastAsia" w:cstheme="majorBidi"/>
      <w:i/>
      <w:iCs/>
      <w:color w:val="00AAA3"/>
    </w:rPr>
  </w:style>
  <w:style w:type="character" w:customStyle="1" w:styleId="Heading3Char">
    <w:name w:val="Heading 3 Char"/>
    <w:basedOn w:val="DefaultParagraphFont"/>
    <w:link w:val="Heading3"/>
    <w:uiPriority w:val="9"/>
    <w:semiHidden/>
    <w:rsid w:val="00E753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53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53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53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3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3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303"/>
    <w:rPr>
      <w:rFonts w:eastAsiaTheme="majorEastAsia" w:cstheme="majorBidi"/>
      <w:color w:val="272727" w:themeColor="text1" w:themeTint="D8"/>
    </w:rPr>
  </w:style>
  <w:style w:type="paragraph" w:styleId="Title">
    <w:name w:val="Title"/>
    <w:basedOn w:val="Normal"/>
    <w:next w:val="Normal"/>
    <w:link w:val="TitleChar"/>
    <w:uiPriority w:val="10"/>
    <w:qFormat/>
    <w:rsid w:val="00E753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3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53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53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5303"/>
    <w:pPr>
      <w:spacing w:before="160"/>
      <w:jc w:val="center"/>
    </w:pPr>
    <w:rPr>
      <w:i/>
      <w:iCs/>
      <w:color w:val="404040" w:themeColor="text1" w:themeTint="BF"/>
    </w:rPr>
  </w:style>
  <w:style w:type="character" w:customStyle="1" w:styleId="QuoteChar">
    <w:name w:val="Quote Char"/>
    <w:basedOn w:val="DefaultParagraphFont"/>
    <w:link w:val="Quote"/>
    <w:uiPriority w:val="29"/>
    <w:rsid w:val="00E75303"/>
    <w:rPr>
      <w:i/>
      <w:iCs/>
      <w:color w:val="404040" w:themeColor="text1" w:themeTint="BF"/>
    </w:rPr>
  </w:style>
  <w:style w:type="paragraph" w:styleId="ListParagraph">
    <w:name w:val="List Paragraph"/>
    <w:basedOn w:val="Normal"/>
    <w:uiPriority w:val="34"/>
    <w:qFormat/>
    <w:rsid w:val="00E75303"/>
    <w:pPr>
      <w:ind w:left="720"/>
      <w:contextualSpacing/>
    </w:pPr>
  </w:style>
  <w:style w:type="character" w:styleId="IntenseEmphasis">
    <w:name w:val="Intense Emphasis"/>
    <w:basedOn w:val="DefaultParagraphFont"/>
    <w:uiPriority w:val="21"/>
    <w:qFormat/>
    <w:rsid w:val="00E75303"/>
    <w:rPr>
      <w:i/>
      <w:iCs/>
      <w:color w:val="0F4761" w:themeColor="accent1" w:themeShade="BF"/>
    </w:rPr>
  </w:style>
  <w:style w:type="paragraph" w:styleId="IntenseQuote">
    <w:name w:val="Intense Quote"/>
    <w:basedOn w:val="Normal"/>
    <w:next w:val="Normal"/>
    <w:link w:val="IntenseQuoteChar"/>
    <w:uiPriority w:val="30"/>
    <w:qFormat/>
    <w:rsid w:val="00E753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5303"/>
    <w:rPr>
      <w:i/>
      <w:iCs/>
      <w:color w:val="0F4761" w:themeColor="accent1" w:themeShade="BF"/>
    </w:rPr>
  </w:style>
  <w:style w:type="character" w:styleId="IntenseReference">
    <w:name w:val="Intense Reference"/>
    <w:basedOn w:val="DefaultParagraphFont"/>
    <w:uiPriority w:val="32"/>
    <w:qFormat/>
    <w:rsid w:val="00E75303"/>
    <w:rPr>
      <w:b/>
      <w:bCs/>
      <w:smallCaps/>
      <w:color w:val="0F4761" w:themeColor="accent1" w:themeShade="BF"/>
      <w:spacing w:val="5"/>
    </w:rPr>
  </w:style>
  <w:style w:type="paragraph" w:styleId="NormalWeb">
    <w:name w:val="Normal (Web)"/>
    <w:basedOn w:val="Normal"/>
    <w:uiPriority w:val="99"/>
    <w:semiHidden/>
    <w:unhideWhenUsed/>
    <w:rsid w:val="000B6936"/>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0B6936"/>
    <w:rPr>
      <w:b/>
      <w:bCs/>
    </w:rPr>
  </w:style>
  <w:style w:type="character" w:customStyle="1" w:styleId="apple-converted-space">
    <w:name w:val="apple-converted-space"/>
    <w:basedOn w:val="DefaultParagraphFont"/>
    <w:rsid w:val="000B6936"/>
  </w:style>
  <w:style w:type="character" w:styleId="Emphasis">
    <w:name w:val="Emphasis"/>
    <w:basedOn w:val="DefaultParagraphFont"/>
    <w:uiPriority w:val="20"/>
    <w:qFormat/>
    <w:rsid w:val="000B69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970930">
      <w:bodyDiv w:val="1"/>
      <w:marLeft w:val="0"/>
      <w:marRight w:val="0"/>
      <w:marTop w:val="0"/>
      <w:marBottom w:val="0"/>
      <w:divBdr>
        <w:top w:val="none" w:sz="0" w:space="0" w:color="auto"/>
        <w:left w:val="none" w:sz="0" w:space="0" w:color="auto"/>
        <w:bottom w:val="none" w:sz="0" w:space="0" w:color="auto"/>
        <w:right w:val="none" w:sz="0" w:space="0" w:color="auto"/>
      </w:divBdr>
      <w:divsChild>
        <w:div w:id="1128888725">
          <w:marLeft w:val="0"/>
          <w:marRight w:val="0"/>
          <w:marTop w:val="0"/>
          <w:marBottom w:val="0"/>
          <w:divBdr>
            <w:top w:val="none" w:sz="0" w:space="0" w:color="auto"/>
            <w:left w:val="none" w:sz="0" w:space="0" w:color="auto"/>
            <w:bottom w:val="none" w:sz="0" w:space="0" w:color="auto"/>
            <w:right w:val="none" w:sz="0" w:space="0" w:color="auto"/>
          </w:divBdr>
        </w:div>
      </w:divsChild>
    </w:div>
    <w:div w:id="970135456">
      <w:bodyDiv w:val="1"/>
      <w:marLeft w:val="0"/>
      <w:marRight w:val="0"/>
      <w:marTop w:val="0"/>
      <w:marBottom w:val="0"/>
      <w:divBdr>
        <w:top w:val="none" w:sz="0" w:space="0" w:color="auto"/>
        <w:left w:val="none" w:sz="0" w:space="0" w:color="auto"/>
        <w:bottom w:val="none" w:sz="0" w:space="0" w:color="auto"/>
        <w:right w:val="none" w:sz="0" w:space="0" w:color="auto"/>
      </w:divBdr>
    </w:div>
    <w:div w:id="1272858362">
      <w:bodyDiv w:val="1"/>
      <w:marLeft w:val="0"/>
      <w:marRight w:val="0"/>
      <w:marTop w:val="0"/>
      <w:marBottom w:val="0"/>
      <w:divBdr>
        <w:top w:val="none" w:sz="0" w:space="0" w:color="auto"/>
        <w:left w:val="none" w:sz="0" w:space="0" w:color="auto"/>
        <w:bottom w:val="none" w:sz="0" w:space="0" w:color="auto"/>
        <w:right w:val="none" w:sz="0" w:space="0" w:color="auto"/>
      </w:divBdr>
    </w:div>
    <w:div w:id="137816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487</Words>
  <Characters>2781</Characters>
  <Application>Microsoft Office Word</Application>
  <DocSecurity>0</DocSecurity>
  <Lines>23</Lines>
  <Paragraphs>6</Paragraphs>
  <ScaleCrop>false</ScaleCrop>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Mgboh, Amaka</dc:creator>
  <cp:keywords/>
  <dc:description/>
  <cp:lastModifiedBy>Microsoft Office User</cp:lastModifiedBy>
  <cp:revision>3</cp:revision>
  <cp:lastPrinted>2024-12-15T21:10:00Z</cp:lastPrinted>
  <dcterms:created xsi:type="dcterms:W3CDTF">2024-12-15T21:10:00Z</dcterms:created>
  <dcterms:modified xsi:type="dcterms:W3CDTF">2024-12-15T21:12:00Z</dcterms:modified>
</cp:coreProperties>
</file>