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3A" w:rsidRPr="009326AF" w:rsidRDefault="00762D3A" w:rsidP="00455B1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326AF">
        <w:rPr>
          <w:rFonts w:ascii="Times New Roman" w:hAnsi="Times New Roman" w:cs="Times New Roman"/>
          <w:sz w:val="24"/>
          <w:szCs w:val="24"/>
        </w:rPr>
        <w:t>EDLER, F. C. . A Medicina Brasileira no Século XIX: um balanço historiográfico. Asclépio Revista de Historia de La Medicina y de La Ciencia, Espanha, v. L, n.2, p. 169-186, 1998.</w:t>
      </w:r>
    </w:p>
    <w:p w:rsidR="00762D3A" w:rsidRPr="009326AF" w:rsidRDefault="00762D3A" w:rsidP="00455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EDD" w:rsidRPr="009326AF" w:rsidRDefault="00762D3A" w:rsidP="00455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6AF">
        <w:rPr>
          <w:rFonts w:ascii="Times New Roman" w:hAnsi="Times New Roman" w:cs="Times New Roman"/>
          <w:sz w:val="24"/>
          <w:szCs w:val="24"/>
        </w:rPr>
        <w:t>Um denominador comum aos estudos clássicos é o critério de periodização da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medicina oitocentista, cuja complexa trama de teorias etiológicas e práticas curativas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e terapêuticas foi abstraída sob a forma de uma dicotomia entre espíritos presos a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especulações metafísicas, </w:t>
      </w:r>
      <w:r w:rsidRPr="009326AF">
        <w:rPr>
          <w:rFonts w:ascii="Times New Roman" w:hAnsi="Times New Roman" w:cs="Times New Roman"/>
          <w:sz w:val="24"/>
          <w:szCs w:val="24"/>
        </w:rPr>
        <w:t xml:space="preserve">retóricos e anti-científicos </w:t>
      </w:r>
      <w:r w:rsidRPr="009326AF">
        <w:rPr>
          <w:rFonts w:ascii="Times New Roman" w:hAnsi="Times New Roman" w:cs="Times New Roman"/>
          <w:i/>
          <w:iCs/>
          <w:sz w:val="24"/>
          <w:szCs w:val="24"/>
        </w:rPr>
        <w:t xml:space="preserve">versus </w:t>
      </w:r>
      <w:r w:rsidRPr="009326AF">
        <w:rPr>
          <w:rFonts w:ascii="Times New Roman" w:hAnsi="Times New Roman" w:cs="Times New Roman"/>
          <w:sz w:val="24"/>
          <w:szCs w:val="24"/>
        </w:rPr>
        <w:t>espíritos científicos. P. 171</w:t>
      </w:r>
    </w:p>
    <w:p w:rsidR="00455B1A" w:rsidRPr="009326AF" w:rsidRDefault="00455B1A" w:rsidP="00455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D3A" w:rsidRPr="009326AF" w:rsidRDefault="00762D3A" w:rsidP="00455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6AF">
        <w:rPr>
          <w:rFonts w:ascii="Times New Roman" w:hAnsi="Times New Roman" w:cs="Times New Roman"/>
          <w:sz w:val="24"/>
          <w:szCs w:val="24"/>
        </w:rPr>
        <w:t>Não obstante o mérito de explorar novos modelos interpretativos sobre as relações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entre a medicina e o Estado naquele contexto, a utilização de princípios explicativos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muito gerais e a ausência de estudos históricos monográficos conduziu estes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autores a sujeitar a pouca documentação pesquisada às exigências de uma interpretação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totalizadora. Sem estabelecer novas evidências empíricas, estes trabalhos revisionistas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e muitas vezes iconoclastas serviram-se dos mesmos marcos cronológicos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levantados pelos estudos pioneiros. Ao invés de uma refutação da tese estabelecida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pela historiografia clássica, articulou-se analiticamente de um modo diverso os termos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do corte, reproduzindo de forma acrítica a demarcação positivista que se pretendia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combater. P. 173</w:t>
      </w:r>
    </w:p>
    <w:p w:rsidR="00455B1A" w:rsidRPr="009326AF" w:rsidRDefault="00455B1A" w:rsidP="00455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D3A" w:rsidRPr="009326AF" w:rsidRDefault="00762D3A" w:rsidP="00455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6AF">
        <w:rPr>
          <w:rFonts w:ascii="Times New Roman" w:hAnsi="Times New Roman" w:cs="Times New Roman"/>
          <w:sz w:val="24"/>
          <w:szCs w:val="24"/>
        </w:rPr>
        <w:t>Chalhoub, um historiador atento ao cotidiano das classes populares, realizou recentemente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uma vigorosa contribuição para a recuperação de aspectos das concepções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populares sobre doença e cura e sua relação com as práticas higiénicas oficiais,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durante o século XIX. P. 181</w:t>
      </w:r>
    </w:p>
    <w:p w:rsidR="00455B1A" w:rsidRPr="009326AF" w:rsidRDefault="00455B1A" w:rsidP="00455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6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D3A" w:rsidRPr="009326AF" w:rsidRDefault="00762D3A" w:rsidP="00455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6AF">
        <w:rPr>
          <w:rFonts w:ascii="Times New Roman" w:hAnsi="Times New Roman" w:cs="Times New Roman"/>
          <w:sz w:val="24"/>
          <w:szCs w:val="24"/>
        </w:rPr>
        <w:t>Pública. O alcance real das práticas higienistas e as respostas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sociais às políticas de saúde pública tomaram-se preocupações intrínsecas ao seu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projeto. Três hipóteses foram, então, construídas e meticulosamente esmiuçadas. A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primeira, discorre sobre o conteúdo político do debate em tomo da Febre Amarela.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Para personagens eminentes do tempo de D. Pedro II, cortiços e epidemias de febre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 xml:space="preserve">amarela eram indissociáveis. As "classes perigosas", o seriam duplamente </w:t>
      </w:r>
      <w:r w:rsidRPr="009326AF">
        <w:rPr>
          <w:rFonts w:ascii="Times New Roman" w:hAnsi="Times New Roman" w:cs="Times New Roman"/>
          <w:i/>
          <w:iCs/>
          <w:sz w:val="24"/>
          <w:szCs w:val="24"/>
        </w:rPr>
        <w:t>"porque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i/>
          <w:iCs/>
          <w:sz w:val="24"/>
          <w:szCs w:val="24"/>
        </w:rPr>
        <w:t>propagavam a doença e desafiavam as políticas de controle social do meio urbano''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(CHALUOB, 1996: 8) p.181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 xml:space="preserve">CHALHUOB, S. (1996) </w:t>
      </w:r>
      <w:r w:rsidRPr="009326AF">
        <w:rPr>
          <w:rFonts w:ascii="Times New Roman" w:hAnsi="Times New Roman" w:cs="Times New Roman"/>
          <w:i/>
          <w:iCs/>
          <w:sz w:val="24"/>
          <w:szCs w:val="24"/>
        </w:rPr>
        <w:t xml:space="preserve">Cidade Fabril: cortiços e epidemias na Corte imperial. </w:t>
      </w:r>
      <w:r w:rsidRPr="009326AF">
        <w:rPr>
          <w:rFonts w:ascii="Times New Roman" w:hAnsi="Times New Roman" w:cs="Times New Roman"/>
          <w:sz w:val="24"/>
          <w:szCs w:val="24"/>
        </w:rPr>
        <w:t>São Paulo, Companhia</w:t>
      </w:r>
      <w:r w:rsidR="00455B1A" w:rsidRPr="009326AF">
        <w:rPr>
          <w:rFonts w:ascii="Times New Roman" w:hAnsi="Times New Roman" w:cs="Times New Roman"/>
          <w:sz w:val="24"/>
          <w:szCs w:val="24"/>
        </w:rPr>
        <w:t xml:space="preserve"> </w:t>
      </w:r>
      <w:r w:rsidRPr="009326AF">
        <w:rPr>
          <w:rFonts w:ascii="Times New Roman" w:hAnsi="Times New Roman" w:cs="Times New Roman"/>
          <w:sz w:val="24"/>
          <w:szCs w:val="24"/>
        </w:rPr>
        <w:t>das Letras</w:t>
      </w:r>
    </w:p>
    <w:bookmarkEnd w:id="0"/>
    <w:p w:rsidR="00762D3A" w:rsidRPr="009326AF" w:rsidRDefault="00762D3A" w:rsidP="00762D3A"/>
    <w:sectPr w:rsidR="00762D3A" w:rsidRPr="009326AF" w:rsidSect="00502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2D3A"/>
    <w:rsid w:val="0018524F"/>
    <w:rsid w:val="00455B1A"/>
    <w:rsid w:val="005021CC"/>
    <w:rsid w:val="005554C4"/>
    <w:rsid w:val="00683C2E"/>
    <w:rsid w:val="00762D3A"/>
    <w:rsid w:val="007B0E92"/>
    <w:rsid w:val="0093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1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Gouveia</cp:lastModifiedBy>
  <cp:revision>7</cp:revision>
  <dcterms:created xsi:type="dcterms:W3CDTF">2018-09-20T13:49:00Z</dcterms:created>
  <dcterms:modified xsi:type="dcterms:W3CDTF">2020-02-20T00:54:00Z</dcterms:modified>
</cp:coreProperties>
</file>