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CD" w:rsidRDefault="0072275A" w:rsidP="0072275A">
      <w:pPr>
        <w:jc w:val="both"/>
        <w:rPr>
          <w:rFonts w:ascii="Times New Roman" w:hAnsi="Times New Roman" w:cs="Times New Roman"/>
          <w:sz w:val="24"/>
          <w:szCs w:val="24"/>
        </w:rPr>
      </w:pPr>
      <w:r w:rsidRPr="0072275A">
        <w:rPr>
          <w:rFonts w:ascii="Times New Roman" w:hAnsi="Times New Roman" w:cs="Times New Roman"/>
          <w:sz w:val="24"/>
          <w:szCs w:val="24"/>
        </w:rPr>
        <w:t xml:space="preserve">NAPOLITANO, M. </w:t>
      </w:r>
      <w:proofErr w:type="gramStart"/>
      <w:r w:rsidRPr="0072275A">
        <w:rPr>
          <w:rFonts w:ascii="Times New Roman" w:hAnsi="Times New Roman" w:cs="Times New Roman"/>
          <w:sz w:val="24"/>
          <w:szCs w:val="24"/>
        </w:rPr>
        <w:t>N. .</w:t>
      </w:r>
      <w:proofErr w:type="gramEnd"/>
      <w:r w:rsidRPr="0072275A">
        <w:rPr>
          <w:rFonts w:ascii="Times New Roman" w:hAnsi="Times New Roman" w:cs="Times New Roman"/>
          <w:sz w:val="24"/>
          <w:szCs w:val="24"/>
        </w:rPr>
        <w:t xml:space="preserve"> O médico e a mulher na sociedade carioca oitocentista. In: XIV Encontro de Estudos Populacionais (ABEP), 2004, </w:t>
      </w:r>
      <w:proofErr w:type="spellStart"/>
      <w:r w:rsidRPr="0072275A">
        <w:rPr>
          <w:rFonts w:ascii="Times New Roman" w:hAnsi="Times New Roman" w:cs="Times New Roman"/>
          <w:sz w:val="24"/>
          <w:szCs w:val="24"/>
        </w:rPr>
        <w:t>Caxambú</w:t>
      </w:r>
      <w:proofErr w:type="spellEnd"/>
      <w:r w:rsidRPr="0072275A">
        <w:rPr>
          <w:rFonts w:ascii="Times New Roman" w:hAnsi="Times New Roman" w:cs="Times New Roman"/>
          <w:sz w:val="24"/>
          <w:szCs w:val="24"/>
        </w:rPr>
        <w:t xml:space="preserve"> - MG. ST16-(GEN) Sexualidades, 2004.</w:t>
      </w:r>
    </w:p>
    <w:p w:rsidR="009E3443" w:rsidRDefault="009E3443" w:rsidP="0097708A">
      <w:pPr>
        <w:pStyle w:val="Default"/>
        <w:jc w:val="both"/>
        <w:rPr>
          <w:sz w:val="23"/>
          <w:szCs w:val="23"/>
        </w:rPr>
      </w:pPr>
      <w:bookmarkStart w:id="0" w:name="_GoBack"/>
      <w:r>
        <w:t>“</w:t>
      </w:r>
      <w:r>
        <w:rPr>
          <w:sz w:val="23"/>
          <w:szCs w:val="23"/>
        </w:rPr>
        <w:t xml:space="preserve">Desde então, ao que </w:t>
      </w:r>
      <w:proofErr w:type="gramStart"/>
      <w:r>
        <w:rPr>
          <w:sz w:val="23"/>
          <w:szCs w:val="23"/>
        </w:rPr>
        <w:t>parece</w:t>
      </w:r>
      <w:proofErr w:type="gramEnd"/>
      <w:r>
        <w:rPr>
          <w:sz w:val="23"/>
          <w:szCs w:val="23"/>
        </w:rPr>
        <w:t>, as relações sexuais femininas deixaram de ser discutidas no Brasil, e pouca atenção foi despendida a elas até o século XIX, quando, com a ascensão da classe médica, voltaram a ser tema amplamente discutido pela sociedade, sobretudo em razão das teses da Faculdade de Medicina do Rio de Janeiro e, também, da literatura desse período.”</w:t>
      </w:r>
      <w:r w:rsidR="0097708A" w:rsidRPr="0097708A">
        <w:rPr>
          <w:sz w:val="23"/>
          <w:szCs w:val="23"/>
        </w:rPr>
        <w:t xml:space="preserve"> </w:t>
      </w:r>
      <w:r w:rsidR="0097708A">
        <w:rPr>
          <w:sz w:val="23"/>
          <w:szCs w:val="23"/>
        </w:rPr>
        <w:t>(NAPOLITANO, 2004.</w:t>
      </w:r>
      <w:r w:rsidR="0097708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p. 8</w:t>
      </w:r>
      <w:r w:rsidR="0097708A">
        <w:rPr>
          <w:sz w:val="23"/>
          <w:szCs w:val="23"/>
        </w:rPr>
        <w:t>)</w:t>
      </w:r>
    </w:p>
    <w:p w:rsidR="0097708A" w:rsidRPr="0097708A" w:rsidRDefault="0097708A" w:rsidP="0097708A">
      <w:pPr>
        <w:pStyle w:val="Default"/>
        <w:jc w:val="both"/>
      </w:pPr>
    </w:p>
    <w:p w:rsidR="003F46DE" w:rsidRDefault="003F46DE" w:rsidP="0097708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“A denominação “sexualidade lésbica” não existia, nem mesmo “lésbicas”. Essa palavra, a propósito, não foi usada habitualmente até o século XIX e era mais aplicada a uma série de atos do que a uma categoria de pessoas. Essas mulheres eram chamadas </w:t>
      </w:r>
      <w:proofErr w:type="spellStart"/>
      <w:r>
        <w:rPr>
          <w:sz w:val="23"/>
          <w:szCs w:val="23"/>
        </w:rPr>
        <w:t>fricatrices</w:t>
      </w:r>
      <w:proofErr w:type="spellEnd"/>
      <w:r>
        <w:rPr>
          <w:sz w:val="23"/>
          <w:szCs w:val="23"/>
        </w:rPr>
        <w:t xml:space="preserve"> ou </w:t>
      </w:r>
      <w:proofErr w:type="spellStart"/>
      <w:r>
        <w:rPr>
          <w:sz w:val="23"/>
          <w:szCs w:val="23"/>
        </w:rPr>
        <w:t>tríbades</w:t>
      </w:r>
      <w:proofErr w:type="spellEnd"/>
      <w:r>
        <w:rPr>
          <w:sz w:val="23"/>
          <w:szCs w:val="23"/>
        </w:rPr>
        <w:t xml:space="preserve">.” </w:t>
      </w:r>
      <w:r w:rsidR="0097708A">
        <w:rPr>
          <w:sz w:val="23"/>
          <w:szCs w:val="23"/>
        </w:rPr>
        <w:t>(</w:t>
      </w:r>
      <w:proofErr w:type="gramStart"/>
      <w:r w:rsidR="0097708A">
        <w:rPr>
          <w:sz w:val="23"/>
          <w:szCs w:val="23"/>
        </w:rPr>
        <w:t>NAPOLITANO, 2004</w:t>
      </w:r>
      <w:proofErr w:type="gramEnd"/>
      <w:r w:rsidR="0097708A">
        <w:rPr>
          <w:sz w:val="23"/>
          <w:szCs w:val="23"/>
        </w:rPr>
        <w:t>.</w:t>
      </w:r>
      <w:r w:rsidR="0097708A">
        <w:rPr>
          <w:sz w:val="23"/>
          <w:szCs w:val="23"/>
        </w:rPr>
        <w:t xml:space="preserve"> </w:t>
      </w:r>
      <w:r>
        <w:rPr>
          <w:sz w:val="23"/>
          <w:szCs w:val="23"/>
        </w:rPr>
        <w:t>p.22</w:t>
      </w:r>
      <w:r w:rsidR="0097708A">
        <w:rPr>
          <w:sz w:val="23"/>
          <w:szCs w:val="23"/>
        </w:rPr>
        <w:t>)</w:t>
      </w:r>
    </w:p>
    <w:p w:rsidR="0097708A" w:rsidRPr="0097708A" w:rsidRDefault="0097708A" w:rsidP="0097708A">
      <w:pPr>
        <w:pStyle w:val="Default"/>
        <w:jc w:val="both"/>
      </w:pPr>
    </w:p>
    <w:p w:rsidR="009E3443" w:rsidRDefault="009E3443" w:rsidP="0097708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“</w:t>
      </w:r>
      <w:r w:rsidR="00517554">
        <w:rPr>
          <w:sz w:val="23"/>
          <w:szCs w:val="23"/>
        </w:rPr>
        <w:t xml:space="preserve">Aliás, era com essa finalidade que, aos olhos médicos, um homem e uma mulher se uniam matrimonialmente, para gerar e criar filhos para a nação. Logicamente, todo o comportamento social que fugisse a essas regras era veementemente combatido, como, por exemplo, o comportamento dos homossexuais, das prostitutas, dos celibatários, nas ninfomaníacas, dos alcoólatras, dos libertinos, dentre muitos outros.” </w:t>
      </w:r>
      <w:r w:rsidR="0097708A">
        <w:rPr>
          <w:sz w:val="23"/>
          <w:szCs w:val="23"/>
        </w:rPr>
        <w:t>(</w:t>
      </w:r>
      <w:proofErr w:type="gramStart"/>
      <w:r w:rsidR="0097708A">
        <w:rPr>
          <w:sz w:val="23"/>
          <w:szCs w:val="23"/>
        </w:rPr>
        <w:t>NAPOLITANO, 2004</w:t>
      </w:r>
      <w:proofErr w:type="gramEnd"/>
      <w:r w:rsidR="0097708A">
        <w:rPr>
          <w:sz w:val="23"/>
          <w:szCs w:val="23"/>
        </w:rPr>
        <w:t>.</w:t>
      </w:r>
      <w:r w:rsidR="0097708A">
        <w:rPr>
          <w:sz w:val="23"/>
          <w:szCs w:val="23"/>
        </w:rPr>
        <w:t xml:space="preserve"> </w:t>
      </w:r>
      <w:r w:rsidR="00517554">
        <w:rPr>
          <w:sz w:val="23"/>
          <w:szCs w:val="23"/>
        </w:rPr>
        <w:t>p. 31</w:t>
      </w:r>
      <w:r w:rsidR="0097708A">
        <w:rPr>
          <w:sz w:val="23"/>
          <w:szCs w:val="23"/>
        </w:rPr>
        <w:t>)</w:t>
      </w:r>
    </w:p>
    <w:p w:rsidR="0097708A" w:rsidRPr="0097708A" w:rsidRDefault="0097708A" w:rsidP="0097708A">
      <w:pPr>
        <w:pStyle w:val="Default"/>
        <w:jc w:val="both"/>
      </w:pPr>
    </w:p>
    <w:p w:rsidR="00517554" w:rsidRDefault="00517554" w:rsidP="0097708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“[...</w:t>
      </w:r>
      <w:proofErr w:type="gramStart"/>
      <w:r>
        <w:rPr>
          <w:sz w:val="23"/>
          <w:szCs w:val="23"/>
        </w:rPr>
        <w:t>]além</w:t>
      </w:r>
      <w:proofErr w:type="gramEnd"/>
      <w:r>
        <w:rPr>
          <w:sz w:val="23"/>
          <w:szCs w:val="23"/>
        </w:rPr>
        <w:t xml:space="preserve"> do espaço familiar, era preciso atuar em outras áreas, fora das casas, como, por exemplo, nas ruas, onde proliferavam as excitações (bailes, saraus, teatros, romances, cafés e tudo aquilo que estimulava e aguçava a imaginação) que poderiam conduzir o indivíduo a pensamentos confusos, à fantasia e daí à loucura.” </w:t>
      </w:r>
      <w:r w:rsidR="0097708A">
        <w:rPr>
          <w:sz w:val="23"/>
          <w:szCs w:val="23"/>
        </w:rPr>
        <w:t>(NAPOLITANO, 2004.</w:t>
      </w:r>
      <w:r w:rsidR="0097708A">
        <w:rPr>
          <w:sz w:val="23"/>
          <w:szCs w:val="23"/>
        </w:rPr>
        <w:t xml:space="preserve"> </w:t>
      </w:r>
      <w:r>
        <w:rPr>
          <w:sz w:val="23"/>
          <w:szCs w:val="23"/>
        </w:rPr>
        <w:t>p. 32</w:t>
      </w:r>
      <w:r w:rsidR="0097708A">
        <w:rPr>
          <w:sz w:val="23"/>
          <w:szCs w:val="23"/>
        </w:rPr>
        <w:t>)</w:t>
      </w:r>
    </w:p>
    <w:p w:rsidR="0097708A" w:rsidRPr="0097708A" w:rsidRDefault="0097708A" w:rsidP="0097708A">
      <w:pPr>
        <w:pStyle w:val="Default"/>
        <w:jc w:val="both"/>
      </w:pPr>
    </w:p>
    <w:p w:rsidR="00EC525B" w:rsidRDefault="00EC525B" w:rsidP="0097708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“</w:t>
      </w:r>
      <w:r w:rsidR="00C90F61">
        <w:rPr>
          <w:sz w:val="23"/>
          <w:szCs w:val="23"/>
        </w:rPr>
        <w:t xml:space="preserve">os sodomitas masculinos e femininos, agora denominados de pederastas, </w:t>
      </w:r>
      <w:proofErr w:type="spellStart"/>
      <w:r w:rsidR="00C90F61">
        <w:rPr>
          <w:sz w:val="23"/>
          <w:szCs w:val="23"/>
        </w:rPr>
        <w:t>tríbades</w:t>
      </w:r>
      <w:proofErr w:type="spellEnd"/>
      <w:r w:rsidR="00C90F61">
        <w:rPr>
          <w:sz w:val="23"/>
          <w:szCs w:val="23"/>
        </w:rPr>
        <w:t>, safistas ou lésbicas, se para a Igreja eram pecadores que atentavam contra as leis de Deus – pecadores horrendos e merecedores de punições e até mesmo do fogo do inferno, para os médicos, tais indivíduos eram desviantes, eram portadores de uma doença moral que mereciam diagnóstico, profilaxia e tratamento.</w:t>
      </w:r>
      <w:r w:rsidR="0097708A">
        <w:rPr>
          <w:sz w:val="23"/>
          <w:szCs w:val="23"/>
        </w:rPr>
        <w:t>”</w:t>
      </w:r>
      <w:r w:rsidR="00C90F61">
        <w:rPr>
          <w:sz w:val="23"/>
          <w:szCs w:val="23"/>
        </w:rPr>
        <w:t xml:space="preserve"> </w:t>
      </w:r>
      <w:r w:rsidR="0097708A">
        <w:rPr>
          <w:sz w:val="23"/>
          <w:szCs w:val="23"/>
        </w:rPr>
        <w:t>(</w:t>
      </w:r>
      <w:proofErr w:type="gramStart"/>
      <w:r w:rsidR="0097708A">
        <w:rPr>
          <w:sz w:val="23"/>
          <w:szCs w:val="23"/>
        </w:rPr>
        <w:t>NAPOLITANO, 2004</w:t>
      </w:r>
      <w:proofErr w:type="gramEnd"/>
      <w:r w:rsidR="0097708A">
        <w:rPr>
          <w:sz w:val="23"/>
          <w:szCs w:val="23"/>
        </w:rPr>
        <w:t>.</w:t>
      </w:r>
      <w:r w:rsidR="0097708A">
        <w:rPr>
          <w:sz w:val="23"/>
          <w:szCs w:val="23"/>
        </w:rPr>
        <w:t xml:space="preserve"> </w:t>
      </w:r>
      <w:r w:rsidR="00C90F61">
        <w:rPr>
          <w:sz w:val="23"/>
          <w:szCs w:val="23"/>
        </w:rPr>
        <w:t>p. 33</w:t>
      </w:r>
      <w:r w:rsidR="0097708A">
        <w:rPr>
          <w:sz w:val="23"/>
          <w:szCs w:val="23"/>
        </w:rPr>
        <w:t>)</w:t>
      </w:r>
    </w:p>
    <w:p w:rsidR="0097708A" w:rsidRPr="0097708A" w:rsidRDefault="0097708A" w:rsidP="0097708A">
      <w:pPr>
        <w:pStyle w:val="Default"/>
        <w:jc w:val="both"/>
      </w:pPr>
    </w:p>
    <w:p w:rsidR="0097708A" w:rsidRPr="00EE08BF" w:rsidRDefault="00C90F61" w:rsidP="0097708A">
      <w:pPr>
        <w:pStyle w:val="Default"/>
        <w:jc w:val="both"/>
      </w:pPr>
      <w:r>
        <w:rPr>
          <w:sz w:val="23"/>
          <w:szCs w:val="23"/>
        </w:rPr>
        <w:t>“</w:t>
      </w:r>
      <w:r w:rsidR="00AC463C">
        <w:rPr>
          <w:sz w:val="23"/>
          <w:szCs w:val="23"/>
        </w:rPr>
        <w:t>Toda essa discussão em torno do papel da mulher na sociedade, seu comportamento social e sexual, seus hábitos, sua vida em geral foram amplamente discutidos pelos doutores do século XIX e os "vícios" femininos intensamente combatidos.</w:t>
      </w:r>
      <w:r w:rsidR="0097708A">
        <w:rPr>
          <w:sz w:val="23"/>
          <w:szCs w:val="23"/>
        </w:rPr>
        <w:t>”</w:t>
      </w:r>
      <w:r w:rsidR="00AC463C">
        <w:rPr>
          <w:sz w:val="23"/>
          <w:szCs w:val="23"/>
        </w:rPr>
        <w:t xml:space="preserve"> </w:t>
      </w:r>
      <w:proofErr w:type="gramStart"/>
      <w:r w:rsidR="0097708A">
        <w:rPr>
          <w:sz w:val="23"/>
          <w:szCs w:val="23"/>
        </w:rPr>
        <w:t>(NAPOLITANO, 2004.</w:t>
      </w:r>
      <w:proofErr w:type="gramEnd"/>
    </w:p>
    <w:p w:rsidR="00C90F61" w:rsidRDefault="0097708A" w:rsidP="0072275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 w:rsidR="00AC463C">
        <w:rPr>
          <w:sz w:val="23"/>
          <w:szCs w:val="23"/>
        </w:rPr>
        <w:t>p.</w:t>
      </w:r>
      <w:proofErr w:type="gramEnd"/>
      <w:r w:rsidR="00AC463C">
        <w:rPr>
          <w:sz w:val="23"/>
          <w:szCs w:val="23"/>
        </w:rPr>
        <w:t>50</w:t>
      </w:r>
      <w:r>
        <w:rPr>
          <w:sz w:val="23"/>
          <w:szCs w:val="23"/>
        </w:rPr>
        <w:t>)</w:t>
      </w:r>
    </w:p>
    <w:p w:rsidR="00A463D6" w:rsidRPr="0097708A" w:rsidRDefault="00A463D6" w:rsidP="00A463D6">
      <w:pPr>
        <w:pStyle w:val="Default"/>
        <w:jc w:val="both"/>
      </w:pPr>
      <w:r>
        <w:rPr>
          <w:sz w:val="23"/>
          <w:szCs w:val="23"/>
        </w:rPr>
        <w:t xml:space="preserve">“Contudo, com a generalização das modas européias e com a crescente urbanização ao longo do século XIX, a dona de casa ortodoxamente patriarcal foi sendo </w:t>
      </w:r>
      <w:proofErr w:type="gramStart"/>
      <w:r>
        <w:rPr>
          <w:sz w:val="23"/>
          <w:szCs w:val="23"/>
        </w:rPr>
        <w:t>substituída</w:t>
      </w:r>
      <w:proofErr w:type="gramEnd"/>
      <w:r>
        <w:rPr>
          <w:sz w:val="23"/>
          <w:szCs w:val="23"/>
        </w:rPr>
        <w:t xml:space="preserve"> por um tipo de mulher menos servil e mais mundana, mulheres que acordavam tarde por terem ido ao teatro ou a um baile na noite anterior, que liam romances, que olhavam a rua da janela ou da varanda de casa, que aprendiam piano, música e dança, etc. A mulher mórbida e gorda, esteticamente mal vista pela sociedade, foi tendo suas imperfeições corrigidas por meio de espartilhos e cosméticos, lançando mão de dentes e cabelos postiços, tintas para cabelos, entre outros recursos vindos da Europa.” </w:t>
      </w:r>
      <w:r w:rsidR="0097708A">
        <w:rPr>
          <w:sz w:val="23"/>
          <w:szCs w:val="23"/>
        </w:rPr>
        <w:t>(NAPOLITANO, 2004.</w:t>
      </w:r>
      <w:r w:rsidR="0097708A">
        <w:t xml:space="preserve"> </w:t>
      </w:r>
      <w:r>
        <w:rPr>
          <w:sz w:val="23"/>
          <w:szCs w:val="23"/>
        </w:rPr>
        <w:t>p. 52</w:t>
      </w:r>
      <w:r w:rsidR="0097708A">
        <w:rPr>
          <w:sz w:val="23"/>
          <w:szCs w:val="23"/>
        </w:rPr>
        <w:t>)</w:t>
      </w:r>
    </w:p>
    <w:p w:rsidR="00A463D6" w:rsidRDefault="00A463D6" w:rsidP="00A463D6">
      <w:pPr>
        <w:pStyle w:val="Default"/>
        <w:jc w:val="both"/>
        <w:rPr>
          <w:sz w:val="23"/>
          <w:szCs w:val="23"/>
        </w:rPr>
      </w:pPr>
    </w:p>
    <w:p w:rsidR="00A463D6" w:rsidRPr="00F54AF3" w:rsidRDefault="00A463D6" w:rsidP="00A463D6">
      <w:pPr>
        <w:pStyle w:val="Default"/>
        <w:jc w:val="both"/>
        <w:rPr>
          <w:color w:val="3333FF"/>
        </w:rPr>
      </w:pPr>
      <w:r>
        <w:rPr>
          <w:sz w:val="23"/>
          <w:szCs w:val="23"/>
        </w:rPr>
        <w:t>“</w:t>
      </w:r>
      <w:r w:rsidR="00B406D1">
        <w:rPr>
          <w:sz w:val="23"/>
          <w:szCs w:val="23"/>
        </w:rPr>
        <w:t xml:space="preserve">O discurso médico estabelecido a </w:t>
      </w:r>
      <w:r w:rsidR="00B406D1" w:rsidRPr="00F54AF3">
        <w:rPr>
          <w:color w:val="3333FF"/>
          <w:sz w:val="23"/>
          <w:szCs w:val="23"/>
        </w:rPr>
        <w:t xml:space="preserve">respeito do lesbianismo no século XIX, procurou enquadrar as praticantes desse vício em duas categorias, a das safistas e a das </w:t>
      </w:r>
      <w:proofErr w:type="spellStart"/>
      <w:r w:rsidR="00B406D1" w:rsidRPr="00F54AF3">
        <w:rPr>
          <w:color w:val="3333FF"/>
          <w:sz w:val="23"/>
          <w:szCs w:val="23"/>
        </w:rPr>
        <w:t>tribadistas</w:t>
      </w:r>
      <w:proofErr w:type="spellEnd"/>
      <w:r w:rsidR="00B406D1" w:rsidRPr="00F54AF3">
        <w:rPr>
          <w:color w:val="3333FF"/>
          <w:sz w:val="23"/>
          <w:szCs w:val="23"/>
        </w:rPr>
        <w:t xml:space="preserve">. O </w:t>
      </w:r>
      <w:proofErr w:type="spellStart"/>
      <w:r w:rsidR="00B406D1" w:rsidRPr="00F54AF3">
        <w:rPr>
          <w:color w:val="3333FF"/>
          <w:sz w:val="23"/>
          <w:szCs w:val="23"/>
        </w:rPr>
        <w:t>tribadismo</w:t>
      </w:r>
      <w:proofErr w:type="spellEnd"/>
      <w:r w:rsidR="00B406D1" w:rsidRPr="00F54AF3">
        <w:rPr>
          <w:color w:val="3333FF"/>
          <w:sz w:val="23"/>
          <w:szCs w:val="23"/>
        </w:rPr>
        <w:t xml:space="preserve"> era característico das moças virgens – até porque não representava risco nenhum à sua virgindade – e o </w:t>
      </w:r>
      <w:proofErr w:type="spellStart"/>
      <w:r w:rsidR="00B406D1" w:rsidRPr="00F54AF3">
        <w:rPr>
          <w:color w:val="3333FF"/>
          <w:sz w:val="23"/>
          <w:szCs w:val="23"/>
        </w:rPr>
        <w:t>safismo</w:t>
      </w:r>
      <w:proofErr w:type="spellEnd"/>
      <w:r w:rsidR="00B406D1" w:rsidRPr="00F54AF3">
        <w:rPr>
          <w:color w:val="3333FF"/>
          <w:sz w:val="23"/>
          <w:szCs w:val="23"/>
        </w:rPr>
        <w:t xml:space="preserve"> das mulheres mundanas, prostitutas, que buscavam novos meios para satisfazer seus desejos.” </w:t>
      </w:r>
      <w:r w:rsidR="0097708A" w:rsidRPr="00F54AF3">
        <w:rPr>
          <w:color w:val="3333FF"/>
          <w:sz w:val="23"/>
          <w:szCs w:val="23"/>
        </w:rPr>
        <w:t>(</w:t>
      </w:r>
      <w:proofErr w:type="gramStart"/>
      <w:r w:rsidR="0097708A" w:rsidRPr="00F54AF3">
        <w:rPr>
          <w:color w:val="3333FF"/>
          <w:sz w:val="23"/>
          <w:szCs w:val="23"/>
        </w:rPr>
        <w:t>NAPOLITANO, 2004</w:t>
      </w:r>
      <w:proofErr w:type="gramEnd"/>
      <w:r w:rsidR="0097708A" w:rsidRPr="00F54AF3">
        <w:rPr>
          <w:color w:val="3333FF"/>
          <w:sz w:val="23"/>
          <w:szCs w:val="23"/>
        </w:rPr>
        <w:t>.</w:t>
      </w:r>
      <w:r w:rsidR="0097708A" w:rsidRPr="00F54AF3">
        <w:rPr>
          <w:color w:val="3333FF"/>
        </w:rPr>
        <w:t xml:space="preserve"> </w:t>
      </w:r>
      <w:r w:rsidR="00B406D1" w:rsidRPr="00F54AF3">
        <w:rPr>
          <w:color w:val="3333FF"/>
          <w:sz w:val="23"/>
          <w:szCs w:val="23"/>
        </w:rPr>
        <w:t>p.78</w:t>
      </w:r>
      <w:r w:rsidR="0097708A" w:rsidRPr="00F54AF3">
        <w:rPr>
          <w:color w:val="3333FF"/>
          <w:sz w:val="23"/>
          <w:szCs w:val="23"/>
        </w:rPr>
        <w:t>)</w:t>
      </w:r>
    </w:p>
    <w:bookmarkEnd w:id="0"/>
    <w:p w:rsidR="00B406D1" w:rsidRPr="00F54AF3" w:rsidRDefault="00B406D1" w:rsidP="00A463D6">
      <w:pPr>
        <w:pStyle w:val="Default"/>
        <w:jc w:val="both"/>
        <w:rPr>
          <w:color w:val="3333FF"/>
          <w:sz w:val="23"/>
          <w:szCs w:val="23"/>
        </w:rPr>
      </w:pPr>
    </w:p>
    <w:p w:rsidR="00B406D1" w:rsidRPr="00F54AF3" w:rsidRDefault="00B406D1" w:rsidP="00A463D6">
      <w:pPr>
        <w:pStyle w:val="Default"/>
        <w:jc w:val="both"/>
        <w:rPr>
          <w:color w:val="3333FF"/>
        </w:rPr>
      </w:pPr>
      <w:r w:rsidRPr="00F54AF3">
        <w:rPr>
          <w:color w:val="3333FF"/>
          <w:sz w:val="23"/>
          <w:szCs w:val="23"/>
        </w:rPr>
        <w:t>“[...</w:t>
      </w:r>
      <w:proofErr w:type="gramStart"/>
      <w:r w:rsidRPr="00F54AF3">
        <w:rPr>
          <w:color w:val="3333FF"/>
          <w:sz w:val="23"/>
          <w:szCs w:val="23"/>
        </w:rPr>
        <w:t>]houve</w:t>
      </w:r>
      <w:proofErr w:type="gramEnd"/>
      <w:r w:rsidRPr="00F54AF3">
        <w:rPr>
          <w:color w:val="3333FF"/>
          <w:sz w:val="23"/>
          <w:szCs w:val="23"/>
        </w:rPr>
        <w:t xml:space="preserve"> casos de mulheres que chegaram a se apaixonar por outras mulheres e, quando foram correspondidas, houve até a formação de lares e a coabitação. Porém, nesse caso, a categoria que predominava era a das safistas, quando uma mulher exercia o papel de ativa e a outra o papel de passiva.</w:t>
      </w:r>
      <w:r w:rsidR="004A63BF" w:rsidRPr="00F54AF3">
        <w:rPr>
          <w:color w:val="3333FF"/>
          <w:sz w:val="23"/>
          <w:szCs w:val="23"/>
        </w:rPr>
        <w:t>”</w:t>
      </w:r>
      <w:r w:rsidRPr="00F54AF3">
        <w:rPr>
          <w:color w:val="3333FF"/>
          <w:sz w:val="23"/>
          <w:szCs w:val="23"/>
        </w:rPr>
        <w:t xml:space="preserve"> </w:t>
      </w:r>
      <w:r w:rsidR="0097708A" w:rsidRPr="00F54AF3">
        <w:rPr>
          <w:color w:val="3333FF"/>
          <w:sz w:val="23"/>
          <w:szCs w:val="23"/>
        </w:rPr>
        <w:t>(NAPOLITANO, 2004.</w:t>
      </w:r>
      <w:r w:rsidR="0097708A" w:rsidRPr="00F54AF3">
        <w:rPr>
          <w:color w:val="3333FF"/>
        </w:rPr>
        <w:t xml:space="preserve"> </w:t>
      </w:r>
      <w:r w:rsidR="004A63BF" w:rsidRPr="00F54AF3">
        <w:rPr>
          <w:color w:val="3333FF"/>
          <w:sz w:val="23"/>
          <w:szCs w:val="23"/>
        </w:rPr>
        <w:t>p.78)</w:t>
      </w:r>
    </w:p>
    <w:p w:rsidR="00F2688F" w:rsidRPr="00F54AF3" w:rsidRDefault="00F2688F" w:rsidP="00A463D6">
      <w:pPr>
        <w:pStyle w:val="Default"/>
        <w:jc w:val="both"/>
        <w:rPr>
          <w:color w:val="3333FF"/>
          <w:sz w:val="23"/>
          <w:szCs w:val="23"/>
        </w:rPr>
      </w:pPr>
    </w:p>
    <w:p w:rsidR="00F2688F" w:rsidRPr="00F54AF3" w:rsidRDefault="00F2688F" w:rsidP="00A463D6">
      <w:pPr>
        <w:pStyle w:val="Default"/>
        <w:jc w:val="both"/>
        <w:rPr>
          <w:color w:val="3333FF"/>
        </w:rPr>
      </w:pPr>
      <w:r w:rsidRPr="00F54AF3">
        <w:rPr>
          <w:color w:val="3333FF"/>
          <w:sz w:val="23"/>
          <w:szCs w:val="23"/>
        </w:rPr>
        <w:t>“</w:t>
      </w:r>
      <w:r w:rsidRPr="00F54AF3">
        <w:rPr>
          <w:color w:val="3333FF"/>
          <w:sz w:val="22"/>
          <w:szCs w:val="22"/>
        </w:rPr>
        <w:t xml:space="preserve">A </w:t>
      </w:r>
      <w:r w:rsidRPr="00F54AF3">
        <w:rPr>
          <w:color w:val="3333FF"/>
          <w:sz w:val="23"/>
          <w:szCs w:val="23"/>
        </w:rPr>
        <w:t>falta de conhecimento a respeito das relações entre pessoas do mesmo sexo era tal que as práticas "anormais e desviantes das leis da natureza" eram tratadas, sob a ótica médica, com a adoção do mesmo modelo ativo e passivo das relações heterossexuais, dando a entender que, ao assumirem essas posições, estariam também assumindo as formas de comportamento masculino e feminino.</w:t>
      </w:r>
      <w:r w:rsidR="004A63BF" w:rsidRPr="00F54AF3">
        <w:rPr>
          <w:color w:val="3333FF"/>
          <w:sz w:val="23"/>
          <w:szCs w:val="23"/>
        </w:rPr>
        <w:t>”</w:t>
      </w:r>
      <w:r w:rsidRPr="00F54AF3">
        <w:rPr>
          <w:color w:val="3333FF"/>
          <w:sz w:val="23"/>
          <w:szCs w:val="23"/>
        </w:rPr>
        <w:t xml:space="preserve"> </w:t>
      </w:r>
      <w:r w:rsidR="0097708A" w:rsidRPr="00F54AF3">
        <w:rPr>
          <w:color w:val="3333FF"/>
          <w:sz w:val="23"/>
          <w:szCs w:val="23"/>
        </w:rPr>
        <w:t>(</w:t>
      </w:r>
      <w:proofErr w:type="gramStart"/>
      <w:r w:rsidR="004A63BF" w:rsidRPr="00F54AF3">
        <w:rPr>
          <w:color w:val="3333FF"/>
          <w:sz w:val="23"/>
          <w:szCs w:val="23"/>
        </w:rPr>
        <w:t>NAPOLITANO, 2004</w:t>
      </w:r>
      <w:proofErr w:type="gramEnd"/>
      <w:r w:rsidR="0097708A" w:rsidRPr="00F54AF3">
        <w:rPr>
          <w:color w:val="3333FF"/>
          <w:sz w:val="23"/>
          <w:szCs w:val="23"/>
        </w:rPr>
        <w:t>.</w:t>
      </w:r>
      <w:r w:rsidR="0097708A" w:rsidRPr="00F54AF3">
        <w:rPr>
          <w:color w:val="3333FF"/>
        </w:rPr>
        <w:t xml:space="preserve"> </w:t>
      </w:r>
      <w:r w:rsidR="004A63BF" w:rsidRPr="00F54AF3">
        <w:rPr>
          <w:color w:val="3333FF"/>
          <w:sz w:val="23"/>
          <w:szCs w:val="23"/>
        </w:rPr>
        <w:t>p.79)</w:t>
      </w:r>
    </w:p>
    <w:p w:rsidR="00F2688F" w:rsidRPr="00F54AF3" w:rsidRDefault="00F2688F" w:rsidP="00A463D6">
      <w:pPr>
        <w:pStyle w:val="Default"/>
        <w:jc w:val="both"/>
        <w:rPr>
          <w:color w:val="3333FF"/>
          <w:sz w:val="23"/>
          <w:szCs w:val="23"/>
        </w:rPr>
      </w:pPr>
    </w:p>
    <w:p w:rsidR="0047089E" w:rsidRPr="00F54AF3" w:rsidRDefault="00F2688F" w:rsidP="0047089E">
      <w:pPr>
        <w:pStyle w:val="Default"/>
        <w:jc w:val="both"/>
        <w:rPr>
          <w:color w:val="3333FF"/>
        </w:rPr>
      </w:pPr>
      <w:r w:rsidRPr="00F54AF3">
        <w:rPr>
          <w:color w:val="3333FF"/>
          <w:sz w:val="23"/>
          <w:szCs w:val="23"/>
        </w:rPr>
        <w:t>“</w:t>
      </w:r>
      <w:r w:rsidR="0047089E" w:rsidRPr="00F54AF3">
        <w:rPr>
          <w:color w:val="3333FF"/>
          <w:sz w:val="23"/>
          <w:szCs w:val="23"/>
        </w:rPr>
        <w:t xml:space="preserve">Além das prisões, como locais propícios às manifestações desses atos, de acordo com Gilberto Freyre, as mucamas e suas senhoras aproveitavam-se do cerimonial do cafuné – </w:t>
      </w:r>
      <w:proofErr w:type="gramStart"/>
      <w:r w:rsidR="0047089E" w:rsidRPr="00F54AF3">
        <w:rPr>
          <w:color w:val="3333FF"/>
          <w:sz w:val="23"/>
          <w:szCs w:val="23"/>
        </w:rPr>
        <w:t>80</w:t>
      </w:r>
      <w:proofErr w:type="gramEnd"/>
      <w:r w:rsidR="0047089E" w:rsidRPr="00F54AF3">
        <w:rPr>
          <w:color w:val="3333FF"/>
          <w:sz w:val="23"/>
          <w:szCs w:val="23"/>
        </w:rPr>
        <w:t xml:space="preserve"> </w:t>
      </w:r>
    </w:p>
    <w:p w:rsidR="00F2688F" w:rsidRPr="00F54AF3" w:rsidRDefault="0047089E" w:rsidP="0047089E">
      <w:pPr>
        <w:pStyle w:val="Default"/>
        <w:jc w:val="both"/>
        <w:rPr>
          <w:color w:val="3333FF"/>
        </w:rPr>
      </w:pPr>
      <w:proofErr w:type="gramStart"/>
      <w:r w:rsidRPr="00F54AF3">
        <w:rPr>
          <w:color w:val="3333FF"/>
          <w:sz w:val="23"/>
          <w:szCs w:val="23"/>
        </w:rPr>
        <w:t>quando</w:t>
      </w:r>
      <w:proofErr w:type="gramEnd"/>
      <w:r w:rsidRPr="00F54AF3">
        <w:rPr>
          <w:color w:val="3333FF"/>
          <w:sz w:val="23"/>
          <w:szCs w:val="23"/>
        </w:rPr>
        <w:t xml:space="preserve"> dos banhos de rios em que as mucamas despiam suas senhoras, </w:t>
      </w:r>
      <w:proofErr w:type="spellStart"/>
      <w:r w:rsidRPr="00F54AF3">
        <w:rPr>
          <w:color w:val="3333FF"/>
          <w:sz w:val="23"/>
          <w:szCs w:val="23"/>
        </w:rPr>
        <w:t>esfregavam-lhes</w:t>
      </w:r>
      <w:proofErr w:type="spellEnd"/>
      <w:r w:rsidRPr="00F54AF3">
        <w:rPr>
          <w:color w:val="3333FF"/>
          <w:sz w:val="23"/>
          <w:szCs w:val="23"/>
        </w:rPr>
        <w:t xml:space="preserve"> o corpo, </w:t>
      </w:r>
      <w:proofErr w:type="spellStart"/>
      <w:r w:rsidRPr="00F54AF3">
        <w:rPr>
          <w:color w:val="3333FF"/>
          <w:sz w:val="23"/>
          <w:szCs w:val="23"/>
        </w:rPr>
        <w:t>ensaboavam-lhes</w:t>
      </w:r>
      <w:proofErr w:type="spellEnd"/>
      <w:r w:rsidRPr="00F54AF3">
        <w:rPr>
          <w:color w:val="3333FF"/>
          <w:sz w:val="23"/>
          <w:szCs w:val="23"/>
        </w:rPr>
        <w:t xml:space="preserve">, </w:t>
      </w:r>
      <w:proofErr w:type="spellStart"/>
      <w:r w:rsidRPr="00F54AF3">
        <w:rPr>
          <w:color w:val="3333FF"/>
          <w:sz w:val="23"/>
          <w:szCs w:val="23"/>
        </w:rPr>
        <w:t>enxugavam-lhes</w:t>
      </w:r>
      <w:proofErr w:type="spellEnd"/>
      <w:r w:rsidRPr="00F54AF3">
        <w:rPr>
          <w:color w:val="3333FF"/>
          <w:sz w:val="23"/>
          <w:szCs w:val="23"/>
        </w:rPr>
        <w:t xml:space="preserve"> com toalhas finas, </w:t>
      </w:r>
      <w:proofErr w:type="spellStart"/>
      <w:r w:rsidRPr="00F54AF3">
        <w:rPr>
          <w:color w:val="3333FF"/>
          <w:sz w:val="23"/>
          <w:szCs w:val="23"/>
        </w:rPr>
        <w:t>penteando-lhes</w:t>
      </w:r>
      <w:proofErr w:type="spellEnd"/>
      <w:r w:rsidRPr="00F54AF3">
        <w:rPr>
          <w:color w:val="3333FF"/>
          <w:sz w:val="23"/>
          <w:szCs w:val="23"/>
        </w:rPr>
        <w:t xml:space="preserve"> e </w:t>
      </w:r>
      <w:proofErr w:type="spellStart"/>
      <w:r w:rsidRPr="00F54AF3">
        <w:rPr>
          <w:color w:val="3333FF"/>
          <w:sz w:val="23"/>
          <w:szCs w:val="23"/>
        </w:rPr>
        <w:t>pondo-lhes</w:t>
      </w:r>
      <w:proofErr w:type="spellEnd"/>
      <w:r w:rsidRPr="00F54AF3">
        <w:rPr>
          <w:color w:val="3333FF"/>
          <w:sz w:val="23"/>
          <w:szCs w:val="23"/>
        </w:rPr>
        <w:t xml:space="preserve"> as vestes – para aproximações ou simulações de atos lésbicos. </w:t>
      </w:r>
      <w:proofErr w:type="gramStart"/>
      <w:r w:rsidRPr="00F54AF3">
        <w:rPr>
          <w:color w:val="3333FF"/>
          <w:sz w:val="23"/>
          <w:szCs w:val="23"/>
        </w:rPr>
        <w:t>Tais senhoras se entregariam ao que pudesse haver de pecaminoso ou de libidinoso nos prazeres do cafuné sem o saberem, visto que era público que se deixavam catar</w:t>
      </w:r>
      <w:r w:rsidR="004A63BF" w:rsidRPr="00F54AF3">
        <w:rPr>
          <w:color w:val="3333FF"/>
          <w:sz w:val="23"/>
          <w:szCs w:val="23"/>
        </w:rPr>
        <w:t xml:space="preserve"> ou coçar por dedos de mucamas.”</w:t>
      </w:r>
      <w:proofErr w:type="gramEnd"/>
      <w:r w:rsidR="004A63BF" w:rsidRPr="00F54AF3">
        <w:rPr>
          <w:color w:val="3333FF"/>
          <w:sz w:val="23"/>
          <w:szCs w:val="23"/>
        </w:rPr>
        <w:t xml:space="preserve"> </w:t>
      </w:r>
      <w:r w:rsidR="0097708A" w:rsidRPr="00F54AF3">
        <w:rPr>
          <w:color w:val="3333FF"/>
          <w:sz w:val="23"/>
          <w:szCs w:val="23"/>
        </w:rPr>
        <w:t>(NAPOLITANO, 2004.</w:t>
      </w:r>
      <w:r w:rsidR="0097708A" w:rsidRPr="00F54AF3">
        <w:rPr>
          <w:color w:val="3333FF"/>
        </w:rPr>
        <w:t xml:space="preserve"> </w:t>
      </w:r>
      <w:r w:rsidRPr="00F54AF3">
        <w:rPr>
          <w:color w:val="3333FF"/>
          <w:sz w:val="23"/>
          <w:szCs w:val="23"/>
        </w:rPr>
        <w:t>p.79.</w:t>
      </w:r>
      <w:r w:rsidR="004A63BF" w:rsidRPr="00F54AF3">
        <w:rPr>
          <w:color w:val="3333FF"/>
          <w:sz w:val="23"/>
          <w:szCs w:val="23"/>
        </w:rPr>
        <w:t>)</w:t>
      </w:r>
    </w:p>
    <w:p w:rsidR="0047089E" w:rsidRPr="00F54AF3" w:rsidRDefault="0047089E" w:rsidP="0047089E">
      <w:pPr>
        <w:pStyle w:val="Default"/>
        <w:jc w:val="both"/>
        <w:rPr>
          <w:color w:val="3333FF"/>
          <w:sz w:val="23"/>
          <w:szCs w:val="23"/>
        </w:rPr>
      </w:pPr>
    </w:p>
    <w:p w:rsidR="0047089E" w:rsidRPr="00F54AF3" w:rsidRDefault="0047089E" w:rsidP="0047089E">
      <w:pPr>
        <w:pStyle w:val="Default"/>
        <w:jc w:val="both"/>
        <w:rPr>
          <w:color w:val="3333FF"/>
        </w:rPr>
      </w:pPr>
      <w:r w:rsidRPr="00F54AF3">
        <w:rPr>
          <w:color w:val="3333FF"/>
          <w:sz w:val="23"/>
          <w:szCs w:val="23"/>
        </w:rPr>
        <w:t>“</w:t>
      </w:r>
      <w:r w:rsidR="006F361E" w:rsidRPr="00F54AF3">
        <w:rPr>
          <w:color w:val="3333FF"/>
          <w:sz w:val="23"/>
          <w:szCs w:val="23"/>
        </w:rPr>
        <w:t xml:space="preserve">o </w:t>
      </w:r>
      <w:proofErr w:type="spellStart"/>
      <w:r w:rsidR="006F361E" w:rsidRPr="00F54AF3">
        <w:rPr>
          <w:color w:val="3333FF"/>
          <w:sz w:val="23"/>
          <w:szCs w:val="23"/>
        </w:rPr>
        <w:t>tribadismo</w:t>
      </w:r>
      <w:proofErr w:type="spellEnd"/>
      <w:r w:rsidR="006F361E" w:rsidRPr="00F54AF3">
        <w:rPr>
          <w:color w:val="3333FF"/>
          <w:sz w:val="23"/>
          <w:szCs w:val="23"/>
        </w:rPr>
        <w:t xml:space="preserve"> era atribuído à falta de exercício, à vida sedentária, ao aborrecimento, à negligência das mães, como também poderia ser resultado do desequilíbrio mental e da inversão sexual, um dos sintomas da loucura.</w:t>
      </w:r>
      <w:r w:rsidR="004A63BF" w:rsidRPr="00F54AF3">
        <w:rPr>
          <w:color w:val="3333FF"/>
          <w:sz w:val="23"/>
          <w:szCs w:val="23"/>
        </w:rPr>
        <w:t>”</w:t>
      </w:r>
      <w:r w:rsidR="006F361E" w:rsidRPr="00F54AF3">
        <w:rPr>
          <w:color w:val="3333FF"/>
          <w:sz w:val="23"/>
          <w:szCs w:val="23"/>
        </w:rPr>
        <w:t xml:space="preserve"> </w:t>
      </w:r>
      <w:r w:rsidR="0097708A" w:rsidRPr="00F54AF3">
        <w:rPr>
          <w:color w:val="3333FF"/>
          <w:sz w:val="23"/>
          <w:szCs w:val="23"/>
        </w:rPr>
        <w:t>(</w:t>
      </w:r>
      <w:proofErr w:type="gramStart"/>
      <w:r w:rsidR="0097708A" w:rsidRPr="00F54AF3">
        <w:rPr>
          <w:color w:val="3333FF"/>
          <w:sz w:val="23"/>
          <w:szCs w:val="23"/>
        </w:rPr>
        <w:t>NAPOLITANO, 2004</w:t>
      </w:r>
      <w:proofErr w:type="gramEnd"/>
      <w:r w:rsidR="0097708A" w:rsidRPr="00F54AF3">
        <w:rPr>
          <w:color w:val="3333FF"/>
          <w:sz w:val="23"/>
          <w:szCs w:val="23"/>
        </w:rPr>
        <w:t>.</w:t>
      </w:r>
      <w:r w:rsidR="0097708A" w:rsidRPr="00F54AF3">
        <w:rPr>
          <w:color w:val="3333FF"/>
        </w:rPr>
        <w:t xml:space="preserve"> </w:t>
      </w:r>
      <w:r w:rsidR="006F361E" w:rsidRPr="00F54AF3">
        <w:rPr>
          <w:color w:val="3333FF"/>
          <w:sz w:val="23"/>
          <w:szCs w:val="23"/>
        </w:rPr>
        <w:t>p. 80</w:t>
      </w:r>
      <w:r w:rsidR="004A63BF" w:rsidRPr="00F54AF3">
        <w:rPr>
          <w:color w:val="3333FF"/>
          <w:sz w:val="23"/>
          <w:szCs w:val="23"/>
        </w:rPr>
        <w:t>)</w:t>
      </w:r>
    </w:p>
    <w:p w:rsidR="006F361E" w:rsidRPr="00F54AF3" w:rsidRDefault="006F361E" w:rsidP="0047089E">
      <w:pPr>
        <w:pStyle w:val="Default"/>
        <w:jc w:val="both"/>
        <w:rPr>
          <w:color w:val="3333FF"/>
          <w:sz w:val="23"/>
          <w:szCs w:val="23"/>
        </w:rPr>
      </w:pPr>
    </w:p>
    <w:p w:rsidR="00024311" w:rsidRPr="00F54AF3" w:rsidRDefault="006F361E" w:rsidP="00024311">
      <w:pPr>
        <w:pStyle w:val="Default"/>
        <w:jc w:val="both"/>
        <w:rPr>
          <w:color w:val="3333FF"/>
        </w:rPr>
      </w:pPr>
      <w:r w:rsidRPr="00F54AF3">
        <w:rPr>
          <w:color w:val="3333FF"/>
        </w:rPr>
        <w:t>“</w:t>
      </w:r>
      <w:r w:rsidR="00024311" w:rsidRPr="00F54AF3">
        <w:rPr>
          <w:color w:val="3333FF"/>
        </w:rPr>
        <w:t>[...</w:t>
      </w:r>
      <w:proofErr w:type="gramStart"/>
      <w:r w:rsidR="00024311" w:rsidRPr="00F54AF3">
        <w:rPr>
          <w:color w:val="3333FF"/>
        </w:rPr>
        <w:t>]causas</w:t>
      </w:r>
      <w:proofErr w:type="gramEnd"/>
      <w:r w:rsidR="00024311" w:rsidRPr="00F54AF3">
        <w:rPr>
          <w:color w:val="3333FF"/>
        </w:rPr>
        <w:t xml:space="preserve"> para o </w:t>
      </w:r>
      <w:proofErr w:type="spellStart"/>
      <w:r w:rsidR="00024311" w:rsidRPr="00F54AF3">
        <w:rPr>
          <w:color w:val="3333FF"/>
        </w:rPr>
        <w:t>tribadismo</w:t>
      </w:r>
      <w:proofErr w:type="spellEnd"/>
      <w:r w:rsidR="00024311" w:rsidRPr="00F54AF3">
        <w:rPr>
          <w:color w:val="3333FF"/>
        </w:rPr>
        <w:t xml:space="preserve">, como: o desprezo pelo homem (sofrido pelas prostitutas devido às humilhações a que são submetidas); o receio da gravidez; as agitações do mundo e a literatura moderna; a influência de uma menina contaminada com esse mal em internatos para moças; o clima quente; os temperamentos; as bebidas alcoólicas; a menstruação desregulada ou a menopausa; o onanismo (que é uma das causas mais influentes das perversões genitais); as impressões 81 </w:t>
      </w:r>
    </w:p>
    <w:p w:rsidR="006F361E" w:rsidRPr="00F54AF3" w:rsidRDefault="00024311" w:rsidP="00024311">
      <w:pPr>
        <w:pStyle w:val="Default"/>
        <w:jc w:val="both"/>
        <w:rPr>
          <w:color w:val="3333FF"/>
        </w:rPr>
      </w:pPr>
      <w:proofErr w:type="gramStart"/>
      <w:r w:rsidRPr="00F54AF3">
        <w:rPr>
          <w:color w:val="3333FF"/>
        </w:rPr>
        <w:t>morais</w:t>
      </w:r>
      <w:proofErr w:type="gramEnd"/>
      <w:r w:rsidRPr="00F54AF3">
        <w:rPr>
          <w:color w:val="3333FF"/>
        </w:rPr>
        <w:t xml:space="preserve"> que a criança recebe na sua infância; a miséria que obriga a acumulação forçada dos membros da família no mesmo quarto, onde a falta de espaço propicia a promiscuidade dos sexos; a falta de uma religião q</w:t>
      </w:r>
      <w:r w:rsidR="004A63BF" w:rsidRPr="00F54AF3">
        <w:rPr>
          <w:color w:val="3333FF"/>
        </w:rPr>
        <w:t xml:space="preserve">ue se imponha como freio moral.” </w:t>
      </w:r>
      <w:r w:rsidR="0097708A" w:rsidRPr="00F54AF3">
        <w:rPr>
          <w:color w:val="3333FF"/>
          <w:sz w:val="23"/>
          <w:szCs w:val="23"/>
        </w:rPr>
        <w:t>(NAPOLITANO, 2004.</w:t>
      </w:r>
      <w:r w:rsidR="0097708A" w:rsidRPr="00F54AF3">
        <w:rPr>
          <w:color w:val="3333FF"/>
        </w:rPr>
        <w:t xml:space="preserve"> </w:t>
      </w:r>
      <w:r w:rsidRPr="00F54AF3">
        <w:rPr>
          <w:color w:val="3333FF"/>
        </w:rPr>
        <w:t>p.80</w:t>
      </w:r>
      <w:r w:rsidR="004A63BF" w:rsidRPr="00F54AF3">
        <w:rPr>
          <w:color w:val="3333FF"/>
        </w:rPr>
        <w:t>)</w:t>
      </w:r>
    </w:p>
    <w:p w:rsidR="00EE08BF" w:rsidRPr="00F54AF3" w:rsidRDefault="00EE08BF" w:rsidP="00024311">
      <w:pPr>
        <w:pStyle w:val="Default"/>
        <w:jc w:val="both"/>
        <w:rPr>
          <w:color w:val="3333FF"/>
        </w:rPr>
      </w:pPr>
    </w:p>
    <w:p w:rsidR="00EE08BF" w:rsidRPr="00F54AF3" w:rsidRDefault="00EE08BF" w:rsidP="00024311">
      <w:pPr>
        <w:pStyle w:val="Default"/>
        <w:jc w:val="both"/>
        <w:rPr>
          <w:color w:val="3333FF"/>
        </w:rPr>
      </w:pPr>
      <w:r w:rsidRPr="00F54AF3">
        <w:rPr>
          <w:color w:val="3333FF"/>
        </w:rPr>
        <w:t>“</w:t>
      </w:r>
      <w:r w:rsidRPr="00F54AF3">
        <w:rPr>
          <w:color w:val="3333FF"/>
          <w:sz w:val="23"/>
          <w:szCs w:val="23"/>
        </w:rPr>
        <w:t>A respeito do tratamento destinado a essas mulheres, tais estudiosos são unânimes em afirmar que antes é preciso separar o criminoso do degenerado, pois o primeiro deve ser punido e o segundo é irresponsável pelos seus atos. Para Viveiros de Castro, o papel da justiça, nesses casos, deveria ser a investigação mais completa e minuciosa do estado mental desses indivíduos, pois se o degenerado for condenado como criminoso, sem tratamentos e sem cuidados higiênicos, a pena não o regenera, ao contrário, seu mal se agrava e ele sai da prisão mais degenerado e mais perigoso. Porém, se for recolhido em um hospício e submetido ao tratamento adequado – aplicações de hidroterapia, de eletricidade e de sugestão hipnótica – pode vir a ser curado e restabelecido à sociedade.</w:t>
      </w:r>
      <w:r w:rsidR="004A63BF" w:rsidRPr="00F54AF3">
        <w:rPr>
          <w:color w:val="3333FF"/>
          <w:sz w:val="23"/>
          <w:szCs w:val="23"/>
        </w:rPr>
        <w:t>”</w:t>
      </w:r>
      <w:r w:rsidRPr="00F54AF3">
        <w:rPr>
          <w:color w:val="3333FF"/>
          <w:sz w:val="23"/>
          <w:szCs w:val="23"/>
        </w:rPr>
        <w:t xml:space="preserve"> </w:t>
      </w:r>
      <w:r w:rsidR="0097708A" w:rsidRPr="00F54AF3">
        <w:rPr>
          <w:color w:val="3333FF"/>
          <w:sz w:val="23"/>
          <w:szCs w:val="23"/>
        </w:rPr>
        <w:t>(</w:t>
      </w:r>
      <w:proofErr w:type="gramStart"/>
      <w:r w:rsidR="0097708A" w:rsidRPr="00F54AF3">
        <w:rPr>
          <w:color w:val="3333FF"/>
          <w:sz w:val="23"/>
          <w:szCs w:val="23"/>
        </w:rPr>
        <w:t>NAPOLITANO, 2004</w:t>
      </w:r>
      <w:proofErr w:type="gramEnd"/>
      <w:r w:rsidR="0097708A" w:rsidRPr="00F54AF3">
        <w:rPr>
          <w:color w:val="3333FF"/>
          <w:sz w:val="23"/>
          <w:szCs w:val="23"/>
        </w:rPr>
        <w:t>.</w:t>
      </w:r>
      <w:r w:rsidR="0097708A" w:rsidRPr="00F54AF3">
        <w:rPr>
          <w:color w:val="3333FF"/>
        </w:rPr>
        <w:t xml:space="preserve"> </w:t>
      </w:r>
      <w:r w:rsidRPr="00F54AF3">
        <w:rPr>
          <w:color w:val="3333FF"/>
          <w:sz w:val="23"/>
          <w:szCs w:val="23"/>
        </w:rPr>
        <w:t>p. 82</w:t>
      </w:r>
      <w:r w:rsidR="004A63BF" w:rsidRPr="00F54AF3">
        <w:rPr>
          <w:color w:val="3333FF"/>
        </w:rPr>
        <w:t>)</w:t>
      </w:r>
    </w:p>
    <w:p w:rsidR="00EE08BF" w:rsidRPr="00F54AF3" w:rsidRDefault="00EE08BF" w:rsidP="00024311">
      <w:pPr>
        <w:pStyle w:val="Default"/>
        <w:jc w:val="both"/>
        <w:rPr>
          <w:color w:val="3333FF"/>
        </w:rPr>
      </w:pPr>
    </w:p>
    <w:p w:rsidR="00EE08BF" w:rsidRPr="00F54AF3" w:rsidRDefault="0087264C" w:rsidP="00024311">
      <w:pPr>
        <w:pStyle w:val="Default"/>
        <w:jc w:val="both"/>
        <w:rPr>
          <w:color w:val="3333FF"/>
        </w:rPr>
      </w:pPr>
      <w:r w:rsidRPr="00F54AF3">
        <w:rPr>
          <w:color w:val="3333FF"/>
        </w:rPr>
        <w:t>“</w:t>
      </w:r>
      <w:r w:rsidRPr="00F54AF3">
        <w:rPr>
          <w:color w:val="3333FF"/>
          <w:sz w:val="23"/>
          <w:szCs w:val="23"/>
        </w:rPr>
        <w:t>Assim, o século XIX caracterizou a homossexualidade como um exercício anormal da sexualidade, oscilando em enquadrá-la ou como crime ou como doença. Ora tratadas como doentes, ora associadas a criminosas, as mulheres desviantes estiveram à margem da sociedade, exatamente por não se enquadrarem naquilo que esse século entendia ser o caminho de todo indivíduo sadio.</w:t>
      </w:r>
      <w:r w:rsidR="004A63BF" w:rsidRPr="00F54AF3">
        <w:rPr>
          <w:color w:val="3333FF"/>
          <w:sz w:val="23"/>
          <w:szCs w:val="23"/>
        </w:rPr>
        <w:t>”</w:t>
      </w:r>
      <w:r w:rsidRPr="00F54AF3">
        <w:rPr>
          <w:color w:val="3333FF"/>
          <w:sz w:val="23"/>
          <w:szCs w:val="23"/>
        </w:rPr>
        <w:t xml:space="preserve"> </w:t>
      </w:r>
      <w:r w:rsidR="0097708A" w:rsidRPr="00F54AF3">
        <w:rPr>
          <w:color w:val="3333FF"/>
          <w:sz w:val="23"/>
          <w:szCs w:val="23"/>
        </w:rPr>
        <w:t>(</w:t>
      </w:r>
      <w:proofErr w:type="gramStart"/>
      <w:r w:rsidR="0097708A" w:rsidRPr="00F54AF3">
        <w:rPr>
          <w:color w:val="3333FF"/>
          <w:sz w:val="23"/>
          <w:szCs w:val="23"/>
        </w:rPr>
        <w:t>NAPOLITANO, 2004</w:t>
      </w:r>
      <w:proofErr w:type="gramEnd"/>
      <w:r w:rsidR="0097708A" w:rsidRPr="00F54AF3">
        <w:rPr>
          <w:color w:val="3333FF"/>
          <w:sz w:val="23"/>
          <w:szCs w:val="23"/>
        </w:rPr>
        <w:t>.</w:t>
      </w:r>
      <w:r w:rsidR="0097708A" w:rsidRPr="00F54AF3">
        <w:rPr>
          <w:color w:val="3333FF"/>
        </w:rPr>
        <w:t xml:space="preserve"> </w:t>
      </w:r>
      <w:r w:rsidR="004A63BF" w:rsidRPr="00F54AF3">
        <w:rPr>
          <w:color w:val="3333FF"/>
          <w:sz w:val="23"/>
          <w:szCs w:val="23"/>
        </w:rPr>
        <w:t>p.83)</w:t>
      </w:r>
    </w:p>
    <w:p w:rsidR="0087264C" w:rsidRPr="00F54AF3" w:rsidRDefault="0087264C" w:rsidP="00024311">
      <w:pPr>
        <w:pStyle w:val="Default"/>
        <w:jc w:val="both"/>
        <w:rPr>
          <w:color w:val="3333FF"/>
          <w:sz w:val="23"/>
          <w:szCs w:val="23"/>
        </w:rPr>
      </w:pPr>
    </w:p>
    <w:p w:rsidR="005B0B7C" w:rsidRPr="00F54AF3" w:rsidRDefault="005B0B7C" w:rsidP="005B0B7C">
      <w:pPr>
        <w:pStyle w:val="Default"/>
        <w:jc w:val="both"/>
        <w:rPr>
          <w:color w:val="3333FF"/>
          <w:sz w:val="23"/>
          <w:szCs w:val="23"/>
        </w:rPr>
      </w:pPr>
      <w:r w:rsidRPr="00F54AF3">
        <w:rPr>
          <w:color w:val="3333FF"/>
          <w:sz w:val="23"/>
          <w:szCs w:val="23"/>
        </w:rPr>
        <w:t xml:space="preserve">“Paralelamente à medicina oitocentista, a literatura desse período muito se </w:t>
      </w:r>
      <w:proofErr w:type="gramStart"/>
      <w:r w:rsidRPr="00F54AF3">
        <w:rPr>
          <w:color w:val="3333FF"/>
          <w:sz w:val="23"/>
          <w:szCs w:val="23"/>
        </w:rPr>
        <w:t>assemelhou</w:t>
      </w:r>
      <w:proofErr w:type="gramEnd"/>
    </w:p>
    <w:p w:rsidR="005B0B7C" w:rsidRPr="00F54AF3" w:rsidRDefault="005B0B7C" w:rsidP="005B0B7C">
      <w:pPr>
        <w:pStyle w:val="Default"/>
        <w:jc w:val="both"/>
        <w:rPr>
          <w:color w:val="3333FF"/>
          <w:sz w:val="23"/>
          <w:szCs w:val="23"/>
        </w:rPr>
      </w:pPr>
      <w:proofErr w:type="gramStart"/>
      <w:r w:rsidRPr="00F54AF3">
        <w:rPr>
          <w:color w:val="3333FF"/>
          <w:sz w:val="23"/>
          <w:szCs w:val="23"/>
        </w:rPr>
        <w:t>às</w:t>
      </w:r>
      <w:proofErr w:type="gramEnd"/>
      <w:r w:rsidRPr="00F54AF3">
        <w:rPr>
          <w:color w:val="3333FF"/>
          <w:sz w:val="23"/>
          <w:szCs w:val="23"/>
        </w:rPr>
        <w:t xml:space="preserve"> concepções médicas a respeito dos temas tratados nesse capítulo. Difícil definir se a</w:t>
      </w:r>
    </w:p>
    <w:p w:rsidR="0087264C" w:rsidRPr="00F54AF3" w:rsidRDefault="005B0B7C" w:rsidP="005B0B7C">
      <w:pPr>
        <w:pStyle w:val="Default"/>
        <w:jc w:val="both"/>
        <w:rPr>
          <w:color w:val="3333FF"/>
        </w:rPr>
      </w:pPr>
      <w:proofErr w:type="gramStart"/>
      <w:r w:rsidRPr="00F54AF3">
        <w:rPr>
          <w:color w:val="3333FF"/>
          <w:sz w:val="23"/>
          <w:szCs w:val="23"/>
        </w:rPr>
        <w:t>medicina</w:t>
      </w:r>
      <w:proofErr w:type="gramEnd"/>
      <w:r w:rsidRPr="00F54AF3">
        <w:rPr>
          <w:color w:val="3333FF"/>
          <w:sz w:val="23"/>
          <w:szCs w:val="23"/>
        </w:rPr>
        <w:t xml:space="preserve"> influenciou a literatura ou vice-versa, mas o fato é que ambas caminharam de mãos dadas com relação às concepções sobre o comportamento e o papel da mulher no dezenove, talvez seja mais adequado pensarmos que tanto as concepções médicas quanto as literárias eram produtos homogêneos de uma mesma sociedade.</w:t>
      </w:r>
      <w:r w:rsidR="004A63BF" w:rsidRPr="00F54AF3">
        <w:rPr>
          <w:color w:val="3333FF"/>
          <w:sz w:val="23"/>
          <w:szCs w:val="23"/>
        </w:rPr>
        <w:t>”</w:t>
      </w:r>
      <w:r w:rsidRPr="00F54AF3">
        <w:rPr>
          <w:color w:val="3333FF"/>
          <w:sz w:val="23"/>
          <w:szCs w:val="23"/>
        </w:rPr>
        <w:t xml:space="preserve"> </w:t>
      </w:r>
      <w:r w:rsidR="0097708A" w:rsidRPr="00F54AF3">
        <w:rPr>
          <w:color w:val="3333FF"/>
          <w:sz w:val="23"/>
          <w:szCs w:val="23"/>
        </w:rPr>
        <w:t>(NAPOLITANO, 2004.</w:t>
      </w:r>
      <w:r w:rsidR="0097708A" w:rsidRPr="00F54AF3">
        <w:rPr>
          <w:color w:val="3333FF"/>
        </w:rPr>
        <w:t xml:space="preserve"> </w:t>
      </w:r>
      <w:r w:rsidR="004A63BF" w:rsidRPr="00F54AF3">
        <w:rPr>
          <w:color w:val="3333FF"/>
          <w:sz w:val="23"/>
          <w:szCs w:val="23"/>
        </w:rPr>
        <w:t>p. 84)</w:t>
      </w:r>
    </w:p>
    <w:p w:rsidR="005B0B7C" w:rsidRPr="00F54AF3" w:rsidRDefault="005B0B7C" w:rsidP="005B0B7C">
      <w:pPr>
        <w:pStyle w:val="Default"/>
        <w:jc w:val="both"/>
        <w:rPr>
          <w:color w:val="3333FF"/>
          <w:sz w:val="23"/>
          <w:szCs w:val="23"/>
        </w:rPr>
      </w:pPr>
    </w:p>
    <w:p w:rsidR="005B0B7C" w:rsidRPr="00F54AF3" w:rsidRDefault="005B0B7C" w:rsidP="005B0B7C">
      <w:pPr>
        <w:pStyle w:val="Default"/>
        <w:jc w:val="both"/>
        <w:rPr>
          <w:color w:val="3333FF"/>
        </w:rPr>
      </w:pPr>
      <w:r w:rsidRPr="00F54AF3">
        <w:rPr>
          <w:color w:val="3333FF"/>
          <w:sz w:val="23"/>
          <w:szCs w:val="23"/>
        </w:rPr>
        <w:t>“</w:t>
      </w:r>
      <w:r w:rsidR="00A1381D" w:rsidRPr="00F54AF3">
        <w:rPr>
          <w:color w:val="3333FF"/>
          <w:sz w:val="23"/>
          <w:szCs w:val="23"/>
        </w:rPr>
        <w:t xml:space="preserve">No que se refere às relações </w:t>
      </w:r>
      <w:proofErr w:type="spellStart"/>
      <w:r w:rsidR="00A1381D" w:rsidRPr="00F54AF3">
        <w:rPr>
          <w:color w:val="3333FF"/>
          <w:sz w:val="23"/>
          <w:szCs w:val="23"/>
        </w:rPr>
        <w:t>lesbianistas</w:t>
      </w:r>
      <w:proofErr w:type="spellEnd"/>
      <w:r w:rsidR="00A1381D" w:rsidRPr="00F54AF3">
        <w:rPr>
          <w:color w:val="3333FF"/>
          <w:sz w:val="23"/>
          <w:szCs w:val="23"/>
        </w:rPr>
        <w:t>, algumas obras literárias, as poucas que abordaram o tema, foram da mesma opinião dos médicos quando associaram esse tipo de relação a aspectos brutais, animalescos, depravados, a aberrações morais, [...]</w:t>
      </w:r>
      <w:r w:rsidR="004A63BF" w:rsidRPr="00F54AF3">
        <w:rPr>
          <w:color w:val="3333FF"/>
          <w:sz w:val="23"/>
          <w:szCs w:val="23"/>
        </w:rPr>
        <w:t xml:space="preserve">” </w:t>
      </w:r>
      <w:r w:rsidR="0097708A" w:rsidRPr="00F54AF3">
        <w:rPr>
          <w:color w:val="3333FF"/>
          <w:sz w:val="23"/>
          <w:szCs w:val="23"/>
        </w:rPr>
        <w:t>(</w:t>
      </w:r>
      <w:proofErr w:type="gramStart"/>
      <w:r w:rsidR="0097708A" w:rsidRPr="00F54AF3">
        <w:rPr>
          <w:color w:val="3333FF"/>
          <w:sz w:val="23"/>
          <w:szCs w:val="23"/>
        </w:rPr>
        <w:t>NAPOLITANO, 2004</w:t>
      </w:r>
      <w:proofErr w:type="gramEnd"/>
      <w:r w:rsidR="0097708A" w:rsidRPr="00F54AF3">
        <w:rPr>
          <w:color w:val="3333FF"/>
          <w:sz w:val="23"/>
          <w:szCs w:val="23"/>
        </w:rPr>
        <w:t>.</w:t>
      </w:r>
      <w:r w:rsidR="0097708A" w:rsidRPr="00F54AF3">
        <w:rPr>
          <w:color w:val="3333FF"/>
        </w:rPr>
        <w:t xml:space="preserve"> </w:t>
      </w:r>
      <w:r w:rsidR="00A1381D" w:rsidRPr="00F54AF3">
        <w:rPr>
          <w:color w:val="3333FF"/>
          <w:sz w:val="23"/>
          <w:szCs w:val="23"/>
        </w:rPr>
        <w:t>p.84</w:t>
      </w:r>
      <w:r w:rsidR="004A63BF" w:rsidRPr="00F54AF3">
        <w:rPr>
          <w:color w:val="3333FF"/>
          <w:sz w:val="23"/>
          <w:szCs w:val="23"/>
        </w:rPr>
        <w:t>)</w:t>
      </w:r>
    </w:p>
    <w:p w:rsidR="00DF5834" w:rsidRPr="00F54AF3" w:rsidRDefault="00DF5834" w:rsidP="005B0B7C">
      <w:pPr>
        <w:pStyle w:val="Default"/>
        <w:jc w:val="both"/>
        <w:rPr>
          <w:color w:val="3333FF"/>
          <w:sz w:val="23"/>
          <w:szCs w:val="23"/>
        </w:rPr>
      </w:pPr>
    </w:p>
    <w:p w:rsidR="00DF5834" w:rsidRPr="00F54AF3" w:rsidRDefault="00DF5834" w:rsidP="00DF5834">
      <w:pPr>
        <w:pStyle w:val="Default"/>
        <w:rPr>
          <w:color w:val="3333FF"/>
        </w:rPr>
      </w:pPr>
      <w:r w:rsidRPr="00F54AF3">
        <w:rPr>
          <w:color w:val="3333FF"/>
          <w:sz w:val="23"/>
          <w:szCs w:val="23"/>
        </w:rPr>
        <w:t>“</w:t>
      </w:r>
      <w:r w:rsidRPr="00F54AF3">
        <w:rPr>
          <w:color w:val="3333FF"/>
          <w:sz w:val="13"/>
          <w:szCs w:val="13"/>
        </w:rPr>
        <w:t xml:space="preserve">165 </w:t>
      </w:r>
      <w:r w:rsidRPr="00F54AF3">
        <w:rPr>
          <w:color w:val="3333FF"/>
          <w:sz w:val="20"/>
          <w:szCs w:val="20"/>
        </w:rPr>
        <w:t>Id</w:t>
      </w:r>
      <w:proofErr w:type="gramStart"/>
      <w:r w:rsidRPr="00F54AF3">
        <w:rPr>
          <w:color w:val="3333FF"/>
          <w:sz w:val="20"/>
          <w:szCs w:val="20"/>
        </w:rPr>
        <w:t>.,</w:t>
      </w:r>
      <w:proofErr w:type="gramEnd"/>
      <w:r w:rsidRPr="00F54AF3">
        <w:rPr>
          <w:color w:val="3333FF"/>
          <w:sz w:val="20"/>
          <w:szCs w:val="20"/>
        </w:rPr>
        <w:t xml:space="preserve"> </w:t>
      </w:r>
    </w:p>
    <w:p w:rsidR="00DF5834" w:rsidRPr="00F54AF3" w:rsidRDefault="00DF5834" w:rsidP="00DF5834">
      <w:pPr>
        <w:pStyle w:val="Default"/>
        <w:jc w:val="both"/>
        <w:rPr>
          <w:color w:val="3333FF"/>
        </w:rPr>
      </w:pPr>
      <w:r w:rsidRPr="00F54AF3">
        <w:rPr>
          <w:color w:val="3333FF"/>
          <w:sz w:val="23"/>
          <w:szCs w:val="23"/>
        </w:rPr>
        <w:t xml:space="preserve">Médicos e literatos buscaram também analisar detalhadamente os vícios femininos, sempre com o intuito de buscar enquadrar as mulheres desviantes nos mais variados tipos de anomalias sexuais. </w:t>
      </w:r>
      <w:proofErr w:type="gramStart"/>
      <w:r w:rsidRPr="00F54AF3">
        <w:rPr>
          <w:color w:val="3333FF"/>
          <w:sz w:val="23"/>
          <w:szCs w:val="23"/>
        </w:rPr>
        <w:t>Na tentativa de separar as doentes das normais, os médicos, com a ajuda dos literatos, prescreveram um conjunto de normas comportamentais, sociais e sexuais para que fossem evitados esses vícios e curado</w:t>
      </w:r>
      <w:r w:rsidR="004A63BF" w:rsidRPr="00F54AF3">
        <w:rPr>
          <w:color w:val="3333FF"/>
          <w:sz w:val="23"/>
          <w:szCs w:val="23"/>
        </w:rPr>
        <w:t>s os comportamentos desviantes.”</w:t>
      </w:r>
      <w:proofErr w:type="gramEnd"/>
      <w:r w:rsidR="004A63BF" w:rsidRPr="00F54AF3">
        <w:rPr>
          <w:color w:val="3333FF"/>
          <w:sz w:val="23"/>
          <w:szCs w:val="23"/>
        </w:rPr>
        <w:t xml:space="preserve"> </w:t>
      </w:r>
      <w:r w:rsidR="0097708A" w:rsidRPr="00F54AF3">
        <w:rPr>
          <w:color w:val="3333FF"/>
          <w:sz w:val="23"/>
          <w:szCs w:val="23"/>
        </w:rPr>
        <w:t>(NAPOLITANO, 2004.</w:t>
      </w:r>
      <w:r w:rsidR="0097708A" w:rsidRPr="00F54AF3">
        <w:rPr>
          <w:color w:val="3333FF"/>
        </w:rPr>
        <w:t xml:space="preserve"> </w:t>
      </w:r>
      <w:r w:rsidR="004A63BF" w:rsidRPr="00F54AF3">
        <w:rPr>
          <w:color w:val="3333FF"/>
          <w:sz w:val="23"/>
          <w:szCs w:val="23"/>
        </w:rPr>
        <w:t>p. 87.)</w:t>
      </w:r>
    </w:p>
    <w:p w:rsidR="0097708A" w:rsidRPr="00F54AF3" w:rsidRDefault="0097708A" w:rsidP="00DF5834">
      <w:pPr>
        <w:pStyle w:val="Default"/>
        <w:jc w:val="both"/>
        <w:rPr>
          <w:color w:val="3333FF"/>
          <w:sz w:val="23"/>
          <w:szCs w:val="23"/>
        </w:rPr>
      </w:pPr>
    </w:p>
    <w:sectPr w:rsidR="0097708A" w:rsidRPr="00F54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5A"/>
    <w:rsid w:val="00024311"/>
    <w:rsid w:val="0008137C"/>
    <w:rsid w:val="003F46DE"/>
    <w:rsid w:val="0047089E"/>
    <w:rsid w:val="004A63BF"/>
    <w:rsid w:val="00517554"/>
    <w:rsid w:val="005B0B7C"/>
    <w:rsid w:val="006A348D"/>
    <w:rsid w:val="006F361E"/>
    <w:rsid w:val="0072275A"/>
    <w:rsid w:val="0087264C"/>
    <w:rsid w:val="0094697E"/>
    <w:rsid w:val="0097708A"/>
    <w:rsid w:val="009E3443"/>
    <w:rsid w:val="00A1381D"/>
    <w:rsid w:val="00A463D6"/>
    <w:rsid w:val="00AC463C"/>
    <w:rsid w:val="00B406D1"/>
    <w:rsid w:val="00C90F61"/>
    <w:rsid w:val="00DF5834"/>
    <w:rsid w:val="00EC525B"/>
    <w:rsid w:val="00EE08BF"/>
    <w:rsid w:val="00F2688F"/>
    <w:rsid w:val="00F5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46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46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1287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22</cp:revision>
  <dcterms:created xsi:type="dcterms:W3CDTF">2018-04-05T00:52:00Z</dcterms:created>
  <dcterms:modified xsi:type="dcterms:W3CDTF">2018-06-20T21:51:00Z</dcterms:modified>
</cp:coreProperties>
</file>