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BBB" w:rsidRDefault="00555BBB">
      <w:r>
        <w:t>Link for Dataset</w:t>
      </w:r>
    </w:p>
    <w:p w:rsidR="001C7914" w:rsidRDefault="00A7581D">
      <w:hyperlink r:id="rId5" w:tgtFrame="_blank" w:history="1">
        <w:r w:rsidR="00555BBB">
          <w:rPr>
            <w:rStyle w:val="Hyperlink"/>
            <w:sz w:val="27"/>
            <w:szCs w:val="27"/>
          </w:rPr>
          <w:t xml:space="preserve">A. </w:t>
        </w:r>
        <w:proofErr w:type="spellStart"/>
        <w:r w:rsidR="00555BBB">
          <w:rPr>
            <w:rStyle w:val="Hyperlink"/>
            <w:sz w:val="27"/>
            <w:szCs w:val="27"/>
          </w:rPr>
          <w:t>Leibetseder</w:t>
        </w:r>
        <w:proofErr w:type="spellEnd"/>
        <w:r w:rsidR="00555BBB">
          <w:rPr>
            <w:rStyle w:val="Hyperlink"/>
            <w:sz w:val="27"/>
            <w:szCs w:val="27"/>
          </w:rPr>
          <w:t xml:space="preserve">, S. </w:t>
        </w:r>
        <w:proofErr w:type="spellStart"/>
        <w:r w:rsidR="00555BBB">
          <w:rPr>
            <w:rStyle w:val="Hyperlink"/>
            <w:sz w:val="27"/>
            <w:szCs w:val="27"/>
          </w:rPr>
          <w:t>Kletz</w:t>
        </w:r>
        <w:proofErr w:type="spellEnd"/>
        <w:r w:rsidR="00555BBB">
          <w:rPr>
            <w:rStyle w:val="Hyperlink"/>
            <w:sz w:val="27"/>
            <w:szCs w:val="27"/>
          </w:rPr>
          <w:t xml:space="preserve">, K. </w:t>
        </w:r>
        <w:proofErr w:type="spellStart"/>
        <w:r w:rsidR="00555BBB">
          <w:rPr>
            <w:rStyle w:val="Hyperlink"/>
            <w:sz w:val="27"/>
            <w:szCs w:val="27"/>
          </w:rPr>
          <w:t>Schoeffmann</w:t>
        </w:r>
        <w:proofErr w:type="spellEnd"/>
        <w:r w:rsidR="00555BBB">
          <w:rPr>
            <w:rStyle w:val="Hyperlink"/>
            <w:sz w:val="27"/>
            <w:szCs w:val="27"/>
          </w:rPr>
          <w:t xml:space="preserve">, S. </w:t>
        </w:r>
        <w:proofErr w:type="spellStart"/>
        <w:r w:rsidR="00555BBB">
          <w:rPr>
            <w:rStyle w:val="Hyperlink"/>
            <w:sz w:val="27"/>
            <w:szCs w:val="27"/>
          </w:rPr>
          <w:t>Keckstein</w:t>
        </w:r>
        <w:proofErr w:type="spellEnd"/>
        <w:r w:rsidR="00555BBB">
          <w:rPr>
            <w:rStyle w:val="Hyperlink"/>
            <w:sz w:val="27"/>
            <w:szCs w:val="27"/>
          </w:rPr>
          <w:t xml:space="preserve"> and J. </w:t>
        </w:r>
        <w:proofErr w:type="spellStart"/>
        <w:r w:rsidR="00555BBB">
          <w:rPr>
            <w:rStyle w:val="Hyperlink"/>
            <w:sz w:val="27"/>
            <w:szCs w:val="27"/>
          </w:rPr>
          <w:t>Keckstein</w:t>
        </w:r>
        <w:proofErr w:type="spellEnd"/>
        <w:r w:rsidR="00555BBB">
          <w:rPr>
            <w:rStyle w:val="Hyperlink"/>
            <w:sz w:val="27"/>
            <w:szCs w:val="27"/>
          </w:rPr>
          <w:t xml:space="preserve">. 2020. GLENDA: </w:t>
        </w:r>
        <w:proofErr w:type="spellStart"/>
        <w:r w:rsidR="00555BBB">
          <w:rPr>
            <w:rStyle w:val="Hyperlink"/>
            <w:sz w:val="27"/>
            <w:szCs w:val="27"/>
          </w:rPr>
          <w:t>Gynecologic</w:t>
        </w:r>
        <w:proofErr w:type="spellEnd"/>
        <w:r w:rsidR="00555BBB">
          <w:rPr>
            <w:rStyle w:val="Hyperlink"/>
            <w:sz w:val="27"/>
            <w:szCs w:val="27"/>
          </w:rPr>
          <w:t xml:space="preserve"> Laparoscopy Endometriosis Dataset. In Proceedings of the 26th International Conference on Multimedia </w:t>
        </w:r>
        <w:proofErr w:type="spellStart"/>
        <w:r w:rsidR="00555BBB">
          <w:rPr>
            <w:rStyle w:val="Hyperlink"/>
            <w:sz w:val="27"/>
            <w:szCs w:val="27"/>
          </w:rPr>
          <w:t>Modeling</w:t>
        </w:r>
        <w:proofErr w:type="spellEnd"/>
        <w:r w:rsidR="00555BBB">
          <w:rPr>
            <w:rStyle w:val="Hyperlink"/>
            <w:sz w:val="27"/>
            <w:szCs w:val="27"/>
          </w:rPr>
          <w:t>, MMM 2020. Springer, Cham.</w:t>
        </w:r>
      </w:hyperlink>
    </w:p>
    <w:p w:rsidR="00555BBB" w:rsidRDefault="00555BBB"/>
    <w:p w:rsidR="00555BBB" w:rsidRPr="00555BBB" w:rsidRDefault="00555BBB" w:rsidP="00555BBB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55B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Dataset</w:t>
      </w:r>
    </w:p>
    <w:p w:rsidR="00555BBB" w:rsidRPr="00555BBB" w:rsidRDefault="00555BBB" w:rsidP="00555BBB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Following list gives a brief description of all contained classes.</w:t>
      </w:r>
    </w:p>
    <w:p w:rsidR="00555BBB" w:rsidRPr="00555BBB" w:rsidRDefault="00555BBB" w:rsidP="00555BBB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55B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Peritoneum</w:t>
      </w:r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As one of the most frequently diagnosed types, peritoneal endometriosis is found on the peritoneum, i.e. the lining of the abdominal cavity, which occurs in a mixture of red, yellow and white </w:t>
      </w:r>
      <w:proofErr w:type="spellStart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colors</w:t>
      </w:r>
      <w:proofErr w:type="spellEnd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555BBB" w:rsidRPr="00555BBB" w:rsidRDefault="00555BBB" w:rsidP="00555BBB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55B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Ovary</w:t>
      </w:r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Endometriosis is as well very frequently found on ovaries, the </w:t>
      </w:r>
      <w:proofErr w:type="gramStart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outer</w:t>
      </w:r>
      <w:proofErr w:type="gramEnd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capsule of which appears in a shade of white.</w:t>
      </w:r>
    </w:p>
    <w:p w:rsidR="00555BBB" w:rsidRPr="00555BBB" w:rsidRDefault="00555BBB" w:rsidP="00555BBB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55B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Uterus</w:t>
      </w:r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Uterine endometriosis or </w:t>
      </w:r>
      <w:proofErr w:type="spellStart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adenomyosis</w:t>
      </w:r>
      <w:proofErr w:type="spellEnd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thickens the organ, which typically is </w:t>
      </w:r>
      <w:proofErr w:type="spellStart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colored</w:t>
      </w:r>
      <w:proofErr w:type="spellEnd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a red-tint.</w:t>
      </w:r>
    </w:p>
    <w:p w:rsidR="00555BBB" w:rsidRPr="00555BBB" w:rsidRDefault="00555BBB" w:rsidP="00555BBB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55B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Deep infiltrating endometriosis (DIE)</w:t>
      </w:r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Non-shallow endometriosis that is found on specific locations such as the rectum, the rectovaginal space or uterine ligaments is described as Deep </w:t>
      </w:r>
      <w:proofErr w:type="spellStart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Infil</w:t>
      </w:r>
      <w:proofErr w:type="spellEnd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</w:t>
      </w:r>
      <w:proofErr w:type="spellStart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trating</w:t>
      </w:r>
      <w:proofErr w:type="spellEnd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Endometriosis (DIE). Due to the variety of involved locations no distinct visual appearance can be attributed to this type of class, other than highlighting that typically the </w:t>
      </w:r>
      <w:proofErr w:type="spellStart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</w:t>
      </w:r>
      <w:proofErr w:type="spellEnd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spectrum in recorded </w:t>
      </w:r>
      <w:proofErr w:type="spellStart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laparascopic</w:t>
      </w:r>
      <w:proofErr w:type="spellEnd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videos lacks green tones.</w:t>
      </w:r>
    </w:p>
    <w:p w:rsidR="00555BBB" w:rsidRDefault="00555BBB" w:rsidP="00555BBB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55B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No pathology</w:t>
      </w:r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Video sequences containing no visible pathology in relation to endometriosis are included in the dataset, providing counter examples to </w:t>
      </w:r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above categories. Since this class does not contain any region-based annotations, in addition to a sequence showing a non-pathological uterus, below listing particularly includes examples of several anatomical structures from above pathological classes (e.g. peritoneum and ovaries). Again it is not possible to make any assumptions about the </w:t>
      </w:r>
      <w:proofErr w:type="spellStart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</w:t>
      </w:r>
      <w:proofErr w:type="spellEnd"/>
      <w:r w:rsidRPr="00555B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shape of objects within this class, since it includes images covering most areas of the pelvic region.</w:t>
      </w:r>
    </w:p>
    <w:p w:rsidR="00A7581D" w:rsidRDefault="00A7581D" w:rsidP="00A7581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7581D" w:rsidRDefault="00A7581D" w:rsidP="00A7581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  Available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with Annotated Images: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968"/>
        <w:gridCol w:w="1125"/>
        <w:gridCol w:w="1623"/>
        <w:gridCol w:w="1237"/>
        <w:gridCol w:w="1015"/>
        <w:gridCol w:w="1426"/>
      </w:tblGrid>
      <w:tr w:rsidR="00A7581D" w:rsidTr="00A7581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annotated class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cases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frames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annotations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preview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size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download</w:t>
            </w:r>
          </w:p>
        </w:tc>
      </w:tr>
      <w:tr w:rsidR="00A7581D" w:rsidTr="00A7581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right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peritoneum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84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257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489</w:t>
            </w:r>
          </w:p>
        </w:tc>
        <w:tc>
          <w:tcPr>
            <w:tcW w:w="0" w:type="auto"/>
            <w:vMerge w:val="restart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 w:val="restart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27MB</w:t>
            </w:r>
          </w:p>
        </w:tc>
        <w:tc>
          <w:tcPr>
            <w:tcW w:w="0" w:type="auto"/>
            <w:vMerge w:val="restart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A7581D" w:rsidTr="00A7581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right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ovary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27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53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54</w:t>
            </w:r>
          </w:p>
        </w:tc>
        <w:tc>
          <w:tcPr>
            <w:tcW w:w="0" w:type="auto"/>
            <w:vMerge/>
            <w:vAlign w:val="center"/>
            <w:hideMark/>
          </w:tcPr>
          <w:p w:rsidR="00A7581D" w:rsidRDefault="00A7581D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581D" w:rsidRDefault="00A7581D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581D" w:rsidRDefault="00A7581D">
            <w:pPr>
              <w:rPr>
                <w:color w:val="000000"/>
                <w:sz w:val="27"/>
                <w:szCs w:val="27"/>
              </w:rPr>
            </w:pPr>
          </w:p>
        </w:tc>
      </w:tr>
      <w:tr w:rsidR="00A7581D" w:rsidTr="00A7581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right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uterus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17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:rsidR="00A7581D" w:rsidRDefault="00A7581D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581D" w:rsidRDefault="00A7581D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581D" w:rsidRDefault="00A7581D">
            <w:pPr>
              <w:rPr>
                <w:color w:val="000000"/>
                <w:sz w:val="27"/>
                <w:szCs w:val="27"/>
              </w:rPr>
            </w:pPr>
          </w:p>
        </w:tc>
      </w:tr>
      <w:tr w:rsidR="00A7581D" w:rsidTr="00A7581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right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die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29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55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59</w:t>
            </w:r>
          </w:p>
        </w:tc>
        <w:tc>
          <w:tcPr>
            <w:tcW w:w="0" w:type="auto"/>
            <w:vMerge/>
            <w:vAlign w:val="center"/>
            <w:hideMark/>
          </w:tcPr>
          <w:p w:rsidR="00A7581D" w:rsidRDefault="00A7581D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581D" w:rsidRDefault="00A7581D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581D" w:rsidRDefault="00A7581D">
            <w:pPr>
              <w:rPr>
                <w:color w:val="000000"/>
                <w:sz w:val="27"/>
                <w:szCs w:val="27"/>
              </w:rPr>
            </w:pPr>
          </w:p>
        </w:tc>
      </w:tr>
      <w:tr w:rsidR="00A7581D" w:rsidTr="00A7581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right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total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102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373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628</w:t>
            </w:r>
          </w:p>
        </w:tc>
        <w:tc>
          <w:tcPr>
            <w:tcW w:w="0" w:type="auto"/>
            <w:vMerge/>
            <w:vAlign w:val="center"/>
            <w:hideMark/>
          </w:tcPr>
          <w:p w:rsidR="00A7581D" w:rsidRDefault="00A7581D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581D" w:rsidRDefault="00A7581D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581D" w:rsidRDefault="00A7581D">
            <w:pPr>
              <w:rPr>
                <w:color w:val="000000"/>
                <w:sz w:val="27"/>
                <w:szCs w:val="27"/>
              </w:rPr>
            </w:pPr>
          </w:p>
        </w:tc>
      </w:tr>
    </w:tbl>
    <w:p w:rsidR="00A7581D" w:rsidRDefault="00A7581D" w:rsidP="00A7581D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048"/>
        <w:gridCol w:w="1228"/>
        <w:gridCol w:w="1943"/>
        <w:gridCol w:w="868"/>
        <w:gridCol w:w="1576"/>
      </w:tblGrid>
      <w:tr w:rsidR="00A7581D" w:rsidTr="00A7581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lastRenderedPageBreak/>
              <w:t>unannotated class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cases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frames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preview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size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download</w:t>
            </w:r>
          </w:p>
        </w:tc>
      </w:tr>
      <w:tr w:rsidR="00A7581D" w:rsidTr="00A7581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45A8D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right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no pathology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27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13 438</w:t>
            </w:r>
          </w:p>
        </w:tc>
        <w:tc>
          <w:tcPr>
            <w:tcW w:w="0" w:type="auto"/>
            <w:shd w:val="clear" w:color="auto" w:fill="F1EEF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7581D" w:rsidRDefault="00A758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see </w:t>
            </w:r>
            <w:hyperlink r:id="rId6" w:tgtFrame="_blank" w:history="1">
              <w:r>
                <w:rPr>
                  <w:rStyle w:val="Hyperlink"/>
                  <w:sz w:val="27"/>
                  <w:szCs w:val="27"/>
                </w:rPr>
                <w:t>v1.0</w:t>
              </w:r>
            </w:hyperlink>
            <w:r>
              <w:rPr>
                <w:color w:val="000000"/>
                <w:sz w:val="27"/>
                <w:szCs w:val="27"/>
              </w:rPr>
              <w:t> page</w:t>
            </w:r>
          </w:p>
        </w:tc>
        <w:tc>
          <w:tcPr>
            <w:tcW w:w="0" w:type="auto"/>
            <w:vAlign w:val="center"/>
            <w:hideMark/>
          </w:tcPr>
          <w:p w:rsidR="00A7581D" w:rsidRDefault="00A7581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581D" w:rsidRDefault="00A7581D">
            <w:pPr>
              <w:rPr>
                <w:sz w:val="20"/>
                <w:szCs w:val="20"/>
              </w:rPr>
            </w:pPr>
          </w:p>
        </w:tc>
      </w:tr>
    </w:tbl>
    <w:p w:rsidR="00A7581D" w:rsidRPr="00555BBB" w:rsidRDefault="00A7581D" w:rsidP="00A7581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555BBB" w:rsidRDefault="00555BBB"/>
    <w:sectPr w:rsidR="0055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06062"/>
    <w:multiLevelType w:val="multilevel"/>
    <w:tmpl w:val="BB74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BB"/>
    <w:rsid w:val="00392CDE"/>
    <w:rsid w:val="00555BBB"/>
    <w:rsid w:val="00A7581D"/>
    <w:rsid w:val="00D8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008C2-C916-4271-B83A-799B07B2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5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5B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5B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55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.itec.aau.at/datasets/GLENDA/v1_0/index.html" TargetMode="External"/><Relationship Id="rId5" Type="http://schemas.openxmlformats.org/officeDocument/2006/relationships/hyperlink" Target="https://doi.org/10.1007/978-3-030-37734-2_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2022-02-05T18:56:00Z</dcterms:created>
  <dcterms:modified xsi:type="dcterms:W3CDTF">2022-02-06T11:33:00Z</dcterms:modified>
</cp:coreProperties>
</file>