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EGMS</w:t>
      </w:r>
      <w:r>
        <w:t xml:space="preserve"> </w:t>
      </w:r>
      <w:r>
        <w:t xml:space="preserve">kontra</w:t>
      </w:r>
      <w:r>
        <w:t xml:space="preserve"> </w:t>
      </w:r>
      <w:r>
        <w:t xml:space="preserve">pomiar</w:t>
      </w:r>
      <w:r>
        <w:t xml:space="preserve"> </w:t>
      </w:r>
      <w:r>
        <w:t xml:space="preserve">naziemny</w:t>
      </w:r>
    </w:p>
    <w:p>
      <w:pPr>
        <w:pStyle w:val="Subtitle"/>
      </w:pPr>
      <w:r>
        <w:t xml:space="preserve">Raport</w:t>
      </w:r>
      <w:r>
        <w:t xml:space="preserve"> </w:t>
      </w:r>
      <w:r>
        <w:t xml:space="preserve">na</w:t>
      </w:r>
      <w:r>
        <w:t xml:space="preserve"> </w:t>
      </w:r>
      <w:r>
        <w:t xml:space="preserve">spotkanie</w:t>
      </w:r>
    </w:p>
    <w:p>
      <w:pPr>
        <w:pStyle w:val="Date"/>
      </w:pPr>
      <w:r>
        <w:t xml:space="preserve">16</w:t>
      </w:r>
      <w:r>
        <w:t xml:space="preserve"> </w:t>
      </w:r>
      <w:r>
        <w:t xml:space="preserve">października</w:t>
      </w:r>
      <w:r>
        <w:t xml:space="preserve"> </w:t>
      </w:r>
      <w:r>
        <w:t xml:space="preserve">2026</w:t>
      </w:r>
    </w:p>
    <w:p>
      <w:pPr>
        <w:pStyle w:val="FirstParagraph"/>
      </w:pPr>
      <w:r>
        <w:rPr>
          <w:bCs/>
          <w:b/>
        </w:rPr>
        <w:t xml:space="preserve">W skrócie:</w:t>
      </w:r>
    </w:p>
    <w:p>
      <w:pPr>
        <w:numPr>
          <w:ilvl w:val="0"/>
          <w:numId w:val="1001"/>
        </w:numPr>
        <w:pStyle w:val="Compact"/>
      </w:pPr>
      <w:r>
        <w:t xml:space="preserve">Niwelacja, niezależna od GNSS, potwierdza osiadanie widoczne w EGMS.</w:t>
      </w:r>
    </w:p>
    <w:p>
      <w:pPr>
        <w:numPr>
          <w:ilvl w:val="0"/>
          <w:numId w:val="1001"/>
        </w:numPr>
        <w:pStyle w:val="Compact"/>
      </w:pPr>
      <w:r>
        <w:t xml:space="preserve">Niecki zgadzają się co do miejsca, kierunku ruchu (100% reperów w nieckach) i skali (do −140 mm w 3 lata).</w:t>
      </w:r>
    </w:p>
    <w:p>
      <w:pPr>
        <w:numPr>
          <w:ilvl w:val="0"/>
          <w:numId w:val="1001"/>
        </w:numPr>
        <w:pStyle w:val="Compact"/>
      </w:pPr>
      <w:r>
        <w:t xml:space="preserve">EGMS ma stałe przesunięcie −1,22 mm/rok względem niwelacji.</w:t>
      </w:r>
    </w:p>
    <w:p>
      <w:pPr>
        <w:numPr>
          <w:ilvl w:val="0"/>
          <w:numId w:val="1001"/>
        </w:numPr>
        <w:pStyle w:val="Compact"/>
      </w:pPr>
      <w:r>
        <w:t xml:space="preserve">Faktyczna różnica EGMS–niwelacja jest ok. 2 razy większa niż szum deklarowany w plikach EGMS.</w:t>
      </w:r>
    </w:p>
    <w:bookmarkStart w:id="20" w:name="cel"/>
    <w:p>
      <w:pPr>
        <w:pStyle w:val="Heading1"/>
      </w:pPr>
      <w:r>
        <w:t xml:space="preserve">Cel</w:t>
      </w:r>
    </w:p>
    <w:p>
      <w:pPr>
        <w:pStyle w:val="FirstParagraph"/>
      </w:pPr>
      <w:r>
        <w:t xml:space="preserve">Sprawdzono, czy European Ground Motion Service (EGMS) pokazuje ten sam ruch terenu co pomiary naziemne. EGMS porównano z dwoma niezależnymi źródłami: stacjami GNSS i niwelacją precyzyjną. Progi oceny ustalono przed obliczeniami.</w:t>
      </w:r>
    </w:p>
    <w:bookmarkEnd w:id="20"/>
    <w:bookmarkStart w:id="21" w:name="dane-wejściowe"/>
    <w:p>
      <w:pPr>
        <w:pStyle w:val="Heading1"/>
      </w:pPr>
      <w:r>
        <w:t xml:space="preserve">Dane wejściowe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GNSS — Groningen (Holandia)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Niwelacja — zachodnia NRW (Niemcy)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Ruch terenu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osiadanie przez wydobycie gazu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niecki osiadania wokół odkrywek węgla brunatnego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Pomiar naziemny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stacji GNSS (27 osiadających, 8 stabilnych), pozycje dobowe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1216 reperów z dwoma pomiarami (zwykle 05.2019 i 05.2022)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Produkt EGMS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L2b Calibrated 2020–2024, ruch w kierunku satelity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Ortho 2019–2023, ruch pionowy, komórki 100 × 100 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Porównywana wielkość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ruchu [mm/rok], 125 par stacja–ścieżka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zmiana wysokości [mm] między tymi samymi dniami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Publikacja odniesienia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Koudogbo i in. (2025); Fabris i Nazari (2026)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 i in. (2024) — ten sam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Niezależność od EGMS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częściowa (EGMS kalibrowany modelem GNSS)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pełna</w:t>
            </w:r>
          </w:p>
        </w:tc>
      </w:tr>
    </w:tbl>
    <w:bookmarkEnd w:id="21"/>
    <w:bookmarkStart w:id="22" w:name="metoda"/>
    <w:p>
      <w:pPr>
        <w:pStyle w:val="Heading1"/>
      </w:pPr>
      <w:r>
        <w:t xml:space="preserve">Metoda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GNSS:</w:t>
      </w:r>
      <w:r>
        <w:t xml:space="preserve"> </w:t>
      </w:r>
      <w:r>
        <w:t xml:space="preserve">punkty EGMS w promieniu 100 m od stacji (min. 3); ruch GNSS przeliczony na kierunek patrzenia satelity; dla obu szeregów ten sam model (trend i sinusoida roczna).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Niwelacja:</w:t>
      </w:r>
      <w:r>
        <w:t xml:space="preserve"> </w:t>
      </w:r>
      <w:r>
        <w:t xml:space="preserve">każdy reper z dwoma pomiarami w oknie EGMS (odstęp min. 1 rok) i komórka EGMS, w której leży; porównano zmianę wysokości między tymi samymi dniami.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Ocena:</w:t>
      </w:r>
      <w:r>
        <w:t xml:space="preserve"> </w:t>
      </w:r>
      <w:r>
        <w:t xml:space="preserve">kryteria K1–K3 (GNSS) i N1–N4 (niwelacja), progi zatwierdzone 12.10.2026 przed obliczeniami.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Wariant względny:</w:t>
      </w:r>
      <w:r>
        <w:t xml:space="preserve"> </w:t>
      </w:r>
      <w:r>
        <w:t xml:space="preserve">oba pomiary liczone względem 307 reperów stabilnych według niwelacji (usuwa wspólne „zero”); wariant dodatkowy, werdykt główny bez zmian.</w:t>
      </w:r>
    </w:p>
    <w:bookmarkEnd w:id="22"/>
    <w:bookmarkStart w:id="29" w:name="wynik-1-gnss-groningen"/>
    <w:p>
      <w:pPr>
        <w:pStyle w:val="Heading1"/>
      </w:pPr>
      <w:r>
        <w:t xml:space="preserve">Wynik 1: GNSS — Groningen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Kryterium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Wynik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Próg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Spełnione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K1: zgodność tempa osiadania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 par z różnicą ≤ 1,5 mm/rok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K2: zgodność szeregów w czasie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mediana rozrzutu różnicy 4,7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5,0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K3: stacje stabilne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największa różnica 1,62 mm/rok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1,5 mm/rok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</w:p>
        </w:tc>
      </w:tr>
    </w:tbl>
    <w:p>
      <w:pPr>
        <w:pStyle w:val="BodyText"/>
      </w:pPr>
      <w:r>
        <w:t xml:space="preserve">Wynik formalny: zgodność częściowa (K3 przekroczone o 0,12 mm/rok na jednej stacji).</w:t>
      </w:r>
    </w:p>
    <w:p>
      <w:pPr>
        <w:pStyle w:val="CaptionedFigure"/>
      </w:pPr>
      <w:r>
        <w:drawing>
          <wp:inline>
            <wp:extent cx="4319999" cy="4047522"/>
            <wp:effectExtent b="0" l="0" r="0" t="0"/>
            <wp:docPr descr="EGMS kontra GNSS w Groningen: punkt = stacja widziana z jednej ścieżki satelity, linia 1:1, szary pas ±1,5 mm/rok" title="" id="24" name="Picture"/>
            <a:graphic>
              <a:graphicData uri="http://schemas.openxmlformats.org/drawingml/2006/picture">
                <pic:pic>
                  <pic:nvPicPr>
                    <pic:cNvPr descr="/tmp/claude-0/-home-user-2-geoworldlook-egmscheck/adccf45a-26f6-515f-aa00-03d5d0c40b81/scratchpad/userdoc/media/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4047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EGMS kontra GNSS w Groningen: punkt = stacja widziana z jednej ścieżki satelity, linia 1:1, szary pas ±1,5 mm/rok</w:t>
      </w:r>
    </w:p>
    <w:p>
      <w:pPr>
        <w:pStyle w:val="CaptionedFigure"/>
      </w:pPr>
      <w:r>
        <w:drawing>
          <wp:inline>
            <wp:extent cx="4679999" cy="7826086"/>
            <wp:effectExtent b="0" l="0" r="0" t="0"/>
            <wp:docPr descr="Stacja AME1, 2020–2024: EGMS (niebieska linia) i dobowe GNSS (pomarańczowe kropki) na czterech ścieżkach satelity i w pionie" title="" id="27" name="Picture"/>
            <a:graphic>
              <a:graphicData uri="http://schemas.openxmlformats.org/drawingml/2006/picture">
                <pic:pic>
                  <pic:nvPicPr>
                    <pic:cNvPr descr="/tmp/claude-0/-home-user-2-geoworldlook-egmscheck/adccf45a-26f6-515f-aa00-03d5d0c40b81/scratchpad/userdoc/media/media/image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78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Stacja AME1, 2020–2024: EGMS (niebieska linia) i dobowe GNSS (pomarańczowe kropki) na czterech ścieżkach satelity i w pionie</w:t>
      </w:r>
    </w:p>
    <w:p>
      <w:pPr>
        <w:pStyle w:val="BodyText"/>
      </w:pPr>
      <w:r>
        <w:t xml:space="preserve">Na stacji AME1 trend na wszystkich ścieżkach jest ten sam (−20 do −30 mm w 5 lat). GNSS ma ruch sezonowy ok. ±10 mm, którego EGMS prawie nie pokazuje; stąd K2 blisko progu.</w:t>
      </w:r>
    </w:p>
    <w:bookmarkEnd w:id="29"/>
    <w:bookmarkStart w:id="42" w:name="wynik-2-niwelacja-zachodnia-nrw"/>
    <w:p>
      <w:pPr>
        <w:pStyle w:val="Heading1"/>
      </w:pPr>
      <w:r>
        <w:t xml:space="preserve">Wynik 2: niwelacja — zachodnia NRW</w:t>
      </w:r>
    </w:p>
    <w:p>
      <w:pPr>
        <w:numPr>
          <w:ilvl w:val="0"/>
          <w:numId w:val="1003"/>
        </w:numPr>
        <w:pStyle w:val="Compact"/>
      </w:pPr>
      <w:r>
        <w:t xml:space="preserve">Zmiana wysokości z EGMS jest prawie 1:1 ze zmianą z niwelacji (nachylenie 0,96), od 0 do −140 mm w 3 lata.</w:t>
      </w:r>
    </w:p>
    <w:p>
      <w:pPr>
        <w:numPr>
          <w:ilvl w:val="0"/>
          <w:numId w:val="1003"/>
        </w:numPr>
        <w:pStyle w:val="Compact"/>
      </w:pPr>
      <w:r>
        <w:t xml:space="preserve">Cała chmura punktów jest przesunięta w dół: EGMS pokazuje więcej osiadania o −1,22 ± 0,05 mm/rok.</w:t>
      </w:r>
    </w:p>
    <w:p>
      <w:pPr>
        <w:numPr>
          <w:ilvl w:val="0"/>
          <w:numId w:val="1003"/>
        </w:numPr>
        <w:pStyle w:val="Compact"/>
      </w:pPr>
      <w:r>
        <w:t xml:space="preserve">Rozrzut różnic (1,04 mm/rok) jest taki sam jak u Even i in. (2024) w tym regionie (1,12 mm/rok).</w:t>
      </w:r>
    </w:p>
    <w:p>
      <w:pPr>
        <w:pStyle w:val="CaptionedFigure"/>
      </w:pPr>
      <w:r>
        <w:drawing>
          <wp:inline>
            <wp:extent cx="5039999" cy="3948591"/>
            <wp:effectExtent b="0" l="0" r="0" t="0"/>
            <wp:docPr descr="Mapa tempa ruchu pionowego EGMS 2019–2023" title="" id="31" name="Picture"/>
            <a:graphic>
              <a:graphicData uri="http://schemas.openxmlformats.org/drawingml/2006/picture">
                <pic:pic>
                  <pic:nvPicPr>
                    <pic:cNvPr descr="/tmp/claude-0/-home-user-2-geoworldlook-egmscheck/adccf45a-26f6-515f-aa00-03d5d0c40b81/scratchpad/userdoc/media/media/image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948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Mapa tempa ruchu pionowego EGMS 2019–2023</w:t>
      </w:r>
    </w:p>
    <w:p>
      <w:pPr>
        <w:pStyle w:val="CaptionedFigure"/>
      </w:pPr>
      <w:r>
        <w:drawing>
          <wp:inline>
            <wp:extent cx="4319999" cy="4550878"/>
            <wp:effectExtent b="0" l="0" r="0" t="0"/>
            <wp:docPr descr="Zmiana wysokości 2019–2022: niwelacja kontra EGMS, 1216 reperów; pomarańczowe punkty = repery w nieckach" title="" id="34" name="Picture"/>
            <a:graphic>
              <a:graphicData uri="http://schemas.openxmlformats.org/drawingml/2006/picture">
                <pic:pic>
                  <pic:nvPicPr>
                    <pic:cNvPr descr="/tmp/claude-0/-home-user-2-geoworldlook-egmscheck/adccf45a-26f6-515f-aa00-03d5d0c40b81/scratchpad/userdoc/media/media/image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4550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Zmiana wysokości 2019–2022: niwelacja kontra EGMS, 1216 reperów; pomarańczowe punkty = repery w nieckach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Kryterium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Próg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Wariant główny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Względem reperów stabilnych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N1: typowa różnica EGMS − niwelacja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 mm 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 mm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N2: zgodność kierunku ruchu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77% 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94%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N3: repery stabilne bez fałszywego ruchu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 mm 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 dotyczy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N4: przesunięcie tempa EGMS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1,5 mm/rok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−1,97 mm/rok 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−1,00 mm/rok ✔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Grupa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Repery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Typowa różnica [mm]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Zgodność kierunku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Nachylenie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Najbliższa stacja GNSS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wszystkie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niecki (≥ 10 mm/rok)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 (względnie 2,6)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pozostałe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</w:tbl>
    <w:p>
      <w:pPr>
        <w:pStyle w:val="BodyText"/>
      </w:pPr>
      <w:r>
        <w:t xml:space="preserve">Niecki mają kilka kilometrów szerokości, a model GNSS do kalibracji EGMS ma siatkę ok. 50 km — niecki są mierzone przez EGMS, a nie odtwarzane z kalibracji.</w:t>
      </w:r>
    </w:p>
    <w:p>
      <w:pPr>
        <w:pStyle w:val="CaptionedFigure"/>
      </w:pPr>
      <w:r>
        <w:drawing>
          <wp:inline>
            <wp:extent cx="5334000" cy="2096786"/>
            <wp:effectExtent b="0" l="0" r="0" t="0"/>
            <wp:docPr descr="Reper 5104900560 (najszybsze osiadanie): niwelacja −140 mm, EGMS −143 mm" title="" id="37" name="Picture"/>
            <a:graphic>
              <a:graphicData uri="http://schemas.openxmlformats.org/drawingml/2006/picture">
                <pic:pic>
                  <pic:nvPicPr>
                    <pic:cNvPr descr="/tmp/claude-0/-home-user-2-geoworldlook-egmscheck/adccf45a-26f6-515f-aa00-03d5d0c40b81/scratchpad/userdoc/media/media/image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6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Reper 5104900560 (najszybsze osiadanie): niwelacja −140 mm, EGMS −143 mm</w:t>
      </w:r>
    </w:p>
    <w:p>
      <w:pPr>
        <w:pStyle w:val="CaptionedFigure"/>
      </w:pPr>
      <w:r>
        <w:drawing>
          <wp:inline>
            <wp:extent cx="5334000" cy="2096786"/>
            <wp:effectExtent b="0" l="0" r="0" t="0"/>
            <wp:docPr descr="Reper 5104900593 (mediana niecek): niwelacja −50 mm, EGMS −52 mm" title="" id="40" name="Picture"/>
            <a:graphic>
              <a:graphicData uri="http://schemas.openxmlformats.org/drawingml/2006/picture">
                <pic:pic>
                  <pic:nvPicPr>
                    <pic:cNvPr descr="/tmp/claude-0/-home-user-2-geoworldlook-egmscheck/adccf45a-26f6-515f-aa00-03d5d0c40b81/scratchpad/userdoc/media/media/image6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6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Reper 5104900593 (mediana niecek): niwelacja −50 mm, EGMS −52 mm</w:t>
      </w:r>
    </w:p>
    <w:bookmarkEnd w:id="42"/>
    <w:bookmarkStart w:id="46" w:name="reper-stabilny-4804901107"/>
    <w:p>
      <w:pPr>
        <w:pStyle w:val="Heading1"/>
      </w:pPr>
      <w:r>
        <w:t xml:space="preserve">Reper stabilny 4804901107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Wartość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Niwelacja / EGMS (3,16 roku)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−3,1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Wspólne tempo EGMS na 307 reperach stabilnych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−1,22 mm/rok = −3,8 mm w tym czasie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Mediana zmiany EGMS w grupie stabilnej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Różnica po odjęciu wspólnego przesunięcia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+0,8 mm (szum EGMS ±1,1 mm, typowa różnica ±4,6 mm)</w:t>
            </w:r>
          </w:p>
        </w:tc>
      </w:tr>
    </w:tbl>
    <w:p>
      <w:pPr>
        <w:pStyle w:val="CaptionedFigure"/>
      </w:pPr>
      <w:r>
        <w:drawing>
          <wp:inline>
            <wp:extent cx="5334000" cy="2880741"/>
            <wp:effectExtent b="0" l="0" r="0" t="0"/>
            <wp:docPr descr="Reper 4804901107: A — EGMS i wspólne tempo grupy stabilnej, B — po odjęciu tego tempa, C — rozkład zmian EGMS na 307 reperach stabilnych z progiem N3" title="" id="44" name="Picture"/>
            <a:graphic>
              <a:graphicData uri="http://schemas.openxmlformats.org/drawingml/2006/picture">
                <pic:pic>
                  <pic:nvPicPr>
                    <pic:cNvPr descr="/tmp/claude-0/-home-user-2-geoworldlook-egmscheck/adccf45a-26f6-515f-aa00-03d5d0c40b81/scratchpad/userdoc/media/media/image7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0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Reper 4804901107: A — EGMS i wspólne tempo grupy stabilnej, B — po odjęciu tego tempa, C — rozkład zmian EGMS na 307 reperach stabilnych z progiem N3</w:t>
      </w:r>
    </w:p>
    <w:p>
      <w:pPr>
        <w:pStyle w:val="BodyText"/>
      </w:pPr>
      <w:r>
        <w:t xml:space="preserve">Różnica na tym reperze odpowiada wspólnemu przesunięciu całej grupy stabilnej; po jego odjęciu mieści się w niepewności. Kryterium N3 jest spełnione.</w:t>
      </w:r>
    </w:p>
    <w:bookmarkEnd w:id="46"/>
    <w:bookmarkStart w:id="47" w:name="niepewność"/>
    <w:p>
      <w:pPr>
        <w:pStyle w:val="Heading1"/>
      </w:pPr>
      <w:r>
        <w:t xml:space="preserve">Niepewność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Pas (±2σ, mediana)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Szerokość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W pasie: wariant główny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W pasie: wariant względny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szum EGMS (σ = √2 · rmse z plików EGMS)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±2,0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typowa różnica EGMS–niwelacja (repery stabilne)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±4,4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0A0A0"/>
          <w:left w:val="single" w:sz="4" w:color="A0A0A0"/>
          <w:bottom w:val="single" w:sz="4" w:color="A0A0A0"/>
          <w:right w:val="single" w:sz="4" w:color="A0A0A0"/>
          <w:insideH w:val="single" w:sz="4" w:color="A0A0A0"/>
          <w:insideV w:val="single" w:sz="4" w:color="A0A0A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Reper (największe różnice w nieckach)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Niwelacja [mm]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EGMS [mm]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EGMS − niwelacja [mm]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Szum EGMS ±2σ [mm]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5104900368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5104900601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5104900095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47"/>
    <w:bookmarkStart w:id="48" w:name="wnioski"/>
    <w:p>
      <w:pPr>
        <w:pStyle w:val="Heading1"/>
      </w:pPr>
      <w:r>
        <w:t xml:space="preserve">Wnioski</w:t>
      </w:r>
    </w:p>
    <w:p>
      <w:pPr>
        <w:numPr>
          <w:ilvl w:val="0"/>
          <w:numId w:val="1004"/>
        </w:numPr>
        <w:pStyle w:val="Compact"/>
      </w:pPr>
      <w:r>
        <w:t xml:space="preserve">Niwelacja, niezależna od GNSS, potwierdza osiadanie widoczne w EGMS: to samo miejsce, ten sam kierunek ruchu (100% reperów w nieckach) i ta sama skala (nachylenie 0,98).</w:t>
      </w:r>
    </w:p>
    <w:p>
      <w:pPr>
        <w:numPr>
          <w:ilvl w:val="0"/>
          <w:numId w:val="1004"/>
        </w:numPr>
        <w:pStyle w:val="Compact"/>
      </w:pPr>
      <w:r>
        <w:t xml:space="preserve">EGMS mierzy niecki samodzielnie — są kilkakrotnie mniejsze niż siatka modelu kalibracji GNSS.</w:t>
      </w:r>
    </w:p>
    <w:p>
      <w:pPr>
        <w:numPr>
          <w:ilvl w:val="0"/>
          <w:numId w:val="1004"/>
        </w:numPr>
        <w:pStyle w:val="Compact"/>
      </w:pPr>
      <w:r>
        <w:t xml:space="preserve">EGMS ma wspólne przesunięcie −1,22 mm/rok względem niwelacji. Po jego odjęciu wszystkie liczone kryteria są spełnione; połowa reperów zgadza się w 3,4 mm (3 lata).</w:t>
      </w:r>
    </w:p>
    <w:p>
      <w:pPr>
        <w:numPr>
          <w:ilvl w:val="0"/>
          <w:numId w:val="1004"/>
        </w:numPr>
        <w:pStyle w:val="Compact"/>
      </w:pPr>
      <w:r>
        <w:t xml:space="preserve">Szum deklarowany w plikach EGMS jest ok. 2 razy mniejszy niż faktyczna różnica z niwelacją.</w:t>
      </w:r>
    </w:p>
    <w:p>
      <w:pPr>
        <w:numPr>
          <w:ilvl w:val="0"/>
          <w:numId w:val="1004"/>
        </w:numPr>
        <w:pStyle w:val="Compact"/>
      </w:pPr>
      <w:r>
        <w:t xml:space="preserve">W Groningen tempo osiadania z EGMS zgadza się z GNSS w 99% par; wynik formalny: zgodność częściowa.</w:t>
      </w:r>
    </w:p>
    <w:p>
      <w:pPr>
        <w:numPr>
          <w:ilvl w:val="0"/>
          <w:numId w:val="1004"/>
        </w:numPr>
        <w:pStyle w:val="Compact"/>
      </w:pPr>
      <w:r>
        <w:t xml:space="preserve">EGMS nadaje się do oceny, gdzie i o ile teren osiada (ruch od kilku mm/rok). Przy ruchu poniżej ok. 2 mm/rok i wysokościach bezwzględnych potrzebny jest punkt odniesienia z pomiaru naziemnego.</w:t>
      </w:r>
    </w:p>
    <w:bookmarkEnd w:id="48"/>
    <w:bookmarkStart w:id="50" w:name="egms-w-praktyce-deutsche-bahn"/>
    <w:p>
      <w:pPr>
        <w:pStyle w:val="Heading1"/>
      </w:pPr>
      <w:r>
        <w:t xml:space="preserve">EGMS w praktyce: Deutsche Bahn</w:t>
      </w:r>
    </w:p>
    <w:p>
      <w:pPr>
        <w:pStyle w:val="FirstParagraph"/>
      </w:pPr>
      <w:r>
        <w:t xml:space="preserve">DB InfraGO (Deutsche Bahn, sieć 33 400 km) testuje EGMS jako warstwę wczesnego ostrzegania o nierównym osiadaniu toru w miejscach słabego odwodnienia (</w:t>
      </w:r>
      <w:hyperlink r:id="rId49">
        <w:r>
          <w:rPr>
            <w:rStyle w:val="Hyperlink"/>
          </w:rPr>
          <w:t xml:space="preserve">Copernicus Land Monitoring Service</w:t>
        </w:r>
      </w:hyperlink>
      <w:r>
        <w:t xml:space="preserve">):</w:t>
      </w:r>
    </w:p>
    <w:p>
      <w:pPr>
        <w:numPr>
          <w:ilvl w:val="0"/>
          <w:numId w:val="1005"/>
        </w:numPr>
        <w:pStyle w:val="Compact"/>
      </w:pPr>
      <w:r>
        <w:t xml:space="preserve">pilotaż na południe od Monachium: punkty EGMS w pasie 30 m wzdłuż toru, ranking odcinków do utrzymania;</w:t>
      </w:r>
    </w:p>
    <w:p>
      <w:pPr>
        <w:numPr>
          <w:ilvl w:val="0"/>
          <w:numId w:val="1005"/>
        </w:numPr>
        <w:pStyle w:val="Compact"/>
      </w:pPr>
      <w:r>
        <w:t xml:space="preserve">wilgotność gleby w warstwie 60–100 cm wyraźnie wiąże się z ruchem terenu (warstwa 0–30 cm — słabo);</w:t>
      </w:r>
    </w:p>
    <w:p>
      <w:pPr>
        <w:numPr>
          <w:ilvl w:val="0"/>
          <w:numId w:val="1005"/>
        </w:numPr>
        <w:pStyle w:val="Compact"/>
      </w:pPr>
      <w:r>
        <w:t xml:space="preserve">EGMS pokazał ruchy do 10 mm w ciągu dni–tygodni po silnych opadach;</w:t>
      </w:r>
    </w:p>
    <w:p>
      <w:pPr>
        <w:numPr>
          <w:ilvl w:val="0"/>
          <w:numId w:val="1005"/>
        </w:numPr>
        <w:pStyle w:val="Compact"/>
      </w:pPr>
      <w:r>
        <w:t xml:space="preserve">DB wskazuje potrzebę walidacji pomiarem naziemnym przed rutynowym użyciem.</w:t>
      </w:r>
    </w:p>
    <w:p>
      <w:pPr>
        <w:pStyle w:val="FirstParagraph"/>
      </w:pPr>
      <w:r>
        <w:t xml:space="preserve">Związek z wynikami: DB porównuje sąsiednie odcinki, więc wspólne przesunięcie EGMS nie ma znaczenia; walidacja naziemna, której DB potrzebuje, jest przedmiotem tego raportu.</w:t>
      </w:r>
    </w:p>
    <w:bookmarkEnd w:id="50"/>
    <w:bookmarkStart w:id="55" w:name="źródła-danych"/>
    <w:p>
      <w:pPr>
        <w:pStyle w:val="Heading1"/>
      </w:pPr>
      <w:r>
        <w:t xml:space="preserve">Źródła danych</w:t>
      </w:r>
    </w:p>
    <w:p>
      <w:pPr>
        <w:numPr>
          <w:ilvl w:val="0"/>
          <w:numId w:val="1006"/>
        </w:numPr>
        <w:pStyle w:val="Compact"/>
      </w:pPr>
      <w:hyperlink r:id="rId51">
        <w:r>
          <w:rPr>
            <w:rStyle w:val="Hyperlink"/>
          </w:rPr>
          <w:t xml:space="preserve">European Ground Motion Service (Copernicus)</w:t>
        </w:r>
      </w:hyperlink>
      <w:r>
        <w:t xml:space="preserve"> </w:t>
      </w:r>
      <w:r>
        <w:t xml:space="preserve">— EGMS L2b Calibrated 2020–2024, L3 Ortho 2019–2023</w:t>
      </w:r>
    </w:p>
    <w:p>
      <w:pPr>
        <w:numPr>
          <w:ilvl w:val="0"/>
          <w:numId w:val="1006"/>
        </w:numPr>
        <w:pStyle w:val="Compact"/>
      </w:pPr>
      <w:hyperlink r:id="rId52">
        <w:r>
          <w:rPr>
            <w:rStyle w:val="Hyperlink"/>
          </w:rPr>
          <w:t xml:space="preserve">Nevada Geodetic Laboratory</w:t>
        </w:r>
      </w:hyperlink>
      <w:r>
        <w:t xml:space="preserve"> </w:t>
      </w:r>
      <w:r>
        <w:t xml:space="preserve">— dobowe szeregi GNSS</w:t>
      </w:r>
    </w:p>
    <w:p>
      <w:pPr>
        <w:numPr>
          <w:ilvl w:val="0"/>
          <w:numId w:val="1006"/>
        </w:numPr>
        <w:pStyle w:val="Compact"/>
      </w:pPr>
      <w:r>
        <w:t xml:space="preserve">Geobasis NRW, Höhenfestpunkte:</w:t>
      </w:r>
      <w:r>
        <w:t xml:space="preserve"> </w:t>
      </w:r>
      <w:hyperlink r:id="rId53">
        <w:r>
          <w:rPr>
            <w:rStyle w:val="Hyperlink"/>
          </w:rPr>
          <w:t xml:space="preserve">Punktliste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Punktliste mit Zeitfolge</w:t>
        </w:r>
      </w:hyperlink>
      <w:r>
        <w:t xml:space="preserve"> </w:t>
      </w:r>
      <w:r>
        <w:t xml:space="preserve">— niwelacja</w:t>
      </w:r>
    </w:p>
    <w:bookmarkEnd w:id="55"/>
    <w:bookmarkStart w:id="60" w:name="literatura"/>
    <w:p>
      <w:pPr>
        <w:pStyle w:val="Heading1"/>
      </w:pPr>
      <w:r>
        <w:t xml:space="preserve">Literatura</w:t>
      </w:r>
    </w:p>
    <w:p>
      <w:pPr>
        <w:numPr>
          <w:ilvl w:val="0"/>
          <w:numId w:val="1007"/>
        </w:numPr>
        <w:pStyle w:val="Compact"/>
      </w:pPr>
      <w:r>
        <w:t xml:space="preserve">Blewitt G., Kreemer C., Hammond W. C., Gazeaux J. (2016). MIDAS robust trend estimator for accurate GPS station velocities without step detection.</w:t>
      </w:r>
      <w:r>
        <w:t xml:space="preserve"> </w:t>
      </w:r>
      <w:r>
        <w:rPr>
          <w:iCs/>
          <w:i/>
        </w:rPr>
        <w:t xml:space="preserve">J. Geophys. Res. Solid Earth</w:t>
      </w:r>
      <w:r>
        <w:t xml:space="preserve">, 121, 2054–2068.</w:t>
      </w:r>
      <w:r>
        <w:t xml:space="preserve"> </w:t>
      </w:r>
      <w:hyperlink r:id="rId56">
        <w:r>
          <w:rPr>
            <w:rStyle w:val="Hyperlink"/>
          </w:rPr>
          <w:t xml:space="preserve">doi:10.1002/2015JB012552</w:t>
        </w:r>
      </w:hyperlink>
    </w:p>
    <w:p>
      <w:pPr>
        <w:numPr>
          <w:ilvl w:val="0"/>
          <w:numId w:val="1007"/>
        </w:numPr>
        <w:pStyle w:val="Compact"/>
      </w:pPr>
      <w:r>
        <w:t xml:space="preserve">Crosetto M. i in. (2025).</w:t>
      </w:r>
      <w:r>
        <w:t xml:space="preserve"> </w:t>
      </w:r>
      <w:r>
        <w:rPr>
          <w:iCs/>
          <w:i/>
        </w:rPr>
        <w:t xml:space="preserve">EGMS Validation White Paper</w:t>
      </w:r>
      <w:r>
        <w:t xml:space="preserve">, wersja 3.0. European Environment Agency.</w:t>
      </w:r>
    </w:p>
    <w:p>
      <w:pPr>
        <w:numPr>
          <w:ilvl w:val="0"/>
          <w:numId w:val="1007"/>
        </w:numPr>
        <w:pStyle w:val="Compact"/>
      </w:pPr>
      <w:r>
        <w:t xml:space="preserve">Even M., Westerhaus M., Kutterer H. (2024). German and European Ground Motion Service: a Comparison.</w:t>
      </w:r>
      <w:r>
        <w:t xml:space="preserve"> </w:t>
      </w:r>
      <w:r>
        <w:rPr>
          <w:iCs/>
          <w:i/>
        </w:rPr>
        <w:t xml:space="preserve">PFG</w:t>
      </w:r>
      <w:r>
        <w:t xml:space="preserve">, 92, 253–270.</w:t>
      </w:r>
      <w:r>
        <w:t xml:space="preserve"> </w:t>
      </w:r>
      <w:hyperlink r:id="rId57">
        <w:r>
          <w:rPr>
            <w:rStyle w:val="Hyperlink"/>
          </w:rPr>
          <w:t xml:space="preserve">doi:10.1007/s41064-024-00273-3</w:t>
        </w:r>
      </w:hyperlink>
    </w:p>
    <w:p>
      <w:pPr>
        <w:numPr>
          <w:ilvl w:val="0"/>
          <w:numId w:val="1007"/>
        </w:numPr>
        <w:pStyle w:val="Compact"/>
      </w:pPr>
      <w:r>
        <w:t xml:space="preserve">Fabris M., Nazari S. (2026). Analysis of InSAR datasets from the EGMS and Veneto region using ground-based GNSS velocities for the monitoring of land subsidence in the Po river delta (Italy).</w:t>
      </w:r>
      <w:r>
        <w:t xml:space="preserve"> </w:t>
      </w:r>
      <w:r>
        <w:rPr>
          <w:iCs/>
          <w:i/>
        </w:rPr>
        <w:t xml:space="preserve">Frontiers in Earth Science</w:t>
      </w:r>
      <w:r>
        <w:t xml:space="preserve">, 14, 1781404.</w:t>
      </w:r>
      <w:r>
        <w:t xml:space="preserve"> </w:t>
      </w:r>
      <w:hyperlink r:id="rId58">
        <w:r>
          <w:rPr>
            <w:rStyle w:val="Hyperlink"/>
          </w:rPr>
          <w:t xml:space="preserve">doi:10.3389/feart.2026.1781404</w:t>
        </w:r>
      </w:hyperlink>
    </w:p>
    <w:p>
      <w:pPr>
        <w:numPr>
          <w:ilvl w:val="0"/>
          <w:numId w:val="1007"/>
        </w:numPr>
        <w:pStyle w:val="Compact"/>
      </w:pPr>
      <w:r>
        <w:t xml:space="preserve">Koudogbo F. i in. (2025).</w:t>
      </w:r>
      <w:r>
        <w:t xml:space="preserve"> </w:t>
      </w:r>
      <w:r>
        <w:rPr>
          <w:iCs/>
          <w:i/>
        </w:rPr>
        <w:t xml:space="preserve">EGMS Validation Report, Third Update</w:t>
      </w:r>
      <w:r>
        <w:t xml:space="preserve"> </w:t>
      </w:r>
      <w:r>
        <w:t xml:space="preserve">(wydanie 2019–2023), D7.3, wersja 3.0. European Environment Agency.</w:t>
      </w:r>
      <w:r>
        <w:t xml:space="preserve"> </w:t>
      </w:r>
      <w:hyperlink r:id="rId59">
        <w:r>
          <w:rPr>
            <w:rStyle w:val="Hyperlink"/>
          </w:rPr>
          <w:t xml:space="preserve">PDF</w:t>
        </w:r>
      </w:hyperlink>
    </w:p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l-P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3" Type="http://schemas.openxmlformats.org/officeDocument/2006/relationships/image" Target="media/rId33.png"/><Relationship Id="rId36" Type="http://schemas.openxmlformats.org/officeDocument/2006/relationships/image" Target="media/rId36.png"/><Relationship Id="rId39" Type="http://schemas.openxmlformats.org/officeDocument/2006/relationships/image" Target="media/rId39.png"/><Relationship Id="rId43" Type="http://schemas.openxmlformats.org/officeDocument/2006/relationships/image" Target="media/rId43.png"/><Relationship Id="rId56" Type="http://schemas.openxmlformats.org/officeDocument/2006/relationships/hyperlink" Target="https://doi.org/10.1002/2015JB012552" TargetMode="External"/><Relationship Id="rId57" Type="http://schemas.openxmlformats.org/officeDocument/2006/relationships/hyperlink" Target="https://doi.org/10.1007/s41064-024-00273-3" TargetMode="External"/><Relationship Id="rId58" Type="http://schemas.openxmlformats.org/officeDocument/2006/relationships/hyperlink" Target="https://doi.org/10.3389/feart.2026.1781404" TargetMode="External"/><Relationship Id="rId52" Type="http://schemas.openxmlformats.org/officeDocument/2006/relationships/hyperlink" Target="https://geodesy.unr.edu" TargetMode="External"/><Relationship Id="rId51" Type="http://schemas.openxmlformats.org/officeDocument/2006/relationships/hyperlink" Target="https://land.copernicus.eu/en/products/european-ground-motion-service" TargetMode="External"/><Relationship Id="rId49" Type="http://schemas.openxmlformats.org/officeDocument/2006/relationships/hyperlink" Target="https://land.copernicus.eu/en/use-cases/exploring-an-early-warning-layer-for-europes-largest-rail-network/exploring-an-early-warning-layer-for-europes-largest-rail-network" TargetMode="External"/><Relationship Id="rId59" Type="http://schemas.openxmlformats.org/officeDocument/2006/relationships/hyperlink" Target="https://publications.tno.nl/publication/34645980/nGjzhfGT/Koudogbo-2025-EGMS.pdf" TargetMode="External"/><Relationship Id="rId53" Type="http://schemas.openxmlformats.org/officeDocument/2006/relationships/hyperlink" Target="https://www.opengeodata.nrw.de/produkte/geobasis/rb/fd/hfp_pl_csv/" TargetMode="External"/><Relationship Id="rId54" Type="http://schemas.openxmlformats.org/officeDocument/2006/relationships/hyperlink" Target="https://www.opengeodata.nrw.de/produkte/geobasis/rb/fd/hfp_plzf_csv/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https://doi.org/10.1002/2015JB012552" TargetMode="External"/><Relationship Id="rId57" Type="http://schemas.openxmlformats.org/officeDocument/2006/relationships/hyperlink" Target="https://doi.org/10.1007/s41064-024-00273-3" TargetMode="External"/><Relationship Id="rId58" Type="http://schemas.openxmlformats.org/officeDocument/2006/relationships/hyperlink" Target="https://doi.org/10.3389/feart.2026.1781404" TargetMode="External"/><Relationship Id="rId52" Type="http://schemas.openxmlformats.org/officeDocument/2006/relationships/hyperlink" Target="https://geodesy.unr.edu" TargetMode="External"/><Relationship Id="rId51" Type="http://schemas.openxmlformats.org/officeDocument/2006/relationships/hyperlink" Target="https://land.copernicus.eu/en/products/european-ground-motion-service" TargetMode="External"/><Relationship Id="rId49" Type="http://schemas.openxmlformats.org/officeDocument/2006/relationships/hyperlink" Target="https://land.copernicus.eu/en/use-cases/exploring-an-early-warning-layer-for-europes-largest-rail-network/exploring-an-early-warning-layer-for-europes-largest-rail-network" TargetMode="External"/><Relationship Id="rId59" Type="http://schemas.openxmlformats.org/officeDocument/2006/relationships/hyperlink" Target="https://publications.tno.nl/publication/34645980/nGjzhfGT/Koudogbo-2025-EGMS.pdf" TargetMode="External"/><Relationship Id="rId53" Type="http://schemas.openxmlformats.org/officeDocument/2006/relationships/hyperlink" Target="https://www.opengeodata.nrw.de/produkte/geobasis/rb/fd/hfp_pl_csv/" TargetMode="External"/><Relationship Id="rId54" Type="http://schemas.openxmlformats.org/officeDocument/2006/relationships/hyperlink" Target="https://www.opengeodata.nrw.de/produkte/geobasis/rb/fd/hfp_plzf_cs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EGMS kontra pomiar naziemny</dc:title>
  <dc:creator/>
  <dc:language>pl-PL</dc:language>
  <cp:keywords/>
  <dcterms:created xsi:type="dcterms:W3CDTF">2026-10-16T14:39:54Z</dcterms:created>
  <dcterms:modified xsi:type="dcterms:W3CDTF">2026-10-16T14:39:54Z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16 października 2026</vt:lpwstr>
  </property>
  <property fmtid="{D5CDD505-2E9C-101B-9397-08002B2CF9AE}" pid="3" name="subtitle">
    <vt:lpwstr>Raport na spotkanie</vt:lpwstr>
  </property>
</Properties>
</file>