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Zastosowania EGMS w monitoringu infrastruktury: pilotaże i wdrożenia komercyjne</w:t>
      </w:r>
    </w:p>
    <w:p>
      <w:r>
        <w:t>Zestawienie przygotowano na podstawie przypadków opublikowanych przez Copernicus Land Monitoring Service oraz wyników wyszukiwania (stan na 2026-10-17). Kolumna „Weryfikacja” wskazuje, czy opis oparto na pełnej stronie źródłowej, czy wyłącznie na streszczeniu z wyszukiwarki.</w:t>
      </w:r>
    </w:p>
    <w:p>
      <w:pPr>
        <w:pStyle w:val="Heading2"/>
      </w:pPr>
      <w:r>
        <w:t>Pilotaże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2381"/>
        <w:gridCol w:w="2608"/>
        <w:gridCol w:w="5953"/>
        <w:gridCol w:w="2041"/>
        <w:gridCol w:w="1587"/>
      </w:tblGrid>
      <w:tr>
        <w:tc>
          <w:tcPr>
            <w:tcW w:type="dxa" w:w="2381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</w:rPr>
              <w:t>Organizacja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</w:rPr>
              <w:t>Obiekt / kraj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</w:rPr>
              <w:t>Opis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</w:rPr>
              <w:t>Źródło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</w:rPr>
              <w:t>Weryfikacja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b/>
              </w:rPr>
              <w:t>Deutsche Bahn (DB InfraGO) z GAF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t>kolej, Niemcy (na południe od Monachium)</w:t>
            </w:r>
          </w:p>
        </w:tc>
        <w:tc>
          <w:tcPr>
            <w:tcW w:type="dxa" w:w="5953"/>
          </w:tcPr>
          <w:p>
            <w:pPr>
              <w:spacing w:after="40" w:line="240" w:lineRule="auto"/>
            </w:pPr>
            <w:r>
              <w:t>Sprawdzono, czy EGMS w pasie 30 m wzdłuż toru razem z wilgotnością gleby może służyć jako warstwa wczesnego ostrzegania o ruchach podtorza; jest to dowód koncepcji wymagający walidacji.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hyperlink r:id="rId9">
              <w:r>
                <w:rPr>
                  <w:color w:val="0563C1"/>
                  <w:u w:val="single"/>
                  <w:sz w:val="18"/>
                </w:rPr>
                <w:t>land.copernicus.eu</w:t>
              </w:r>
            </w:hyperlink>
          </w:p>
        </w:tc>
        <w:tc>
          <w:tcPr>
            <w:tcW w:type="dxa" w:w="1587"/>
          </w:tcPr>
          <w:p>
            <w:pPr>
              <w:spacing w:after="40" w:line="240" w:lineRule="auto"/>
            </w:pPr>
            <w:r>
              <w:t>pełna strona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b/>
              </w:rPr>
              <w:t>HoSMoS (AIT)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t>wały przeciwpowodziowe nad Dunajem, Austria</w:t>
            </w:r>
          </w:p>
        </w:tc>
        <w:tc>
          <w:tcPr>
            <w:tcW w:type="dxa" w:w="5953"/>
          </w:tcPr>
          <w:p>
            <w:pPr>
              <w:spacing w:after="40" w:line="240" w:lineRule="auto"/>
            </w:pPr>
            <w:r>
              <w:t>Przemieszczenia wałów z EGMS wykorzystano do wskazania odcinków wymagających kontroli w terenie (dowód koncepcji).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hyperlink r:id="rId10">
              <w:r>
                <w:rPr>
                  <w:color w:val="0563C1"/>
                  <w:u w:val="single"/>
                  <w:sz w:val="18"/>
                </w:rPr>
                <w:t>land.copernicus.eu</w:t>
              </w:r>
            </w:hyperlink>
          </w:p>
        </w:tc>
        <w:tc>
          <w:tcPr>
            <w:tcW w:type="dxa" w:w="1587"/>
          </w:tcPr>
          <w:p>
            <w:pPr>
              <w:spacing w:after="40" w:line="240" w:lineRule="auto"/>
            </w:pPr>
            <w:r>
              <w:t>pełna strona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b/>
              </w:rPr>
              <w:t>Rymdstyrelsen z Trafikverket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t>kolej i drogi, Szwecja</w:t>
            </w:r>
          </w:p>
        </w:tc>
        <w:tc>
          <w:tcPr>
            <w:tcW w:type="dxa" w:w="5953"/>
          </w:tcPr>
          <w:p>
            <w:pPr>
              <w:spacing w:after="40" w:line="240" w:lineRule="auto"/>
            </w:pPr>
            <w:r>
              <w:t>W projekcie łączy się EGMS z danymi LiDAR, aby przypisać punkty InSAR do konkretnych obiektów; ograniczeniem jest błąd położenia punktów rzędu 10 m.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hyperlink r:id="rId11">
              <w:r>
                <w:rPr>
                  <w:color w:val="0563C1"/>
                  <w:u w:val="single"/>
                  <w:sz w:val="18"/>
                </w:rPr>
                <w:t>rymdstyrelsen.se</w:t>
              </w:r>
            </w:hyperlink>
          </w:p>
        </w:tc>
        <w:tc>
          <w:tcPr>
            <w:tcW w:type="dxa" w:w="1587"/>
          </w:tcPr>
          <w:p>
            <w:pPr>
              <w:spacing w:after="40" w:line="240" w:lineRule="auto"/>
            </w:pPr>
            <w:r>
              <w:t>streszczenie z wyszukiwarki</w:t>
            </w:r>
          </w:p>
        </w:tc>
      </w:tr>
    </w:tbl>
    <w:p>
      <w:pPr>
        <w:pStyle w:val="Heading2"/>
      </w:pPr>
      <w:r>
        <w:t>Wdrożenia komercyjne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2381"/>
        <w:gridCol w:w="2608"/>
        <w:gridCol w:w="5953"/>
        <w:gridCol w:w="2041"/>
        <w:gridCol w:w="1587"/>
      </w:tblGrid>
      <w:tr>
        <w:tc>
          <w:tcPr>
            <w:tcW w:type="dxa" w:w="2381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</w:rPr>
              <w:t>Organizacja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</w:rPr>
              <w:t>Obiekt / kraj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</w:rPr>
              <w:t>Opis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</w:rPr>
              <w:t>Źródło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line="240" w:lineRule="auto"/>
            </w:pPr>
            <w:r>
              <w:rPr>
                <w:b/>
              </w:rPr>
              <w:t>Weryfikacja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b/>
              </w:rPr>
              <w:t>Sensar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t>budynki i infrastruktura, Holandia</w:t>
            </w:r>
          </w:p>
        </w:tc>
        <w:tc>
          <w:tcPr>
            <w:tcW w:type="dxa" w:w="5953"/>
          </w:tcPr>
          <w:p>
            <w:pPr>
              <w:spacing w:after="40" w:line="240" w:lineRule="auto"/>
            </w:pPr>
            <w:r>
              <w:t>Na podstawie EGMS przygotowano mapę ryzyka osiadania zabudowy, z której korzysta ponad 100 instytucji.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hyperlink r:id="rId12">
              <w:r>
                <w:rPr>
                  <w:color w:val="0563C1"/>
                  <w:u w:val="single"/>
                  <w:sz w:val="18"/>
                </w:rPr>
                <w:t>land.copernicus.eu</w:t>
              </w:r>
            </w:hyperlink>
          </w:p>
        </w:tc>
        <w:tc>
          <w:tcPr>
            <w:tcW w:type="dxa" w:w="1587"/>
          </w:tcPr>
          <w:p>
            <w:pPr>
              <w:spacing w:after="40" w:line="240" w:lineRule="auto"/>
            </w:pPr>
            <w:r>
              <w:t>pełna strona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b/>
              </w:rPr>
              <w:t>Detektia (eyeRADAR)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t>tunel w Genui, budynki w San Sebastián; Włochy, Hiszpania</w:t>
            </w:r>
          </w:p>
        </w:tc>
        <w:tc>
          <w:tcPr>
            <w:tcW w:type="dxa" w:w="5953"/>
          </w:tcPr>
          <w:p>
            <w:pPr>
              <w:spacing w:after="40" w:line="240" w:lineRule="auto"/>
            </w:pPr>
            <w:r>
              <w:t>W platformie wczesnego ostrzegania dane EGMS są używane do oceny ryzyka infrastruktury miejskiej.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hyperlink r:id="rId13">
              <w:r>
                <w:rPr>
                  <w:color w:val="0563C1"/>
                  <w:u w:val="single"/>
                  <w:sz w:val="18"/>
                </w:rPr>
                <w:t>land.copernicus.eu</w:t>
              </w:r>
            </w:hyperlink>
          </w:p>
        </w:tc>
        <w:tc>
          <w:tcPr>
            <w:tcW w:type="dxa" w:w="1587"/>
          </w:tcPr>
          <w:p>
            <w:pPr>
              <w:spacing w:after="40" w:line="240" w:lineRule="auto"/>
            </w:pPr>
            <w:r>
              <w:t>pełna strona</w:t>
            </w:r>
          </w:p>
        </w:tc>
      </w:tr>
      <w:tr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b/>
              </w:rPr>
              <w:t>SIAGUA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>
              <w:t>zapory, Hiszpania</w:t>
            </w:r>
          </w:p>
        </w:tc>
        <w:tc>
          <w:tcPr>
            <w:tcW w:type="dxa" w:w="5953"/>
          </w:tcPr>
          <w:p>
            <w:pPr>
              <w:spacing w:after="40" w:line="240" w:lineRule="auto"/>
            </w:pPr>
            <w:r>
              <w:t>Opisano wykorzystanie EGMS do kontroli odkształceń zapór; źródłem jest prasa branżowa, nie publikacja naukowa.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hyperlink r:id="rId14">
              <w:r>
                <w:rPr>
                  <w:color w:val="0563C1"/>
                  <w:u w:val="single"/>
                  <w:sz w:val="18"/>
                </w:rPr>
                <w:t>waterpowermagazine.com</w:t>
              </w:r>
            </w:hyperlink>
          </w:p>
        </w:tc>
        <w:tc>
          <w:tcPr>
            <w:tcW w:type="dxa" w:w="1587"/>
          </w:tcPr>
          <w:p>
            <w:pPr>
              <w:spacing w:after="40" w:line="240" w:lineRule="auto"/>
            </w:pPr>
            <w:r>
              <w:t>streszczenie z wyszukiwarki</w:t>
            </w:r>
          </w:p>
        </w:tc>
      </w:tr>
    </w:tbl>
    <w:p>
      <w:pPr>
        <w:pStyle w:val="Heading2"/>
      </w:pPr>
      <w:r>
        <w:t>Wniosek</w:t>
      </w:r>
    </w:p>
    <w:p>
      <w:r>
        <w:t>We wszystkich przypadkach EGMS służy do wskazania miejsc wymagających sprawdzenia, a nie do zastąpienia pomiaru na obiekcie. Powtarzające się ograniczenia to mała liczba punktów na odcinkach porośniętych roślinnością, błąd położenia punktów oraz aktualizacja danych raz w roku. W Polsce nie znaleziono publicznie opisanego pilotażu EGMS u zarządcy kolei ani dróg.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and.copernicus.eu/en/use-cases/exploring-an-early-warning-layer-for-europes-largest-rail-network" TargetMode="External"/><Relationship Id="rId10" Type="http://schemas.openxmlformats.org/officeDocument/2006/relationships/hyperlink" Target="https://land.copernicus.eu/en/use-cases/tracking-ground-motion-along-the-danube" TargetMode="External"/><Relationship Id="rId11" Type="http://schemas.openxmlformats.org/officeDocument/2006/relationships/hyperlink" Target="https://www.rymdstyrelsen.se/innovation/beviljade-bidrag/rymdtillampningsprogrammet-2025-rd1/datafusion-av-medelupplosta-satellitbaserade-insar-data/" TargetMode="External"/><Relationship Id="rId12" Type="http://schemas.openxmlformats.org/officeDocument/2006/relationships/hyperlink" Target="https://land.copernicus.eu/en/use-cases/using-egms-to-assess-infrastructure-risk-in-the-netherlands" TargetMode="External"/><Relationship Id="rId13" Type="http://schemas.openxmlformats.org/officeDocument/2006/relationships/hyperlink" Target="https://land.copernicus.eu/en/use-cases/unearthing-risks-european-ground-motion-service-data-fuels-analysis-of-urban-infrastructure" TargetMode="External"/><Relationship Id="rId14" Type="http://schemas.openxmlformats.org/officeDocument/2006/relationships/hyperlink" Target="https://www.waterpowermagazine.com/?p=293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