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ПРОГНОЗА СОСТАВА ТЕЛА И АДАПТАЦИИ ПЛАНА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— «Прикладная математика и информатика»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магистерская программа «Глубокое обучение и генеративный искусственный интеллект»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Лапова Мария Сергеевна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____________________ (подпись)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Корректность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возрастающим интересом пользователей цифровых фитнес-сервисов к функциям прогнозирования и автоматической адаптации тренировочных программ. Биоимпедансный анализ (BIA) в виде InBody-измерений получил широкое распространение в качестве инструмента регулярной оценки состава тела у любителей силовых тренировок: соответствующие приборы установлены в большинстве современных фитнес-клубов и позволяют за минуту получить ключевые показатели — массу тела, процент жира, мышечную массу, базовый уровень метаболизма. Тем не менее существующие фитнес-приложения (Hevy, Strong, MacroFactor, Carbon Diet Coach, Fitbod, Apple Health) ограничиваются ретроспективным отображением накопленной истории измерений и не предоставляют пользователю инструмента прогноза дальнейшей динамики состава тела при текущем тренировочном режиме.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моделей ML-регрессии к задаче прогноза InBody позволяет рассчитывать на получение прогноза, учитывающего как историческую динамику пользователя, так и его тренировочную активность и индивидуальные параметры. Однако при ограниченных объёмах размеченных данных применение современных нейросетевых архитектур (LSTM, Temporal Fusion Transformer) приводит к переобучению, а более простые модели (например, линейная регрессия по тренду) не позволяют учитывать существенные нелинейные взаимодействия признаков и не дают честной оценки неопределённости прогноза. Вопросы выбора архитектуры модели промежуточной сложности, способной выдавать одновременно точечный прогноз и калиброванный доверительный интервал, а также вопросы практической реализации этой модели и связанного с ней сервиса автоматической адаптации плана тренировок требуют дополнительного исследования.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достаточно хорошо изучены в литературе (R. J. Hyndman, R. Koenker, G. Bassett, B. Lim, S. Zohren). Существуют классические подходы (Ridge, Lasso, ARIMA, экспоненциальное сглаживание), ансамблевые методы (XGBoost, LightGBM, CatBoost) и современные нейросетевые модели (LSTM, GRU, DeepAR, Temporal Fusion Transformer). Однако применительно к задаче прогноза показателей InBody и связанной с ним автоматической адаптации тренировочной программы число опубликованных работ существенно меньше, и в большинстве промышленных приложений по-прежнему применяется простая линейная экстраполяция.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методов прогнозирования изменений показателей InBody и связанных с ними алгоритмов автоматической адаптации тренировочного плана, которые одновременно обеспечивали бы приемлемое качество прогноза на ограниченных объёмах данных и адекватную калибровку доверительных интервалов.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алгоритмы прогнозирования значений InBody (массы тела, процента жира, мышечной массы) на горизонтах 1, 2 и 4 недели с построением 80%-доверительных интервалов, а также сервис автоматической адаптации плана тренировок,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прогнозирования изменений показателей состава тела и автоматической адаптации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многомерной регрессии временных рядов с построением калиброванных доверительных интервалов, а также правила событийной адаптации тренировочного плана при изменении параметров пользователя.</w:t>
      </w:r>
    </w:p>
    <w:p>
      <w:pPr>
        <w:jc w:val="both"/>
      </w:pPr>
      <w:r>
        <w:rPr>
          <w:b w:val="0"/>
        </w:rPr>
        <w:t>Гипотеза исследования: квантильная регрессия (LightGBM с целевой функцией quantile для α ∈ {0,1; 0,5; 0,9}) обеспечит более точный прогноз InBody-метрик, чем persistence- и Ridge-baseline, при адекватной калибровке доверительных интервалов (фактическая частота попаданий в 80%-CI — не менее 75%), а детерминированный watcher-сервис гарантирует реакцию плана на ключевые изменения в профиле пользователя.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с прогнозом и подходов к прогнозу динамики веса и состава тела;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прогноза InBody как задачи многомерной регрессии временных рядов: определить признаковое пространство пользователя по неделям, целевые переменные и метрики качества.</w:t>
      </w:r>
    </w:p>
    <w:p>
      <w:pPr>
        <w:pStyle w:val="ListNumber"/>
        <w:ind w:firstLine="0"/>
      </w:pPr>
      <w:r>
        <w:t>Разработать двухуровневую модель прогноза (Ridge-baseline + LightGBM с квантильной регрессией) и алгоритм построения 80%-доверительных интервалов.</w:t>
      </w:r>
    </w:p>
    <w:p>
      <w:pPr>
        <w:pStyle w:val="ListNumber"/>
        <w:ind w:firstLine="0"/>
      </w:pPr>
      <w:r>
        <w:t>Разработать алгоритм холодного старта для пользователей с короткой историей измерений.</w:t>
      </w:r>
    </w:p>
    <w:p>
      <w:pPr>
        <w:pStyle w:val="ListNumber"/>
        <w:ind w:firstLine="0"/>
      </w:pPr>
      <w:r>
        <w:t>Разработать watcher-сервис адаптации плана: набор триггеров и правила перегенерации.</w:t>
      </w:r>
    </w:p>
    <w:p>
      <w:pPr>
        <w:pStyle w:val="ListNumber"/>
        <w:ind w:firstLine="0"/>
      </w:pPr>
      <w:r>
        <w:t>Разработать ETL-конвейер подготовки обучающего датасета на основе открытых Kaggle-источников с синтезом временных рядов.</w:t>
      </w:r>
    </w:p>
    <w:p>
      <w:pPr>
        <w:pStyle w:val="ListNumber"/>
        <w:ind w:firstLine="0"/>
      </w:pPr>
      <w:r>
        <w:t>Обучить модели прогноза и программно реализовать REST-сервис прогноза и сервис адаптации плана.</w:t>
      </w:r>
    </w:p>
    <w:p>
      <w:pPr>
        <w:pStyle w:val="ListNumber"/>
        <w:ind w:firstLine="0"/>
      </w:pPr>
      <w:r>
        <w:t>Реализовать парсер PDF-отчётов InBody.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(linear, Ridge); проверить калибровку доверительных интервалов;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(Ridge-регрессия, градиентный бустинг над решающими деревьями, квантильная регрессия), методы прогнозирования временных рядов, методы математической статистики (стандартные метрики MAE, MAPE, coverage 80%-CI, sharpness).</w:t>
      </w:r>
    </w:p>
    <w:p>
      <w:pPr>
        <w:jc w:val="both"/>
      </w:pPr>
      <w:r>
        <w:rPr>
          <w:b w:val="0"/>
        </w:rPr>
        <w:t>Научная новизна работы заключается в применении квантильной регрессии LightGBM (квантили 0,1, 0,5 и 0,9) для построения калиброванных доверительных интервалов прогноза показателей InBody на коротких пользовательских историях, а также в формулировке согласованного набора триггеров автоматической адаптации тренировочного плана, связывающего прогнозную модель с сервисом перегенерации плана.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разработанные алгоритмы программно реализованы в составе действующего кроссплатформенного приложения Fitness Tracker. Все компоненты приложения покрыты автоматическими тестами, обучение моделей воспроизводимо по фиксированному seed и хешу обучающего набора,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с прогнозом и подходов к прогнозу динамики веса. Во второй главе — подробное описание самого приложения Fitness Tracker: что оно делает, какие у него экраны и функции, на каком стеке написано и как устроена база данных. В третьей главе — разработанные алгоритмы прогноза и адаптации плана. В четвёртой главе — программная реализация. В пятой главе — эксперимент и результаты. Общий объём работы — 60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получил широкое распространение как инструмент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Именно эти возможности и реализованы в разрабатываемом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(тоннаж,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Ощепкова Е. С.),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суммарный тоннаж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Ощепкова Е. С.),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973 строки после prevalence-фильтрации;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251 строка.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Для обучения модели прогноза необходимы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dataset_b_inbody_timeseries.parquet: 9776 точек (пользователь × неделя) от 1222 анонимизированных пользователей. Разбит на train/val/test (70/15/15) с фиксированным seed=42, без пересечений по пользователям между выборками: 6843 / 1466 / 1467 точек соответственно. Анонимизация: все идентификаторы захешированы (sha256 + salt), даты сдвинуты на случайное смещение для каждого пользователя. SHA-256 итогового CSV фиксируется в manifest.json каждой обученной модели для контроля воспроизводимости.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Persistence: тривиальный baseline («следующая неделя = текущей»), нужен как контрольная точка — если ML-модель не бьёт его, фичи не несут полезного сигнала;</w:t>
      </w:r>
    </w:p>
    <w:p>
      <w:pPr>
        <w:pStyle w:val="ListBullet"/>
        <w:ind w:firstLine="0"/>
      </w:pPr>
      <w:r>
        <w:t>Ridge: линейный baseline, 3 модели (по одной на каждую целевую переменную), параметр α подбирается через RidgeCV;</w:t>
      </w:r>
    </w:p>
    <w:p>
      <w:pPr>
        <w:pStyle w:val="ListBullet"/>
        <w:ind w:firstLine="0"/>
      </w:pPr>
      <w:r>
        <w:t>LightGBM quantile: 9 бустеров (3 целевых × 3 квантиля q=0,1/0,5/0,9), one-step регрессия дельт; multi-horizon (1/2/4 недели) достигается рекурсивным применением одношаговой модели на инференсе;</w:t>
      </w:r>
    </w:p>
    <w:p>
      <w:pPr>
        <w:pStyle w:val="ListBullet"/>
        <w:ind w:firstLine="0"/>
      </w:pPr>
      <w:r>
        <w:t>MLP quantile (PyTorch): альтернативная архитектура — shared trunk 64→32 + per-target heads с δ-параметризацией квантилей (q10 = q50 − softplus(δ_lower); q90 = q50 + softplus(δ_upper)), что гарантирует упорядоченность q10 ≤ q50 ≤ q90 по построению. Pinball loss с маскированием NaN в muscle_mass_kg.</w:t>
      </w:r>
    </w:p>
    <w:p>
      <w:pPr>
        <w:jc w:val="both"/>
      </w:pPr>
      <w:r>
        <w:rPr>
          <w:b w:val="0"/>
        </w:rPr>
        <w:t>Гиперпараметры LightGBM: num_boost_round 500 с early_stopping_rounds 30 (фактическая остановка по валидационной выборке), learning_rate 0,05, num_leaves 15, min_data_in_leaf 20, feature_fraction 0,9, bagging_fraction 0,9, bagging_freq 5, random_state 42. Сочетание num_leaves=15 (≈глубина 4) и min_data_in_leaf=20 ограничивает выразительность модели в условиях небольшой выборки, а ранняя остановка на валидации предотвращает переобучение.</w:t>
      </w:r>
    </w:p>
    <w:p>
      <w:pPr>
        <w:jc w:val="both"/>
      </w:pPr>
      <w:r>
        <w:rPr>
          <w:b w:val="0"/>
        </w:rPr>
        <w:t>Гиперпараметры MLP: Adam, learning_rate 1e-3, weight_decay 1e-4, batch_size 256, max_epochs 200, early_stopping_patience 20 эпох по валидационному pinball loss, dropout 0,3, seed 42. Размер сети (64→32 в trunk, 16 в head) подобран под объём выборки — увеличение глубины приводит к переобучению.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persistence/v0.1.0/manifest.json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  manifest.json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... (9 бустеров: 3 target × 3 quantile)</w:t>
        <w:br/>
        <w:t xml:space="preserve">    manifest.json</w:t>
        <w:br/>
        <w:t xml:space="preserve">  mlp/v0.1.0/manifest.json</w:t>
      </w:r>
    </w:p>
    <w:p>
      <w:pPr>
        <w:jc w:val="both"/>
      </w:pPr>
      <w:r>
        <w:rPr>
          <w:b w:val="0"/>
        </w:rPr>
        <w:t>Файл manifest.json в каждом каталоге версии содержит мета-информацию: версии scikit-learn / LightGBM / PyTorch, seed, SHA-256 входного файла датасета, дата обучения, гиперпараметры и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(тоннаж,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6843 точки «пользователь × неделя»), валидировались на val-сплите (15%, 1466 точек) и тестировались на test-сплите (15%, 1467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Корректность watcher-сервиса</w:t>
      </w:r>
    </w:p>
    <w:p>
      <w:pPr>
        <w:jc w:val="both"/>
      </w:pPr>
      <w:r>
        <w:rPr>
          <w:b w:val="0"/>
        </w:rPr>
        <w:t>В отличие от ML-моделей, watcher-сервис — это детерминированный код по фиксированным правилам (пороги «2 кг / 3% / 30 дней» из REQ-01, маппинг полей профиля на trigger из REQ-02, «valid_until ≤ today» из REQ-03 и «7 дней» из REQ-04). Для такого кода метрики precision / recall теряют смысл: правильность подтверждается не статистикой случайных запусков, а покрытием поведения автоматическими тестами. Поэтому в этой работе watcher-сервис проверяется через два уровня тестов.</w:t>
      </w:r>
    </w:p>
    <w:p>
      <w:pPr>
        <w:jc w:val="both"/>
      </w:pPr>
      <w:r>
        <w:rPr>
          <w:b w:val="0"/>
        </w:rPr>
        <w:t>Уровень 1 — модульные тесты чистой логики.</w:t>
      </w:r>
    </w:p>
    <w:p>
      <w:pPr>
        <w:pStyle w:val="ListBullet"/>
        <w:ind w:firstLine="0"/>
      </w:pPr>
      <w:r>
        <w:t>tests/unit/domain/adaptation/test_weight_watcher.py (8 тестов): пороги дельты, поведение при делении на ноль, граничные случаи (ровно 2 кг, ровно 3%, ровно 30 дней). Тесты не касаются БД и проходят за миллисекунды.</w:t>
      </w:r>
    </w:p>
    <w:p>
      <w:pPr>
        <w:pStyle w:val="ListBullet"/>
        <w:ind w:firstLine="0"/>
      </w:pPr>
      <w:r>
        <w:t>tests/unit/domains/profile/test_service.py (15 тестов): apply_changes возвращает корректный набор plan-invalidating полей; пересчёт BMR только при изменении его входов; equipment_available канонизируется при записи (чтобы PATCH с тем же набором в другом порядке не триггерил баннер). Эти инварианты — основа REQ-02.</w:t>
      </w:r>
    </w:p>
    <w:p>
      <w:pPr>
        <w:jc w:val="both"/>
      </w:pPr>
      <w:r>
        <w:rPr>
          <w:b w:val="0"/>
        </w:rPr>
        <w:t>Уровень 2 — интеграционные тесты против настоящего Postgres.</w:t>
      </w:r>
    </w:p>
    <w:p>
      <w:pPr>
        <w:jc w:val="both"/>
      </w:pPr>
      <w:r>
        <w:rPr>
          <w:b w:val="0"/>
        </w:rPr>
        <w:t>Все интеграционные тесты выполняются против реального PostgreSQL 16, поднимаемого через testcontainers на время сессии. Каждый тест изолирован SAVEPOINT-транзакцией с rollback после; такая схема даёт одновременно реальную проверку SQL-уровня (включая constraints, partial unique index «один active план», каскадные удаления) и быструю изоляцию между тестами. По адаптации покрыто:</w:t>
      </w:r>
    </w:p>
    <w:p>
      <w:pPr>
        <w:pStyle w:val="ListBullet"/>
        <w:ind w:firstLine="0"/>
      </w:pPr>
      <w:r>
        <w:t>tests/integration/test_adaptation_rebuild.py (3 теста): /plans/rebuild Scenario 2.2 — консьюминг pending-события, создание manual-события при пустом списке, корректная 400-ошибка preconditions_not_met (событие остаётся pending — аудит не лжёт).</w:t>
      </w:r>
    </w:p>
    <w:p>
      <w:pPr>
        <w:pStyle w:val="ListBullet"/>
        <w:ind w:firstLine="0"/>
      </w:pPr>
      <w:r>
        <w:t>tests/integration/test_adaptation_background.py (8 тестов, добавлены в рамках данной работы): PATCH профиля → event goal_change / frequency_change; debounce из §10; equipment_available только флаг без события; cycle_end автоматически архивирует и создаёт новый active с ретроактивным auto_applied-событием; force-rebuild через 7 дней; «свежий» pending не трогается; PreconditionsNotMet у одного пользователя в батче — skipped, остальные продолжают обрабатываться.</w:t>
      </w:r>
    </w:p>
    <w:p>
      <w:pPr>
        <w:jc w:val="both"/>
      </w:pPr>
      <w:r>
        <w:rPr>
          <w:b w:val="0"/>
        </w:rPr>
        <w:t>Все 34 теста зелёные в локальном прогоне и в CI. Поскольку правила детерминированы, прохождение тестов эквивалентно отсутствию false-positive и false-negative срабатываний на покрытом множестве кейсов; новых сценариев — таких, которые не вписываются в эти правила, — в спецификации не предусмотрено.</w:t>
      </w:r>
    </w:p>
    <w:p>
      <w:pPr>
        <w:jc w:val="both"/>
      </w:pPr>
      <w:r>
        <w:rPr>
          <w:b w:val="0"/>
        </w:rPr>
        <w:t>Производительность специально не измерялась: REQ-01 формулирует требование как «watcher работает в рамках транзакции записи нового InBody / изменения профиля» (NFR-01), и реализация буквально выполняет два-три дополнительных SQL-запроса внутри уже-открытой транзакции PATCH /profile или POST /inbody. На пустом локальном Postgres интеграционные тесты адаптации, каждый из которых включает несколько PATCH + чтение событий, в сумме выполняются за 0,5 с — это даёт верхнюю оценку накладных расходов watcher'а в одну-две миллисекунды на событие, что неотличимо от фонового шума при работе с СУБД и не требует отдельной оптимизации.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адаптации полностью покрыт автоматическими тестами (23 модульных + 11 интеграционных = 34 теста), что для детерминированных правил даёт более надёжную гарантию корректности, чем статистические метрики на синтетической выборке.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(9776 точек «пользователь × неделя» от 1222 анонимизированных пользователей).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адаптации плана полностью покрыт автотестами (8 модульных + 11 интеграционных), что для детерминированных правил с фиксированным набором условий срабатывания гарантирует корректность всех ветвей логики.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Бокс Дж., Дженкинс Г. М. Анализ временных рядов: прогноз и управление. Вып. 1, 2 / пер. с англ. — Москва: Мир, 1974. — 406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