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МИНОБРНАУКИ РОССИИ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Факультет цифровых технологий, кибербезопасности, математики и технологий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Кафедра компьютерной математики и программного обеспечения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УТВЕРЖДАЮ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Заведующий кафедрой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 Симанчев Р.Ю.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«___» ___________ 2026 г.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center"/>
      </w:pPr>
      <w:r>
        <w:rPr>
          <w:b/>
          <w:sz w:val="32"/>
        </w:rPr>
        <w:t>РАЗРАБОТКА КРОССПЛАТФОРМЕННОГО ПРИЛОЖЕНИЯ ДЛЯ ПРОГНОЗА СОСТАВА ТЕЛА И АДАПТАЦИИ ПЛАНА ТРЕНИРОВОК С ИСПОЛЬЗОВАНИЕМ МАШИННОГО ОБУЧЕНИЯ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Выпускная квалификационная работа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по направлению — «Прикладная математика и информатика»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магистерская программа «Глубокое обучение и генеративный искусственный интеллект»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Научный руководитель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Агафонов А. Л., доцент, кафедра компьютерной математики и программного обеспечения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Студент гр. МММ-401-О-03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Лапова Мария Сергеевна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Омск, 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InBody и биоимпедансный анализ</w:t>
      </w:r>
      <w:r>
        <w:tab/>
        <w:t>11</w:t>
      </w:r>
    </w:p>
    <w:p>
      <w:pPr>
        <w:ind w:firstLine="0"/>
      </w:pPr>
      <w:r>
        <w:t>1.2 Обзор фитнес-приложений с прогнозом</w:t>
      </w:r>
      <w:r>
        <w:tab/>
        <w:t>13</w:t>
      </w:r>
    </w:p>
    <w:p>
      <w:pPr>
        <w:ind w:firstLine="0"/>
      </w:pPr>
      <w:r>
        <w:t>1.3 Подходы к прогнозу динамики веса и состава тела</w:t>
      </w:r>
      <w:r>
        <w:tab/>
        <w:t>16</w:t>
      </w:r>
    </w:p>
    <w:p>
      <w:pPr>
        <w:ind w:firstLine="0"/>
      </w:pPr>
      <w:r>
        <w:t>1.4 Постановка задачи для приложения Fitness Tracker</w:t>
      </w:r>
      <w:r>
        <w:tab/>
        <w:t>18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20</w:t>
      </w:r>
    </w:p>
    <w:p>
      <w:pPr>
        <w:ind w:firstLine="0"/>
      </w:pPr>
      <w:r>
        <w:t>2.1 Назначение приложения и целевая аудитория</w:t>
      </w:r>
      <w:r>
        <w:tab/>
        <w:t>20</w:t>
      </w:r>
    </w:p>
    <w:p>
      <w:pPr>
        <w:ind w:firstLine="0"/>
      </w:pPr>
      <w:r>
        <w:t>2.2 Какие проблемы решает приложение</w:t>
      </w:r>
      <w:r>
        <w:tab/>
        <w:t>21</w:t>
      </w:r>
    </w:p>
    <w:p>
      <w:pPr>
        <w:ind w:firstLine="0"/>
      </w:pPr>
      <w:r>
        <w:t>2.3 Основные функции приложения</w:t>
      </w:r>
      <w:r>
        <w:tab/>
        <w:t>22</w:t>
      </w:r>
    </w:p>
    <w:p>
      <w:pPr>
        <w:ind w:firstLine="0"/>
      </w:pPr>
      <w:r>
        <w:t>2.4 Сценарии использования</w:t>
      </w:r>
      <w:r>
        <w:tab/>
        <w:t>25</w:t>
      </w:r>
    </w:p>
    <w:p>
      <w:pPr>
        <w:ind w:firstLine="0"/>
      </w:pPr>
      <w:r>
        <w:t>2.5 Экраны приложения</w:t>
      </w:r>
      <w:r>
        <w:tab/>
        <w:t>26</w:t>
      </w:r>
    </w:p>
    <w:p>
      <w:pPr>
        <w:ind w:firstLine="0"/>
      </w:pPr>
      <w:r>
        <w:t>2.6 Технологический стек</w:t>
      </w:r>
      <w:r>
        <w:tab/>
        <w:t>28</w:t>
      </w:r>
    </w:p>
    <w:p>
      <w:pPr>
        <w:ind w:firstLine="0"/>
      </w:pPr>
      <w:r>
        <w:t>2.7 Архитектура приложения</w:t>
      </w:r>
      <w:r>
        <w:tab/>
        <w:t>30</w:t>
      </w:r>
    </w:p>
    <w:p>
      <w:pPr>
        <w:ind w:firstLine="0"/>
      </w:pPr>
      <w:r>
        <w:t>2.8 Схема базы данных (краткий обзор)</w:t>
      </w:r>
      <w:r>
        <w:tab/>
        <w:t>31</w:t>
      </w:r>
    </w:p>
    <w:p>
      <w:pPr>
        <w:ind w:firstLine="0"/>
      </w:pPr>
      <w:r>
        <w:t>2.9 Безопасность и приватность</w:t>
      </w:r>
      <w:r>
        <w:tab/>
        <w:t>32</w:t>
      </w:r>
    </w:p>
    <w:p>
      <w:pPr>
        <w:ind w:firstLine="0"/>
      </w:pPr>
      <w:r>
        <w:t>Глава 3. Алгоритмы прогноза и адаптации плана</w:t>
      </w:r>
      <w:r>
        <w:tab/>
        <w:t>33</w:t>
      </w:r>
    </w:p>
    <w:p>
      <w:pPr>
        <w:ind w:firstLine="0"/>
      </w:pPr>
      <w:r>
        <w:t>3.1 Двухуровневая модель прогноза InBody</w:t>
      </w:r>
      <w:r>
        <w:tab/>
        <w:t>33</w:t>
      </w:r>
    </w:p>
    <w:p>
      <w:pPr>
        <w:ind w:firstLine="0"/>
      </w:pPr>
      <w:r>
        <w:t>3.2 Доверительные интервалы через квантильную регрессию</w:t>
      </w:r>
      <w:r>
        <w:tab/>
        <w:t>35</w:t>
      </w:r>
    </w:p>
    <w:p>
      <w:pPr>
        <w:ind w:firstLine="0"/>
      </w:pPr>
      <w:r>
        <w:t>3.3 Холодный старт для новых пользователей</w:t>
      </w:r>
      <w:r>
        <w:tab/>
        <w:t>37</w:t>
      </w:r>
    </w:p>
    <w:p>
      <w:pPr>
        <w:ind w:firstLine="0"/>
      </w:pPr>
      <w:r>
        <w:t>3.4 Watcher: автоматическая адаптация плана</w:t>
      </w:r>
      <w:r>
        <w:tab/>
        <w:t>38</w:t>
      </w:r>
    </w:p>
    <w:p>
      <w:pPr>
        <w:ind w:firstLine="0"/>
      </w:pPr>
      <w:r>
        <w:t>Глава 4. Программная реализация</w:t>
      </w:r>
      <w:r>
        <w:tab/>
        <w:t>41</w:t>
      </w:r>
    </w:p>
    <w:p>
      <w:pPr>
        <w:ind w:firstLine="0"/>
      </w:pPr>
      <w:r>
        <w:t>4.1 Подготовка данных и синтез временных рядов</w:t>
      </w:r>
      <w:r>
        <w:tab/>
        <w:t>41</w:t>
      </w:r>
    </w:p>
    <w:p>
      <w:pPr>
        <w:ind w:firstLine="0"/>
      </w:pPr>
      <w:r>
        <w:t>4.2 Обучение моделей</w:t>
      </w:r>
      <w:r>
        <w:tab/>
        <w:t>43</w:t>
      </w:r>
    </w:p>
    <w:p>
      <w:pPr>
        <w:ind w:firstLine="0"/>
      </w:pPr>
      <w:r>
        <w:t>4.3 Парсер PDF-отчётов InBody</w:t>
      </w:r>
      <w:r>
        <w:tab/>
        <w:t>45</w:t>
      </w:r>
    </w:p>
    <w:p>
      <w:pPr>
        <w:ind w:firstLine="0"/>
      </w:pPr>
      <w:r>
        <w:t>4.4 REST-сервис прогноза</w:t>
      </w:r>
      <w:r>
        <w:tab/>
        <w:t>47</w:t>
      </w:r>
    </w:p>
    <w:p>
      <w:pPr>
        <w:ind w:firstLine="0"/>
      </w:pPr>
      <w:r>
        <w:t>4.5 Watcher-сервис адаптации плана</w:t>
      </w:r>
      <w:r>
        <w:tab/>
        <w:t>48</w:t>
      </w:r>
    </w:p>
    <w:p>
      <w:pPr>
        <w:ind w:firstLine="0"/>
      </w:pPr>
      <w:r>
        <w:t>4.6 Интеграция с фронтендом</w:t>
      </w:r>
      <w:r>
        <w:tab/>
        <w:t>50</w:t>
      </w:r>
    </w:p>
    <w:p>
      <w:pPr>
        <w:ind w:firstLine="0"/>
      </w:pPr>
      <w:r>
        <w:t>Глава 5. Эксперименты и результаты</w:t>
      </w:r>
      <w:r>
        <w:tab/>
        <w:t>51</w:t>
      </w:r>
    </w:p>
    <w:p>
      <w:pPr>
        <w:ind w:firstLine="0"/>
      </w:pPr>
      <w:r>
        <w:t>5.1 Методика</w:t>
      </w:r>
      <w:r>
        <w:tab/>
        <w:t>51</w:t>
      </w:r>
    </w:p>
    <w:p>
      <w:pPr>
        <w:ind w:firstLine="0"/>
      </w:pPr>
      <w:r>
        <w:t>5.2 Сравнение моделей прогноза</w:t>
      </w:r>
      <w:r>
        <w:tab/>
        <w:t>52</w:t>
      </w:r>
    </w:p>
    <w:p>
      <w:pPr>
        <w:ind w:firstLine="0"/>
      </w:pPr>
      <w:r>
        <w:t>5.3 Проверка калибровки доверительных интервалов</w:t>
      </w:r>
      <w:r>
        <w:tab/>
        <w:t>53</w:t>
      </w:r>
    </w:p>
    <w:p>
      <w:pPr>
        <w:ind w:firstLine="0"/>
      </w:pPr>
      <w:r>
        <w:t>5.4 Корректность watcher-сервиса</w:t>
      </w:r>
      <w:r>
        <w:tab/>
        <w:t>54</w:t>
      </w:r>
    </w:p>
    <w:p>
      <w:pPr>
        <w:ind w:firstLine="0"/>
      </w:pPr>
      <w:r>
        <w:t>5.5 Выводы по главе</w:t>
      </w:r>
      <w:r>
        <w:tab/>
        <w:t>55</w:t>
      </w:r>
    </w:p>
    <w:p>
      <w:pPr>
        <w:ind w:firstLine="0"/>
      </w:pPr>
      <w:r>
        <w:t>Заключение</w:t>
      </w:r>
      <w:r>
        <w:tab/>
        <w:t>56</w:t>
      </w:r>
    </w:p>
    <w:p>
      <w:pPr>
        <w:ind w:firstLine="0"/>
      </w:pPr>
      <w:r>
        <w:t>Список литературы</w:t>
      </w:r>
      <w:r>
        <w:tab/>
        <w:t>58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PBF — Percent Body Fat;</w:t>
      </w:r>
    </w:p>
    <w:p>
      <w:pPr>
        <w:ind w:firstLine="0"/>
      </w:pPr>
      <w:r>
        <w:rPr>
          <w:b/>
        </w:rPr>
        <w:t xml:space="preserve">— </w:t>
      </w:r>
      <w:r>
        <w:t>SMM — Skeletal Muscle Mass;</w:t>
      </w:r>
    </w:p>
    <w:p>
      <w:pPr>
        <w:ind w:firstLine="0"/>
      </w:pPr>
      <w:r>
        <w:rPr>
          <w:b/>
        </w:rPr>
        <w:t xml:space="preserve">— </w:t>
      </w:r>
      <w:r>
        <w:t>CI — Confidence Interval (доверительный интервал);</w:t>
      </w:r>
    </w:p>
    <w:p>
      <w:pPr>
        <w:ind w:firstLine="0"/>
      </w:pPr>
      <w:r>
        <w:rPr>
          <w:b/>
        </w:rPr>
        <w:t xml:space="preserve">— </w:t>
      </w:r>
      <w:r>
        <w:t>MAPE — Mean Absolute Percentage Error.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Цифровые приложения категории «Здоровье и фитнес» (Hevy, Strong, MacroFactor, Fitbod, Apple Health, DDX Fitness, FitStars, World Class и другие) получили в последние годы массовое распространение и используются преимущественно как электронный дневник тренировок и средство ретроспективного наблюдения за динамикой массы и состава тела. Вместе с тем указанные приложения не предоставляют пользователю прогноза дальнейших изменений показателей при текущем тренировочном режиме и не реализуют автоматической корректировки плана тренировок при изменении пользовательского профиля (цели, частоты занятий, доступного оборудования, существенного отклонения веса). При этом в большинстве современных фитнес-клубов установлены аппараты биоимпедансного анализа InBody, регулярные измерения которых дают сигнал, достаточный для построения такого прогноза: массу тела, процент жировой и мышечной массы, базовый уровень метаболизма.</w:t>
      </w:r>
    </w:p>
    <w:p>
      <w:pPr>
        <w:jc w:val="both"/>
      </w:pPr>
      <w:r>
        <w:rPr>
          <w:b w:val="0"/>
        </w:rPr>
        <w:t>Применение методов машинного обучения к задаче прогноза динамики показателей состава тела осложняется ограниченным объёмом пользовательских историй: современные нейросетевые архитектуры (LSTM, Temporal Fusion Transformer) подвержены переобучению на коротких рядах, в то время как линейная экстраполяция не учитывает нелинейных взаимодействий признаков и не обеспечивает калиброванной оценки неопределённости прогноза. Вопросы выбора модели промежуточной сложности, способной одновременно выдавать точечный прогноз и обоснованный доверительный интервал, а также построения согласованных с ним правил автоматической адаптации плана тренировок требуют дополнительного исследования, что и определяет актуальность настоящей работы.</w:t>
      </w:r>
    </w:p>
    <w:p>
      <w:pPr>
        <w:jc w:val="both"/>
      </w:pPr>
      <w:r>
        <w:rPr>
          <w:b w:val="0"/>
        </w:rPr>
        <w:t>Степень разработанности темы. Задачи прогнозирования временных рядов и квантильной регрессии достаточно хорошо изучены в работах R. J. Hyndman, R. Koenker, G. Bassett, B. Lim, S. Zohren и других; разработаны классические подходы (Ridge, Lasso, ARIMA, экспоненциальное сглаживание), ансамблевые методы (XGBoost, LightGBM, CatBoost) и современные нейросетевые архитектуры (LSTM, DeepAR, Temporal Fusion Transformer). Однако применительно к задаче прогноза показателей биоимпедансного анализа и автоматической адаптации тренировочной программы число опубликованных работ остаётся незначительным, а в промышленных приложениях преобладает линейная экстраполяция, не обеспечивающая калиброванной оценки неопределённости.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методов прогноза показателей состава тела с калиброванными доверительными интервалами на коротких пользовательских историях и согласованных с ними правил автоматической адаптации тренировочного плана.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алгоритмы прогноза показателей InBody (масса тела, процент жира, мышечная масса) на горизонтах 1, 2 и 4 недели с построением 80%-доверительных интервалов, а также сервис автоматической адаптации тренировочного плана, и интегрировать их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 исследования: процессы прогноза изменений состава тела и автоматической адаптации тренировочных программ в цифровых фитнес-приложениях.</w:t>
      </w:r>
    </w:p>
    <w:p>
      <w:pPr>
        <w:jc w:val="both"/>
      </w:pPr>
      <w:r>
        <w:rPr>
          <w:b w:val="0"/>
        </w:rPr>
        <w:t>Предмет исследования: алгоритмы регрессии временных рядов с калиброванными доверительными интервалами и правила событийной адаптации плана при изменении профиля пользователя.</w:t>
      </w:r>
    </w:p>
    <w:p>
      <w:pPr>
        <w:jc w:val="both"/>
      </w:pPr>
      <w:r>
        <w:rPr>
          <w:b w:val="0"/>
        </w:rPr>
        <w:t>Гипотеза исследования: если для прогноза показателей InBody применить квантильную регрессию LightGBM (α ∈ {0,1; 0,5; 0,9}), то это обеспечит более точный прогноз по сравнению с persistence- и Ridge-baseline при адекватной калибровке 80%-доверительного интервала (фактическая частота попаданий не менее 75 %), а детерминированный watcher-сервис обеспечит своевременную реакцию плана тренировок на ключевые изменения профиля пользователя.</w:t>
      </w:r>
    </w:p>
    <w:p>
      <w:pPr>
        <w:jc w:val="both"/>
      </w:pPr>
      <w:r>
        <w:rPr>
          <w:b w:val="0"/>
        </w:rPr>
        <w:t>Задачи исследования</w:t>
      </w:r>
    </w:p>
    <w:p>
      <w:pPr>
        <w:pStyle w:val="ListNumber"/>
        <w:ind w:firstLine="0"/>
      </w:pPr>
      <w:r>
        <w:t>Провести обзор существующих цифровых фитнес-приложений с прогнозом и подходов к прогнозу динамики веса и состава тела; обосновать выбор класса моделей.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Tracker: технологический стек, схему базы данных, REST API, пользовательские сценарии и интерфейс.</w:t>
      </w:r>
    </w:p>
    <w:p>
      <w:pPr>
        <w:pStyle w:val="ListNumber"/>
        <w:ind w:firstLine="0"/>
      </w:pPr>
      <w:r>
        <w:t>Подготовить обучающий датасет на основе открытых источников Kaggle с применением процедуры синтеза временных рядов и сформулировать постановку задачи прогноза как многомерной регрессии дельт показателей InBody.</w:t>
      </w:r>
    </w:p>
    <w:p>
      <w:pPr>
        <w:pStyle w:val="ListNumber"/>
        <w:ind w:firstLine="0"/>
      </w:pPr>
      <w:r>
        <w:t>Разработать двухуровневую модель прогноза (Ridge-baseline и LightGBM с квантильной регрессией), алгоритм построения доверительных интервалов и алгоритм холодного старта для коротких пользовательских историй.</w:t>
      </w:r>
    </w:p>
    <w:p>
      <w:pPr>
        <w:pStyle w:val="ListNumber"/>
        <w:ind w:firstLine="0"/>
      </w:pPr>
      <w:r>
        <w:t>Разработать watcher-сервис автоматической адаптации плана тренировок: набор условий срабатывания и правила перегенерации программы.</w:t>
      </w:r>
    </w:p>
    <w:p>
      <w:pPr>
        <w:pStyle w:val="ListNumber"/>
        <w:ind w:firstLine="0"/>
      </w:pPr>
      <w:r>
        <w:t>Реализовать REST-сервис прогноза, сервис адаптации плана и парсер PDF-отчётов InBody; обеспечить их покрытие автоматизированными тестами.</w:t>
      </w:r>
    </w:p>
    <w:p>
      <w:pPr>
        <w:pStyle w:val="ListNumber"/>
        <w:ind w:firstLine="0"/>
      </w:pPr>
      <w:r>
        <w:t>Провести вычислительный эксперимент: сравнение разработанной модели с baseline-подходами, проверку калибровки доверительных интервалов и анализ полученных результатов.</w:t>
      </w:r>
    </w:p>
    <w:p>
      <w:pPr>
        <w:jc w:val="both"/>
      </w:pPr>
      <w:r>
        <w:rPr>
          <w:b w:val="0"/>
        </w:rPr>
        <w:t>Методологическую основу исследования составляют методы программной инженерии (проектирование архитектуры, разработка REST API, контейнеризация развёртывания), методы машинного обучения (регуляризованная линейная регрессия, градиентный бустинг, квантильная регрессия), методы прогнозирования временных рядов и математической статистики (MAE, MAPE, оценка покрытия 80%-доверительного интервала, sharpness).</w:t>
      </w:r>
    </w:p>
    <w:p>
      <w:pPr>
        <w:jc w:val="both"/>
      </w:pPr>
      <w:r>
        <w:rPr>
          <w:b w:val="0"/>
        </w:rPr>
        <w:t>Научная новизна работы заключается в применении квантильной регрессии LightGBM для построения калиброванных доверительных интервалов прогноза показателей биоимпедансного анализа на коротких пользовательских историях, а также в формулировке согласованного набора условий автоматической адаптации тренировочного плана при значимых изменениях пользовательского профиля.</w:t>
      </w:r>
    </w:p>
    <w:p>
      <w:pPr>
        <w:jc w:val="both"/>
      </w:pPr>
      <w:r>
        <w:rPr>
          <w:b w:val="0"/>
        </w:rPr>
        <w:t>Практическая значимость работы состоит в том, что разработанные алгоритмы программно реализованы в составе действующего приложения Fitness Tracker, покрыты автоматизированными тестами; процедура обучения моделей является воспроизводимой за счёт фиксации случайного начального значения и контрольной суммы SHA-256 обучающего датасета; развёртывание приложения осуществляется одной командой.</w:t>
      </w:r>
    </w:p>
    <w:p>
      <w:pPr>
        <w:jc w:val="both"/>
      </w:pPr>
      <w:r>
        <w:rPr>
          <w:b w:val="0"/>
        </w:rPr>
        <w:t>Структура работы. Диссертация состоит из введения, пяти глав, заключения и списка использованных источников. В первой главе приведён обзор существующих фитнес-приложений и подходов к прогнозу динамики состава тела. Во второй главе представлено описание разрабатываемого приложения Fitness Tracker (функциональные возможности, экраны, технологический стек, схема базы данных). Третья глава посвящена алгоритмам прогноза и адаптации плана. В четвёртой главе изложена программная реализация. Пятая глава содержит результаты вычислительного эксперимента.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InBody и биоимпедансный анализ</w:t>
      </w:r>
    </w:p>
    <w:p>
      <w:pPr>
        <w:jc w:val="both"/>
      </w:pPr>
      <w:r>
        <w:rPr>
          <w:b w:val="0"/>
        </w:rPr>
        <w:t>InBody — это семейство устройств для биоимпедансного анализа состава тела от южнокорейской компании InBody Co., Ltd. Метод основан на пропускании через тело слабого переменного электрического тока и измерении сопротивления, оказываемого тканями этому току. Жировая ткань содержит мало воды и плохо проводит электричество; мышечная ткань, наоборот, содержит много воды с электролитами и проводит хорошо. По разнице в проводимости устройство оценивает соотношение жировой и мышечной массы.</w:t>
      </w:r>
    </w:p>
    <w:p>
      <w:pPr>
        <w:jc w:val="both"/>
      </w:pPr>
      <w:r>
        <w:rPr>
          <w:b w:val="0"/>
        </w:rPr>
        <w:t>В фитнес-индустрии InBody получил широкое распространение как инструмент регулярных замеров состава тела у любителей. Большинство современных фитнес-клубов имеют у себя одну из моделей (InBody 270, InBody 370, InBody 770) и предлагают замеры либо бесплатно для клиентов, либо за небольшую плату. Замер занимает около минуты, результат печатается в виде PDF-отчёта с десятками показателей и графиков.</w:t>
      </w:r>
    </w:p>
    <w:p>
      <w:pPr>
        <w:jc w:val="both"/>
      </w:pPr>
      <w:r>
        <w:rPr>
          <w:b w:val="0"/>
        </w:rPr>
        <w:t>Из всех показателей InBody в нашем приложении используются четыре основных:</w:t>
      </w:r>
    </w:p>
    <w:p>
      <w:pPr>
        <w:pStyle w:val="ListBullet"/>
        <w:ind w:firstLine="0"/>
      </w:pPr>
      <w:r>
        <w:t>Weight (Вес) — масса тела в килограммах, измеряется встроенными весами устройства;</w:t>
      </w:r>
    </w:p>
    <w:p>
      <w:pPr>
        <w:pStyle w:val="ListBullet"/>
        <w:ind w:firstLine="0"/>
      </w:pPr>
      <w:r>
        <w:t>PBF (Percent Body Fat) — процент жира в теле (отношение жировой массы к общей);</w:t>
      </w:r>
    </w:p>
    <w:p>
      <w:pPr>
        <w:pStyle w:val="ListBullet"/>
        <w:ind w:firstLine="0"/>
      </w:pPr>
      <w:r>
        <w:t>SMM (Skeletal Muscle Mass) — скелетная мышечная масса в килограммах;</w:t>
      </w:r>
    </w:p>
    <w:p>
      <w:pPr>
        <w:pStyle w:val="ListBullet"/>
        <w:ind w:firstLine="0"/>
      </w:pPr>
      <w:r>
        <w:t>BMR (Basal Metabolic Rate) — базовый уровень метаболизма (сколько калорий тратит тело в покое в сутки).</w:t>
      </w:r>
    </w:p>
    <w:p>
      <w:pPr>
        <w:jc w:val="both"/>
      </w:pPr>
      <w:r>
        <w:rPr>
          <w:b w:val="0"/>
        </w:rPr>
        <w:t>Эти четыре показателя достаточны для основного анализа прогресса. Дополнительные показатели (висцеральный жир, процент воды, минералы) представляют интерес, но в текущей версии приложения не используются.</w:t>
      </w:r>
    </w:p>
    <w:p>
      <w:pPr>
        <w:jc w:val="both"/>
      </w:pPr>
      <w:r>
        <w:rPr>
          <w:b w:val="0"/>
        </w:rPr>
        <w:t>Точность InBody-замеров зависит от условий проведения: уровня гидратации, времени суток, приёма пищи и кофеина за 2–3 часа до замера. Стандартная погрешность модели InBody 270 для массы тела — около ±0,2 кг, для процента жира — ±1,5 процентного пункта. Эта погрешность задаёт нижнюю границу качества прогноза: модель, которая выдаёт ошибку меньше погрешности самого прибора, физически бессмысленна.</w:t>
      </w:r>
    </w:p>
    <w:p>
      <w:pPr>
        <w:spacing w:before="120" w:after="120"/>
        <w:ind w:firstLine="709"/>
        <w:jc w:val="left"/>
      </w:pPr>
      <w:r>
        <w:rPr>
          <w:b/>
        </w:rPr>
        <w:t>1.2 Обзор фитнес-приложений с прогнозом</w:t>
      </w:r>
    </w:p>
    <w:p>
      <w:pPr>
        <w:jc w:val="both"/>
      </w:pPr>
      <w:r>
        <w:rPr>
          <w:b w:val="0"/>
        </w:rPr>
        <w:t>Концепция использования прогнозных моделей в потребительских фитнес-приложениях находится в активной фазе развития. Ниже приведён анализ наиболее заметных решений, реализующих в той или иной форме прогноз динамики веса и состава тела, и выделены их основные ограничения.</w:t>
      </w:r>
    </w:p>
    <w:p>
      <w:pPr>
        <w:ind w:firstLine="0"/>
        <w:jc w:val="both"/>
      </w:pPr>
      <w:r>
        <w:rPr>
          <w:b w:val="0"/>
        </w:rPr>
        <w:t>MacroFactor.</w:t>
      </w:r>
    </w:p>
    <w:p>
      <w:pPr>
        <w:jc w:val="both"/>
      </w:pPr>
      <w:r>
        <w:rPr>
          <w:b w:val="0"/>
        </w:rPr>
        <w:t>Приложение для отслеживания питания. Включает в себя адаптивный калькулятор калорий, который прогнозирует, как изменится вес пользователя при текущем дневном балансе. Однако MacroFactor ориентирован исключительно на вес и не учитывает тренировки; прогнозирует только weight_kg, не процент жира и не мышечную массу; не показывает пользователю доверительных интервалов.</w:t>
      </w:r>
    </w:p>
    <w:p>
      <w:pPr>
        <w:ind w:firstLine="0"/>
        <w:jc w:val="both"/>
      </w:pPr>
      <w:r>
        <w:rPr>
          <w:b w:val="0"/>
        </w:rPr>
        <w:t>Carbon Diet Coach.</w:t>
      </w:r>
    </w:p>
    <w:p>
      <w:pPr>
        <w:jc w:val="both"/>
      </w:pPr>
      <w:r>
        <w:rPr>
          <w:b w:val="0"/>
        </w:rPr>
        <w:t>Аналогичное приложение для тренеров и пользователей: адаптивная подстройка калорий и макроэлементов. Прогноз тоже только по весу, без интеграции с InBody.</w:t>
      </w:r>
    </w:p>
    <w:p>
      <w:pPr>
        <w:ind w:firstLine="0"/>
        <w:jc w:val="both"/>
      </w:pPr>
      <w:r>
        <w:rPr>
          <w:b w:val="0"/>
        </w:rPr>
        <w:t>Fitbod.</w:t>
      </w:r>
    </w:p>
    <w:p>
      <w:pPr>
        <w:jc w:val="both"/>
      </w:pPr>
      <w:r>
        <w:rPr>
          <w:b w:val="0"/>
        </w:rPr>
        <w:t>Уже упоминалось в работе соавтора — приложение для генерации тренировок. Показывает прогноз «силы» (predicted 1RM) по упражнениям, но не композиции тела целиком.</w:t>
      </w:r>
    </w:p>
    <w:p>
      <w:pPr>
        <w:ind w:firstLine="0"/>
        <w:jc w:val="both"/>
      </w:pPr>
      <w:r>
        <w:rPr>
          <w:b w:val="0"/>
        </w:rPr>
        <w:t>Apple Health и Google Fit.</w:t>
      </w:r>
    </w:p>
    <w:p>
      <w:pPr>
        <w:jc w:val="both"/>
      </w:pPr>
      <w:r>
        <w:rPr>
          <w:b w:val="0"/>
        </w:rPr>
        <w:t>Платформы агрегации данных о здоровье. Хранят историю замеров веса (в том числе из подключённых InBody-устройств), но не строят прогноза — ограничиваются простыми трендами скользящего среднего.</w:t>
      </w:r>
    </w:p>
    <w:p>
      <w:pPr>
        <w:ind w:firstLine="0"/>
        <w:jc w:val="both"/>
      </w:pPr>
      <w:r>
        <w:rPr>
          <w:b w:val="0"/>
        </w:rPr>
        <w:t>Сводное сравнение.</w:t>
      </w:r>
    </w:p>
    <w:p>
      <w:pPr>
        <w:jc w:val="both"/>
      </w:pPr>
      <w:r>
        <w:rPr>
          <w:b w:val="0"/>
        </w:rPr>
        <w:t>Для наглядности ключевые возможности рассмотренных приложений и разработки настоящей работы сведены в таблицу 1. В неё включены как зарубежные приложения, так и популярные на российском рынке решения.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r>
              <w:t>Приложение</w:t>
            </w:r>
          </w:p>
        </w:tc>
        <w:tc>
          <w:tcPr>
            <w:tcW w:type="dxa" w:w="1567"/>
          </w:tcPr>
          <w:p>
            <w:r>
              <w:t>План тренировок</w:t>
            </w:r>
          </w:p>
        </w:tc>
        <w:tc>
          <w:tcPr>
            <w:tcW w:type="dxa" w:w="1567"/>
          </w:tcPr>
          <w:p>
            <w:r>
              <w:t>Лог тренировок</w:t>
            </w:r>
          </w:p>
        </w:tc>
        <w:tc>
          <w:tcPr>
            <w:tcW w:type="dxa" w:w="1567"/>
          </w:tcPr>
          <w:p>
            <w:r>
              <w:t>Замер состава тела</w:t>
            </w:r>
          </w:p>
        </w:tc>
        <w:tc>
          <w:tcPr>
            <w:tcW w:type="dxa" w:w="1567"/>
          </w:tcPr>
          <w:p>
            <w:r>
              <w:t>Прогноз с CI</w:t>
            </w:r>
          </w:p>
        </w:tc>
        <w:tc>
          <w:tcPr>
            <w:tcW w:type="dxa" w:w="1567"/>
          </w:tcPr>
          <w:p>
            <w:r>
              <w:t>Авто-адаптация</w:t>
            </w:r>
          </w:p>
        </w:tc>
      </w:tr>
      <w:tr>
        <w:tc>
          <w:tcPr>
            <w:tcW w:type="dxa" w:w="1567"/>
          </w:tcPr>
          <w:p>
            <w:r>
              <w:t>Fitness Tracker (наша)</w:t>
            </w:r>
          </w:p>
        </w:tc>
        <w:tc>
          <w:tcPr>
            <w:tcW w:type="dxa" w:w="1567"/>
          </w:tcPr>
          <w:p>
            <w:r>
              <w:t>автоген. (ML)</w:t>
            </w:r>
          </w:p>
        </w:tc>
        <w:tc>
          <w:tcPr>
            <w:tcW w:type="dxa" w:w="1567"/>
          </w:tcPr>
          <w:p>
            <w:r>
              <w:t>+</w:t>
            </w:r>
          </w:p>
        </w:tc>
        <w:tc>
          <w:tcPr>
            <w:tcW w:type="dxa" w:w="1567"/>
          </w:tcPr>
          <w:p>
            <w:r>
              <w:t>+ (PDF InBody)</w:t>
            </w:r>
          </w:p>
        </w:tc>
        <w:tc>
          <w:tcPr>
            <w:tcW w:type="dxa" w:w="1567"/>
          </w:tcPr>
          <w:p>
            <w:r>
              <w:t>+ (80%-CI)</w:t>
            </w:r>
          </w:p>
        </w:tc>
        <w:tc>
          <w:tcPr>
            <w:tcW w:type="dxa" w:w="1567"/>
          </w:tcPr>
          <w:p>
            <w:r>
              <w:t>+</w:t>
            </w:r>
          </w:p>
        </w:tc>
      </w:tr>
      <w:tr>
        <w:tc>
          <w:tcPr>
            <w:tcW w:type="dxa" w:w="1567"/>
          </w:tcPr>
          <w:p>
            <w:r>
              <w:t>DDX Fitness (RU)</w:t>
            </w:r>
          </w:p>
        </w:tc>
        <w:tc>
          <w:tcPr>
            <w:tcW w:type="dxa" w:w="1567"/>
          </w:tcPr>
          <w:p>
            <w:r>
              <w:t>шаблоны клуба</w:t>
            </w:r>
          </w:p>
        </w:tc>
        <w:tc>
          <w:tcPr>
            <w:tcW w:type="dxa" w:w="1567"/>
          </w:tcPr>
          <w:p>
            <w:r>
              <w:t>+</w:t>
            </w:r>
          </w:p>
        </w:tc>
        <w:tc>
          <w:tcPr>
            <w:tcW w:type="dxa" w:w="1567"/>
          </w:tcPr>
          <w:p>
            <w:r>
              <w:t>клубный InBody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</w:tr>
      <w:tr>
        <w:tc>
          <w:tcPr>
            <w:tcW w:type="dxa" w:w="1567"/>
          </w:tcPr>
          <w:p>
            <w:r>
              <w:t>World Class (RU)</w:t>
            </w:r>
          </w:p>
        </w:tc>
        <w:tc>
          <w:tcPr>
            <w:tcW w:type="dxa" w:w="1567"/>
          </w:tcPr>
          <w:p>
            <w:r>
              <w:t>шаблоны клуба</w:t>
            </w:r>
          </w:p>
        </w:tc>
        <w:tc>
          <w:tcPr>
            <w:tcW w:type="dxa" w:w="1567"/>
          </w:tcPr>
          <w:p>
            <w:r>
              <w:t>+</w:t>
            </w:r>
          </w:p>
        </w:tc>
        <w:tc>
          <w:tcPr>
            <w:tcW w:type="dxa" w:w="1567"/>
          </w:tcPr>
          <w:p>
            <w:r>
              <w:t>клубный InBody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</w:tr>
      <w:tr>
        <w:tc>
          <w:tcPr>
            <w:tcW w:type="dxa" w:w="1567"/>
          </w:tcPr>
          <w:p>
            <w:r>
              <w:t>FitStars (RU)</w:t>
            </w:r>
          </w:p>
        </w:tc>
        <w:tc>
          <w:tcPr>
            <w:tcW w:type="dxa" w:w="1567"/>
          </w:tcPr>
          <w:p>
            <w:r>
              <w:t>видео-программы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</w:tr>
      <w:tr>
        <w:tc>
          <w:tcPr>
            <w:tcW w:type="dxa" w:w="1567"/>
          </w:tcPr>
          <w:p>
            <w:r>
              <w:t>Hevy, Strong (US)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+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</w:tr>
      <w:tr>
        <w:tc>
          <w:tcPr>
            <w:tcW w:type="dxa" w:w="1567"/>
          </w:tcPr>
          <w:p>
            <w:r>
              <w:t>Fitbod (US)</w:t>
            </w:r>
          </w:p>
        </w:tc>
        <w:tc>
          <w:tcPr>
            <w:tcW w:type="dxa" w:w="1567"/>
          </w:tcPr>
          <w:p>
            <w:r>
              <w:t>автоген. (rule)</w:t>
            </w:r>
          </w:p>
        </w:tc>
        <w:tc>
          <w:tcPr>
            <w:tcW w:type="dxa" w:w="1567"/>
          </w:tcPr>
          <w:p>
            <w:r>
              <w:t>+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</w:tr>
      <w:tr>
        <w:tc>
          <w:tcPr>
            <w:tcW w:type="dxa" w:w="1567"/>
          </w:tcPr>
          <w:p>
            <w:r>
              <w:t>MacroFactor (US)</w:t>
            </w:r>
          </w:p>
        </w:tc>
        <w:tc>
          <w:tcPr>
            <w:tcW w:type="dxa" w:w="1567"/>
          </w:tcPr>
          <w:p>
            <w:r>
              <w:t>— (питание)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тренд веса</w:t>
            </w:r>
          </w:p>
        </w:tc>
        <w:tc>
          <w:tcPr>
            <w:tcW w:type="dxa" w:w="1567"/>
          </w:tcPr>
          <w:p>
            <w:r>
              <w:t>питание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возможностей фитнес-приложений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Как видно из таблицы 1, на рынке нет фитнес-приложения, которое бы одновременно: (1) использовало InBody-замеры как вход для прогнозной модели; (2) прогнозировало все три ключевых показателя (вес, процент жира, мышечную массу); (3) показывало пользователю доверительные интервалы; (4) использовало прогноз для автоматической адаптации плана тренировок. Российские приложения, как правило, ограничиваются логом тренировок и записью клубных замеров без прогнозной составляющей. Именно эти возможности и реализованы в приложении Fitness Tracker.</w:t>
      </w:r>
    </w:p>
    <w:p>
      <w:pPr>
        <w:spacing w:before="120" w:after="120"/>
        <w:ind w:firstLine="709"/>
        <w:jc w:val="left"/>
      </w:pPr>
      <w:r>
        <w:rPr>
          <w:b/>
        </w:rPr>
        <w:t>1.3 Подходы к прогнозу динамики веса и состава тела</w:t>
      </w:r>
    </w:p>
    <w:p>
      <w:pPr>
        <w:jc w:val="both"/>
      </w:pPr>
      <w:r>
        <w:rPr>
          <w:b w:val="0"/>
        </w:rPr>
        <w:t>С технической точки зрения прогноз изменения состава тела можно строить разными способами. Можно выделить четыре основных подхода.</w:t>
      </w:r>
    </w:p>
    <w:p>
      <w:pPr>
        <w:ind w:firstLine="0"/>
        <w:jc w:val="both"/>
      </w:pPr>
      <w:r>
        <w:rPr>
          <w:b w:val="0"/>
        </w:rPr>
        <w:t>Подход 1. Термодинамические модели.</w:t>
      </w:r>
    </w:p>
    <w:p>
      <w:pPr>
        <w:jc w:val="both"/>
      </w:pPr>
      <w:r>
        <w:rPr>
          <w:b w:val="0"/>
        </w:rPr>
        <w:t>Опираются на закон сохранения энергии: изменение веса пропорционально разнице между потреблёнными и потраченными калориями. Преимущество — интерпретируемость; недостаток — необходимость знать точные поступления и расход калорий, что в практике приложения невозможно (пользователь не ведёт учёт каждой съеденной булочки).</w:t>
      </w:r>
    </w:p>
    <w:p>
      <w:pPr>
        <w:ind w:firstLine="0"/>
        <w:jc w:val="both"/>
      </w:pPr>
      <w:r>
        <w:rPr>
          <w:b w:val="0"/>
        </w:rPr>
        <w:t>Подход 2. Простая линейная экстраполяция.</w:t>
      </w:r>
    </w:p>
    <w:p>
      <w:pPr>
        <w:jc w:val="both"/>
      </w:pPr>
      <w:r>
        <w:rPr>
          <w:b w:val="0"/>
        </w:rPr>
        <w:t>Самый примитивный способ: построить линию по историческим точкам InBody (например, методом наименьших квадратов) и продолжить её в будущее. Преимущество — простота. Недостаток — не учитывает тренировочную активность и индивидуальные параметры; устойчивость к выбросам низкая. Используется в нашем приложении как baseline для сравнения и как fallback при недоступности ML-модели.</w:t>
      </w:r>
    </w:p>
    <w:p>
      <w:pPr>
        <w:ind w:firstLine="0"/>
        <w:jc w:val="both"/>
      </w:pPr>
      <w:r>
        <w:rPr>
          <w:b w:val="0"/>
        </w:rPr>
        <w:t>Подход 3. Классические модели машинного обучения.</w:t>
      </w:r>
    </w:p>
    <w:p>
      <w:pPr>
        <w:jc w:val="both"/>
      </w:pPr>
      <w:r>
        <w:rPr>
          <w:b w:val="0"/>
        </w:rPr>
        <w:t>Ridge-регрессия, случайный лес, градиентный бустинг (XGBoost, LightGBM, CatBoost). Принимают на вход вектор признаков (демография, история InBody, тренировочная активность за последние недели) и выдают прогноз. Преимущества: разумный компромисс между сложностью и качеством; хорошо работают на ограниченных данных. Именно этот подход выбран в настоящей работе.</w:t>
      </w:r>
    </w:p>
    <w:p>
      <w:pPr>
        <w:ind w:firstLine="0"/>
        <w:jc w:val="both"/>
      </w:pPr>
      <w:r>
        <w:rPr>
          <w:b w:val="0"/>
        </w:rPr>
        <w:t>Подход 4. Глубокое обучение для временных рядов.</w:t>
      </w:r>
    </w:p>
    <w:p>
      <w:pPr>
        <w:jc w:val="both"/>
      </w:pPr>
      <w:r>
        <w:rPr>
          <w:b w:val="0"/>
        </w:rPr>
        <w:t>Рекуррентные сети (LSTM, GRU), Temporal Fusion Transformer, N-BEATS. Преимущества: способны улавливать сложные нелинейные зависимости и долгосрочные сезонные эффекты. Недостаток: для качественного обучения нужны десятки тысяч пользовательских траекторий, которых в нашем распоряжении пока нет. Этот подход рассматривается как направление дальнейшего развития (см. заключение).</w:t>
      </w:r>
    </w:p>
    <w:p>
      <w:pPr>
        <w:ind w:firstLine="0"/>
        <w:jc w:val="both"/>
      </w:pPr>
      <w:r>
        <w:rPr>
          <w:b w:val="0"/>
        </w:rPr>
        <w:t>Построение доверительных интервалов.</w:t>
      </w:r>
    </w:p>
    <w:p>
      <w:pPr>
        <w:jc w:val="both"/>
      </w:pPr>
      <w:r>
        <w:rPr>
          <w:b w:val="0"/>
        </w:rPr>
        <w:t>Отдельная задача — не просто выдать пользователю число «через 4 недели у вас будет 78,2 кг», а сообщить и интервал неопределённости (например, «с вероятностью 80% будет в диапазоне 76,7–79,7 кг»). Это важно, потому что прогноз с точностью до 100 грамм пользователь воспримет как обещание, а реальность всегда отличается. В нашей работе для построения интервалов используется метод квантильной регрессии: обучаются три отдельные модели LightGBM на квантилях 0,1, 0,5 и 0,9. Подробнее — в главе 3.</w:t>
      </w:r>
    </w:p>
    <w:p>
      <w:pPr>
        <w:spacing w:before="120" w:after="120"/>
        <w:ind w:firstLine="709"/>
        <w:jc w:val="left"/>
      </w:pPr>
      <w:r>
        <w:rPr>
          <w:b/>
        </w:rPr>
        <w:t>1.4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 настоящей работы.</w:t>
      </w:r>
    </w:p>
    <w:p>
      <w:pPr>
        <w:jc w:val="both"/>
      </w:pPr>
      <w:r>
        <w:rPr>
          <w:b w:val="0"/>
        </w:rPr>
        <w:t>Часть 1. Прогноз InBody.</w:t>
      </w:r>
    </w:p>
    <w:p>
      <w:pPr>
        <w:jc w:val="both"/>
      </w:pPr>
      <w:r>
        <w:rPr>
          <w:b w:val="0"/>
        </w:rPr>
        <w:t>Вход алгоритма: история InBody-замеров пользователя (минимум 1 точка), профиль (пол, возраст, рост, цель, уровень, частота тренировок), агрегаты тренировочной активности за последние недели (тренировочный объём, фактическая частота, средний RPE).</w:t>
      </w:r>
    </w:p>
    <w:p>
      <w:pPr>
        <w:jc w:val="both"/>
      </w:pPr>
      <w:r>
        <w:rPr>
          <w:b w:val="0"/>
        </w:rPr>
        <w:t>Выход алгоритма: для каждой из трёх целевых переменных (Δweight, Δbody_fat, Δmuscle_mass) и каждого из трёх горизонтов (+1, +2, +4 недели) — точечная оценка (медиана) и границы 80%-доверительного интервала (10-й и 90-й перцентили). Плюс короткая текстовая интерпретация для пользователя.</w:t>
      </w:r>
    </w:p>
    <w:p>
      <w:pPr>
        <w:jc w:val="both"/>
      </w:pPr>
      <w:r>
        <w:rPr>
          <w:b w:val="0"/>
        </w:rPr>
        <w:t>Часть 2. Автоматическая адаптация плана.</w:t>
      </w:r>
    </w:p>
    <w:p>
      <w:pPr>
        <w:jc w:val="both"/>
      </w:pPr>
      <w:r>
        <w:rPr>
          <w:b w:val="0"/>
        </w:rPr>
        <w:t>Сервис должен следить за следующими событиями: новый InBody-замер с заметным изменением веса; изменение цели в профиле; изменение частоты тренировок; окончание 4-недельного цикла; ручной запуск пользователем. При срабатывании любого из триггеров сервис либо автоматически перегенерирует план тренировок (через сервис генератора, см. работу Ощепкова Е. С.), либо показывает пользователю баннер «план устарел — обновить?».</w:t>
      </w:r>
    </w:p>
    <w:p>
      <w:pPr>
        <w:jc w:val="both"/>
      </w:pPr>
      <w:r>
        <w:rPr>
          <w:b w:val="0"/>
        </w:rPr>
        <w:t>Нефункциональные требования: inference прогноза ≤2 секунд; кэширование прогноза на 24 часа; все обучающие данные анонимизированы; результаты обучения воспроизводимы по фиксированному seed и хэшу входного файла.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само вытащит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 (на русском и английском),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Главная фишка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объёма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AI-прогнозом InBody и адаптацией плана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Аналитика и прогресс</w:t>
      </w:r>
      <w:r>
        <w:t>: Графики веса/жира/мышц; график объёма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объёма тренировок);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АЛГОРИТМЫ ПРОГНОЗА И АДАПТАЦИИ ПЛАНА</w:t>
      </w:r>
    </w:p>
    <w:p>
      <w:pPr>
        <w:spacing w:before="120" w:after="120"/>
        <w:ind w:firstLine="709"/>
        <w:jc w:val="left"/>
      </w:pPr>
      <w:r>
        <w:rPr>
          <w:b/>
        </w:rPr>
        <w:t>3.1 Двухуровневая модель прогноза InBody</w:t>
      </w:r>
    </w:p>
    <w:p>
      <w:pPr>
        <w:jc w:val="both"/>
      </w:pPr>
      <w:r>
        <w:rPr>
          <w:b w:val="0"/>
        </w:rPr>
        <w:t>Разработанная модель прогноза имеет двухуровневую структуру. Первый уровень — простой baseline на основе ridge-регрессии. Второй уровень — основная модель LightGBM с квантильной регрессией. Идея в том, что оба уровня всегда работают параллельно, и при недоступности или некорректной работе основной модели всегда есть запасной вариант (baseline).</w:t>
      </w:r>
    </w:p>
    <w:p>
      <w:pPr>
        <w:jc w:val="both"/>
      </w:pPr>
      <w:r>
        <w:rPr>
          <w:b w:val="0"/>
        </w:rPr>
        <w:t>Ridge-baseline решает классическую задачу регрессии с L2-регуляризацией. Преимущество — простота (под капотом — обычное матричное вычисление по формуле β = (XᵀX + αI)⁻¹Xᵀy), интерпретируемость (коэффициенты можно посмотреть глазами), вычислительная дешевизна (одно умножение на матрицу при инференсе). Параметр регуляризации α подбирается через пятикратную кросс-валидацию.</w:t>
      </w:r>
    </w:p>
    <w:p>
      <w:pPr>
        <w:jc w:val="both"/>
      </w:pPr>
      <w:r>
        <w:rPr>
          <w:b w:val="0"/>
        </w:rPr>
        <w:t>Основная модель — LightGBM с целевой функцией квантильной регрессии (objective='quantile'). Преимущества над ridge-регрессией: способность улавливать нелинейные взаимодействия между признаками (например, эффект тренировок зависит от пола и возраста нелинейно); возможность построения квантильных оценок для доверительных интервалов; нативная поддержка категориальных признаков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модель получает на вход:</w:t>
      </w:r>
    </w:p>
    <w:p>
      <w:pPr>
        <w:pStyle w:val="ListBullet"/>
        <w:ind w:firstLine="0"/>
      </w:pPr>
      <w:r>
        <w:t>демография: пол, возраст, рост;</w:t>
      </w:r>
    </w:p>
    <w:p>
      <w:pPr>
        <w:pStyle w:val="ListBullet"/>
        <w:ind w:firstLine="0"/>
      </w:pPr>
      <w:r>
        <w:t>текущий InBody: масса, процент жира, мышечная масса, BMR;</w:t>
      </w:r>
    </w:p>
    <w:p>
      <w:pPr>
        <w:pStyle w:val="ListBullet"/>
        <w:ind w:firstLine="0"/>
      </w:pPr>
      <w:r>
        <w:t>тренировочная активность за прошедшую неделю: тренировочный объём (сумма веса × повторений по всем подходам), фактическая частота тренировок, средний RPE;</w:t>
      </w:r>
    </w:p>
    <w:p>
      <w:pPr>
        <w:pStyle w:val="ListBullet"/>
        <w:ind w:firstLine="0"/>
      </w:pPr>
      <w:r>
        <w:t>цель пользователя (похудение / набор массы / поддержание);</w:t>
      </w:r>
    </w:p>
    <w:p>
      <w:pPr>
        <w:pStyle w:val="ListBullet"/>
        <w:ind w:firstLine="0"/>
      </w:pPr>
      <w:r>
        <w:t>уровень подготовки (новичок / средний / продвинутый);</w:t>
      </w:r>
    </w:p>
    <w:p>
      <w:pPr>
        <w:pStyle w:val="ListBullet"/>
        <w:ind w:firstLine="0"/>
      </w:pPr>
      <w:r>
        <w:t>опциональный параметр calories_offset_kcal — используется в what-if режиме.</w:t>
      </w:r>
    </w:p>
    <w:p>
      <w:pPr>
        <w:jc w:val="both"/>
      </w:pPr>
      <w:r>
        <w:rPr>
          <w:b w:val="0"/>
        </w:rPr>
        <w:t>Цель модели — предсказать не абсолютное значение InBody через τ недель, а дельту Δy = y_{t+τ} − y_t. Это делается по двум причинам. Во-первых, дельты более универсальны: пользователь с весом 60 кг и пользователь с весом 100 кг могут терять одинаковое количество килограммов в неделю, и модель должна уметь это видеть. Во-вторых, дельты позволяют наложить физиологические ограничения (например, потеря веса не быстрее 1,5 кг/нед) на этапе пост-обработки без потери линейности модели.</w:t>
      </w:r>
    </w:p>
    <w:p>
      <w:pPr>
        <w:spacing w:before="120" w:after="120"/>
        <w:ind w:firstLine="709"/>
        <w:jc w:val="left"/>
      </w:pPr>
      <w:r>
        <w:rPr>
          <w:b/>
        </w:rPr>
        <w:t>3.2 Доверительные интервалы через квантильную регрессию</w:t>
      </w:r>
    </w:p>
    <w:p>
      <w:pPr>
        <w:jc w:val="both"/>
      </w:pPr>
      <w:r>
        <w:rPr>
          <w:b w:val="0"/>
        </w:rPr>
        <w:t>Большинство классических моделей регрессии выдают одно число — точечный прогноз. Чтобы получить из него доверительный интервал, обычно делают предположение о гауссовости остатков и считают интервал как y ± 1,28σ для 80%-CI. Это предположение часто не выполняется: реальное распределение ошибок прогноза веса асимметрично (потеря веса обычно идёт медленнее, чем набор), хвосты тяжелее гауссовых.</w:t>
      </w:r>
    </w:p>
    <w:p>
      <w:pPr>
        <w:jc w:val="both"/>
      </w:pPr>
      <w:r>
        <w:rPr>
          <w:b w:val="0"/>
        </w:rPr>
        <w:t>Квантильная регрессия решает эту проблему: вместо одной модели, выдающей среднее, обучается несколько моделей, выдающих заданные квантили. Если обучить модель на квантиле 0,5 — получится оценка медианы; на квантиле 0,1 — нижняя граница 80%-CI; на квантиле 0,9 — верхняя граница 80%-CI. Никаких предположений о распределении остатков делать не нужно.</w:t>
      </w:r>
    </w:p>
    <w:p>
      <w:pPr>
        <w:jc w:val="both"/>
      </w:pPr>
      <w:r>
        <w:rPr>
          <w:b w:val="0"/>
        </w:rPr>
        <w:t>Математически каждая модель минимизирует несимметричную функцию потерь — pinball loss:</w:t>
      </w:r>
    </w:p>
    <w:p>
      <w:pPr>
        <w:ind w:firstLine="0"/>
        <w:jc w:val="center"/>
      </w:pPr>
      <w:r>
        <w:rPr>
          <w:b w:val="0"/>
        </w:rPr>
        <w:t>L_τ(y, ŷ) = max(τ · (y − ŷ), (τ − 1) · (y − ŷ)),</w:t>
      </w:r>
    </w:p>
    <w:p>
      <w:pPr>
        <w:jc w:val="both"/>
      </w:pPr>
      <w:r>
        <w:rPr>
          <w:b w:val="0"/>
        </w:rPr>
        <w:t>где τ ∈ (0, 1) — целевой квантиль. При τ = 0,5 эта функция совпадает с MAE; при других τ — штрафует сильнее за отклонения в одну сторону. LightGBM поддерживает эту функцию потерь нативно через параметр objective='quantile' и alpha=τ.</w:t>
      </w:r>
    </w:p>
    <w:p>
      <w:pPr>
        <w:jc w:val="both"/>
      </w:pPr>
      <w:r>
        <w:rPr>
          <w:b w:val="0"/>
        </w:rPr>
        <w:t>Для каждой целевой переменной (Δweight, Δbody_fat, Δmuscle_mass) обучаются три отдельные модели (q10, q50, q90). Всего — 9 моделей на один горизонт. Поскольку модель тренируется отдельно на каждый горизонт (1, 2, 4 недели), общее число обучаемых моделей — 27. Объём артефактов — около 200 МБ.</w:t>
      </w:r>
    </w:p>
    <w:p>
      <w:pPr>
        <w:jc w:val="both"/>
      </w:pPr>
      <w:r>
        <w:rPr>
          <w:b w:val="0"/>
        </w:rPr>
        <w:t>На стадии инференса для пользователя строится JSON-ответ вида:</w:t>
      </w:r>
    </w:p>
    <w:p>
      <w:pPr>
        <w:ind w:firstLine="0"/>
      </w:pPr>
      <w:r>
        <w:rPr>
          <w:rFonts w:ascii="Courier New" w:hAnsi="Courier New"/>
          <w:sz w:val="22"/>
        </w:rPr>
        <w:t>{</w:t>
        <w:br/>
        <w:t xml:space="preserve">  "metrics": {</w:t>
        <w:br/>
        <w:t xml:space="preserve">    "weight_kg": [</w:t>
        <w:br/>
        <w:t xml:space="preserve">      {"horizon_weeks": 1, "point": 77.6,</w:t>
        <w:br/>
        <w:t xml:space="preserve">       "ci_low": 77.0, "ci_high": 78.2},</w:t>
        <w:br/>
        <w:t xml:space="preserve">      {"horizon_weeks": 2, "point": 77.0,</w:t>
        <w:br/>
        <w:t xml:space="preserve">       "ci_low": 76.0, "ci_high": 78.0},</w:t>
        <w:br/>
        <w:t xml:space="preserve">      {"horizon_weeks": 4, "point": 76.2,</w:t>
        <w:br/>
        <w:t xml:space="preserve">       "ci_low": 74.7, "ci_high": 77.7}</w:t>
        <w:br/>
        <w:t xml:space="preserve">    ],</w:t>
        <w:br/>
        <w:t xml:space="preserve">    "body_fat_percent": [...],</w:t>
        <w:br/>
        <w:t xml:space="preserve">    "muscle_mass_kg": [...]</w:t>
        <w:br/>
        <w:t xml:space="preserve">  },</w:t>
        <w:br/>
        <w:t xml:space="preserve">  "interpretation": "При текущем темпе вы потеряете около 1.2 кг за 4 недели..."</w:t>
        <w:br/>
        <w:t>}</w:t>
      </w:r>
    </w:p>
    <w:p>
      <w:pPr>
        <w:spacing w:before="120" w:after="120"/>
        <w:ind w:firstLine="709"/>
        <w:jc w:val="left"/>
      </w:pPr>
      <w:r>
        <w:rPr>
          <w:b/>
        </w:rPr>
        <w:t>3.3 Холодный старт для новых пользователей</w:t>
      </w:r>
    </w:p>
    <w:p>
      <w:pPr>
        <w:jc w:val="both"/>
      </w:pPr>
      <w:r>
        <w:rPr>
          <w:b w:val="0"/>
        </w:rPr>
        <w:t>Что делать, если у пользователя только один InBody-замер? Индивидуальный прогноз построить невозможно — нет истории, по которой можно было бы понять индивидуальный темп. Эта ситуация называется «холодным стартом» (cold start) и характерна для только что зарегистрировавшихся пользователей.</w:t>
      </w:r>
    </w:p>
    <w:p>
      <w:pPr>
        <w:jc w:val="both"/>
      </w:pPr>
      <w:r>
        <w:rPr>
          <w:b w:val="0"/>
        </w:rPr>
        <w:t>Решение — cross-user baseline. Идея: на этапе подготовки датасета мы сгруппировали обучающие траектории по «кластерам» пользователей (пол × возрастная группа × BMI-диапазон × цель). Для каждого такого кластера посчитали средние дельты по неделям. При холодном старте пользователю выдаётся прогноз = усреднённая дельта по его кластеру.</w:t>
      </w:r>
    </w:p>
    <w:p>
      <w:pPr>
        <w:jc w:val="both"/>
      </w:pPr>
      <w:r>
        <w:rPr>
          <w:b w:val="0"/>
        </w:rPr>
        <w:t>Этот прогноз помечается флагом confidence='low', и пользователю показывается баннер «прогноз станет точнее после ещё 2 замеров». По мере накопления истории (4 и более InBody-замеров) система автоматически переключается на индивидуализированную LightGBM-модель.</w:t>
      </w:r>
    </w:p>
    <w:p>
      <w:pPr>
        <w:spacing w:before="120" w:after="120"/>
        <w:ind w:firstLine="709"/>
        <w:jc w:val="left"/>
      </w:pPr>
      <w:r>
        <w:rPr>
          <w:b/>
        </w:rPr>
        <w:t>3.4 Watcher: автоматическая адаптация плана</w:t>
      </w:r>
    </w:p>
    <w:p>
      <w:pPr>
        <w:jc w:val="both"/>
      </w:pPr>
      <w:r>
        <w:rPr>
          <w:b w:val="0"/>
        </w:rPr>
        <w:t>Вторая часть работы — сервис автоматической адаптации плана тренировок. Реализован как набор обработчиков событий (watchers), которые запускаются при определённых сигналах от пользователя.</w:t>
      </w:r>
    </w:p>
    <w:p>
      <w:pPr>
        <w:jc w:val="both"/>
      </w:pPr>
      <w:r>
        <w:rPr>
          <w:b w:val="0"/>
        </w:rPr>
        <w:t>Триггеры адаптации:</w:t>
      </w:r>
    </w:p>
    <w:p>
      <w:pPr>
        <w:ind w:firstLine="0"/>
        <w:jc w:val="both"/>
      </w:pPr>
      <w:r>
        <w:rPr>
          <w:b w:val="0"/>
        </w:rPr>
        <w:t>1. Изменение веса (weight_change).</w:t>
      </w:r>
    </w:p>
    <w:p>
      <w:pPr>
        <w:jc w:val="both"/>
      </w:pPr>
      <w:r>
        <w:rPr>
          <w:b w:val="0"/>
        </w:rPr>
        <w:t>Срабатывает при поступлении нового InBody-замера, если |новый_вес − предыдущий_вес| &gt; 2 кг или относительное изменение &gt; 3% за &lt; 30 дней. Логика: если пользователь сдвинулся в весе значительно — текущий план явно не соответствует его новым параметрам.</w:t>
      </w:r>
    </w:p>
    <w:p>
      <w:pPr>
        <w:ind w:firstLine="0"/>
        <w:jc w:val="both"/>
      </w:pPr>
      <w:r>
        <w:rPr>
          <w:b w:val="0"/>
        </w:rPr>
        <w:t>2. Изменение цели (goal_change).</w:t>
      </w:r>
    </w:p>
    <w:p>
      <w:pPr>
        <w:jc w:val="both"/>
      </w:pPr>
      <w:r>
        <w:rPr>
          <w:b w:val="0"/>
        </w:rPr>
        <w:t>Срабатывает при изменении поля goal в профиле (например, переход с похудения на набор массы). Прежний план абсолютно неуместен.</w:t>
      </w:r>
    </w:p>
    <w:p>
      <w:pPr>
        <w:ind w:firstLine="0"/>
        <w:jc w:val="both"/>
      </w:pPr>
      <w:r>
        <w:rPr>
          <w:b w:val="0"/>
        </w:rPr>
        <w:t>3. Изменение частоты (frequency_change).</w:t>
      </w:r>
    </w:p>
    <w:p>
      <w:pPr>
        <w:jc w:val="both"/>
      </w:pPr>
      <w:r>
        <w:rPr>
          <w:b w:val="0"/>
        </w:rPr>
        <w:t>Срабатывает при изменении training_frequency. Например, переход с 3 раз в неделю на 5 требует перераспределения упражнений по дням.</w:t>
      </w:r>
    </w:p>
    <w:p>
      <w:pPr>
        <w:ind w:firstLine="0"/>
        <w:jc w:val="both"/>
      </w:pPr>
      <w:r>
        <w:rPr>
          <w:b w:val="0"/>
        </w:rPr>
        <w:t>4. Изменение оборудования (equipment_available).</w:t>
      </w:r>
    </w:p>
    <w:p>
      <w:pPr>
        <w:jc w:val="both"/>
      </w:pPr>
      <w:r>
        <w:rPr>
          <w:b w:val="0"/>
        </w:rPr>
        <w:t>Срабатывает при изменении набора доступного оборудования в профиле. Например, пользователь переехал и больше не может пользоваться штангой — все упражнения с этим оборудованием нужно заменить. В отличие от смены цели или частоты, для этого триггера в перечислении plan_rebuild_events.trigger отдельного значения не предусмотрено: смена оборудования просто поднимает флаг plan_rebuild_required, и пользователь видит баннер по тому же условию. Это сознательное упрощение — пользователь по баннеру всё равно увидит, что план устарел, а отдельный enum-trigger без отдельного сценария отдачи в UI добавил бы только сложность.</w:t>
      </w:r>
    </w:p>
    <w:p>
      <w:pPr>
        <w:ind w:firstLine="0"/>
        <w:jc w:val="both"/>
      </w:pPr>
      <w:r>
        <w:rPr>
          <w:b w:val="0"/>
        </w:rPr>
        <w:t>5. Окончание цикла (cycle_end).</w:t>
      </w:r>
    </w:p>
    <w:p>
      <w:pPr>
        <w:jc w:val="both"/>
      </w:pPr>
      <w:r>
        <w:rPr>
          <w:b w:val="0"/>
        </w:rPr>
        <w:t>Срабатывает ежедневным фоновым заданием, когда valid_until активного плана ≤ today. При этом автоматически архивируется старый план и генерируется новый с учётом данных прошедшего цикла. Поскольку триггер срабатывает без участия пользователя, событие сразу пишется со статусом auto_applied — баннеру в UI показываться не нужно.</w:t>
      </w:r>
    </w:p>
    <w:p>
      <w:pPr>
        <w:ind w:firstLine="0"/>
        <w:jc w:val="both"/>
      </w:pPr>
      <w:r>
        <w:rPr>
          <w:b w:val="0"/>
        </w:rPr>
        <w:t>6. Ручной запуск (manual).</w:t>
      </w:r>
    </w:p>
    <w:p>
      <w:pPr>
        <w:jc w:val="both"/>
      </w:pPr>
      <w:r>
        <w:rPr>
          <w:b w:val="0"/>
        </w:rPr>
        <w:t>Пользователь нажал «Сгенерировать заново» в меню плана.</w:t>
      </w:r>
    </w:p>
    <w:p>
      <w:pPr>
        <w:jc w:val="both"/>
      </w:pPr>
      <w:r>
        <w:rPr>
          <w:b w:val="0"/>
        </w:rPr>
        <w:t>При срабатывании любого триггера watcher создаёт запись в таблице plan_rebuild_events со статусом pending, выставляет флаг plan_rebuild_required = true в профиле пользователя, и пользователь видит на главном экране баннер с CTA «обновить план?». Если пользователь нажимает «обновить» — запускается сервис генерации (см. работу Ощепкова Е. С.), который перегенерирует план с учётом новых параметров и архивирует старый. Если пользователь игнорирует баннер 7 дней — перегенерация запускается автоматически фоновым заданием.</w:t>
      </w:r>
    </w:p>
    <w:p>
      <w:pPr>
        <w:jc w:val="both"/>
      </w:pPr>
      <w:r>
        <w:rPr>
          <w:b w:val="0"/>
        </w:rPr>
        <w:t>Дополнительное правило — debounce при повторных изменениях профиля. Если пользователь несколько раз за один день меняет цель или частоту, watcher не создаёт по событию на каждое изменение: при наличии уже-существующего pending-события с тем же триггером новое не пишется. Иначе аудит превращается в шум, а регенерация — в каскад, который никому не нужен.</w:t>
      </w:r>
    </w:p>
    <w:p>
      <w:pPr>
        <w:jc w:val="both"/>
      </w:pPr>
      <w:r>
        <w:rPr>
          <w:b w:val="0"/>
        </w:rPr>
        <w:t>Watcher работает синхронно, в рамках транзакции записи нового InBody или изменения профиля. Это гарантирует согласованность состояния: либо одновременно записан новый замер и создана запись о необходимости адаптации, либо ни одного из этих событий не произошло.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данных и синтез временных рядов</w:t>
      </w:r>
    </w:p>
    <w:p>
      <w:pPr>
        <w:jc w:val="both"/>
      </w:pPr>
      <w:r>
        <w:rPr>
          <w:b w:val="0"/>
        </w:rPr>
        <w:t>Чтобы обучить модель прогноза, нужны данные: временные ряды InBody-замеров вместе с тренировочной активностью пользователей. Открытых датасетов с такими данными в нужном объёме не существует, поэтому датасет собран из двух Kaggle-источников с применением синтеза:</w:t>
      </w:r>
    </w:p>
    <w:p>
      <w:pPr>
        <w:pStyle w:val="ListBullet"/>
        <w:ind w:firstLine="0"/>
      </w:pPr>
      <w:r>
        <w:t>S3 — valakhorasani/gym-members-exercise-dataset: профили посетителей зала (возраст, пол, BMI, частота, длительность тренировок, тип упражнений) — 973 строки после prevalence-фильтрации;</w:t>
      </w:r>
    </w:p>
    <w:p>
      <w:pPr>
        <w:pStyle w:val="ListBullet"/>
        <w:ind w:firstLine="0"/>
      </w:pPr>
      <w:r>
        <w:t>S4 — fedesoriano/body-fat-prediction-dataset: замеры тела (рост, вес, обхваты) с расчётом процента жира — 251 строка.</w:t>
      </w:r>
    </w:p>
    <w:p>
      <w:pPr>
        <w:jc w:val="both"/>
      </w:pPr>
      <w:r>
        <w:rPr>
          <w:b w:val="0"/>
        </w:rPr>
        <w:t>Главное ограничение: оба источника — кросс-секционные, то есть один человек = одна строка, без истории. Для обучения модели прогноза необходимы временные ряды. Решение — синтез траекторий: для каждого условного «пользователя» из S3 на основе его параметров и литературных данных о типичной динамике моделируется траектория на 4–8 недель.</w:t>
      </w:r>
    </w:p>
    <w:p>
      <w:pPr>
        <w:jc w:val="both"/>
      </w:pPr>
      <w:r>
        <w:rPr>
          <w:b w:val="0"/>
        </w:rPr>
        <w:t>Алгоритм синтеза реализован в ml/etl/synthesize_timeseries.py и работает так. Для каждого пользователя из S3 случайно выбирается цель (вес-лосс / масса / поддержание) с весами, соответствующими статистике в реальной популяции (60% / 25% / 15%). Затем на каждую неделю генерируется дельта веса = базовая_динамика(цель, профиль) + гауссов_шум(σ=0.3 кг). Дельта процента жира коррелирована с дельтой веса (при потере веса жир уходит быстрее мышц), дельта мышечной массы — наоборот. Получаемые траектории помечаются флагом is_synthetic=true для последующего корректного взвешивания в обучении.</w:t>
      </w:r>
    </w:p>
    <w:p>
      <w:pPr>
        <w:jc w:val="both"/>
      </w:pPr>
      <w:r>
        <w:rPr>
          <w:b w:val="0"/>
        </w:rPr>
        <w:t>Результат — файл dataset_b_inbody_timeseries.parquet: 9776 точек (пользователь × неделя) от 1222 анонимизированных пользователей. Разбит на train/val/test (70/15/15) с фиксированным seed=42, без пересечений по пользователям между выборками: 6843 / 1466 / 1467 точек соответственно. Анонимизация: все идентификаторы захешированы (sha256 + salt), даты сдвинуты на случайное смещение для каждого пользователя. SHA-256 итогового CSV фиксируется в manifest.json каждой обученной модели для контроля воспроизводимости.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моделей</w:t>
      </w:r>
    </w:p>
    <w:p>
      <w:pPr>
        <w:jc w:val="both"/>
      </w:pPr>
      <w:r>
        <w:rPr>
          <w:b w:val="0"/>
        </w:rPr>
        <w:t>Обучение реализовано в ml/training/inbody_timeseries/. Скрипт читает parquet-файл, выполняет train/val/test split по split-полю, и обучает следующий набор моделей:</w:t>
      </w:r>
    </w:p>
    <w:p>
      <w:pPr>
        <w:pStyle w:val="ListBullet"/>
        <w:ind w:firstLine="0"/>
      </w:pPr>
      <w:r>
        <w:t>Persistence: тривиальный baseline («следующая неделя = текущей»), нужен как контрольная точка — если ML-модель не бьёт его, фичи не несут полезного сигнала;</w:t>
      </w:r>
    </w:p>
    <w:p>
      <w:pPr>
        <w:pStyle w:val="ListBullet"/>
        <w:ind w:firstLine="0"/>
      </w:pPr>
      <w:r>
        <w:t>Ridge: линейный baseline, 3 модели (по одной на каждую целевую переменную), параметр α подбирается через RidgeCV;</w:t>
      </w:r>
    </w:p>
    <w:p>
      <w:pPr>
        <w:pStyle w:val="ListBullet"/>
        <w:ind w:firstLine="0"/>
      </w:pPr>
      <w:r>
        <w:t>LightGBM quantile: 9 бустеров (3 целевых × 3 квантиля q=0,1/0,5/0,9), one-step регрессия дельт; multi-horizon (1/2/4 недели) достигается рекурсивным применением одношаговой модели на инференсе;</w:t>
      </w:r>
    </w:p>
    <w:p>
      <w:pPr>
        <w:pStyle w:val="ListBullet"/>
        <w:ind w:firstLine="0"/>
      </w:pPr>
      <w:r>
        <w:t>MLP quantile (PyTorch): альтернативная архитектура — shared trunk 64→32 + per-target heads с δ-параметризацией квантилей (q10 = q50 − softplus(δ_lower); q90 = q50 + softplus(δ_upper)), что гарантирует упорядоченность q10 ≤ q50 ≤ q90 по построению. Pinball loss с маскированием NaN в muscle_mass_kg.</w:t>
      </w:r>
    </w:p>
    <w:p>
      <w:pPr>
        <w:jc w:val="both"/>
      </w:pPr>
      <w:r>
        <w:rPr>
          <w:b w:val="0"/>
        </w:rPr>
        <w:t>Гиперпараметры LightGBM: num_boost_round 500 с early_stopping_rounds 30 (фактическая остановка по валидационной выборке), learning_rate 0,05, num_leaves 15, min_data_in_leaf 20, feature_fraction 0,9, bagging_fraction 0,9, bagging_freq 5, random_state 42. Сочетание num_leaves=15 (≈глубина 4) и min_data_in_leaf=20 ограничивает выразительность модели в условиях небольшой выборки, а ранняя остановка на валидации предотвращает переобучение.</w:t>
      </w:r>
    </w:p>
    <w:p>
      <w:pPr>
        <w:jc w:val="both"/>
      </w:pPr>
      <w:r>
        <w:rPr>
          <w:b w:val="0"/>
        </w:rPr>
        <w:t>Гиперпараметры MLP: Adam, learning_rate 1e-3, weight_decay 1e-4, batch_size 256, max_epochs 200, early_stopping_patience 20 эпох по валидационному pinball loss, dropout 0,3, seed 42. Размер сети (64→32 в trunk, 16 в head) подобран под объём выборки — увеличение глубины приводит к переобучению.</w:t>
      </w:r>
    </w:p>
    <w:p>
      <w:pPr>
        <w:jc w:val="both"/>
      </w:pPr>
      <w:r>
        <w:rPr>
          <w:b w:val="0"/>
        </w:rPr>
        <w:t>Каждая модель сохраняется в отдельный joblib-файл в иерархическую структуру каталогов:</w:t>
      </w:r>
    </w:p>
    <w:p>
      <w:pPr>
        <w:ind w:firstLine="0"/>
      </w:pPr>
      <w:r>
        <w:rPr>
          <w:rFonts w:ascii="Courier New" w:hAnsi="Courier New"/>
          <w:sz w:val="22"/>
        </w:rPr>
        <w:t>ml/models/inbody_pred/</w:t>
        <w:br/>
        <w:t xml:space="preserve">  persistence/v0.1.0/manifest.json</w:t>
        <w:br/>
        <w:t xml:space="preserve">  ridge/v0.1.0/</w:t>
        <w:br/>
        <w:t xml:space="preserve">    delta_weight_kg.joblib</w:t>
        <w:br/>
        <w:t xml:space="preserve">    delta_body_fat_percent.joblib</w:t>
        <w:br/>
        <w:t xml:space="preserve">    delta_muscle_mass_kg.joblib</w:t>
        <w:br/>
        <w:t xml:space="preserve">    manifest.json</w:t>
        <w:br/>
        <w:t xml:space="preserve">  lgbm/v0.1.0/</w:t>
        <w:br/>
        <w:t xml:space="preserve">    delta_weight_kg_q10.joblib</w:t>
        <w:br/>
        <w:t xml:space="preserve">    delta_weight_kg_q50.joblib</w:t>
        <w:br/>
        <w:t xml:space="preserve">    delta_weight_kg_q90.joblib</w:t>
        <w:br/>
        <w:t xml:space="preserve">    ... (9 бустеров: 3 target × 3 quantile)</w:t>
        <w:br/>
        <w:t xml:space="preserve">    manifest.json</w:t>
        <w:br/>
        <w:t xml:space="preserve">  mlp/v0.1.0/manifest.json</w:t>
      </w:r>
    </w:p>
    <w:p>
      <w:pPr>
        <w:jc w:val="both"/>
      </w:pPr>
      <w:r>
        <w:rPr>
          <w:b w:val="0"/>
        </w:rPr>
        <w:t>Файл manifest.json в каждом каталоге версии содержит мета-информацию: версии scikit-learn / LightGBM / PyTorch, seed, SHA-256 входного файла датасета, дата обучения, гиперпараметры и итоговые метрики качества на тесте. Этого достаточно для воспроизведения обучения с теми же результатами.</w:t>
      </w:r>
    </w:p>
    <w:p>
      <w:pPr>
        <w:spacing w:before="120" w:after="120"/>
        <w:ind w:firstLine="709"/>
        <w:jc w:val="left"/>
      </w:pPr>
      <w:r>
        <w:rPr>
          <w:b/>
        </w:rPr>
        <w:t>4.3 Парсер PDF-отчётов InBody</w:t>
      </w:r>
    </w:p>
    <w:p>
      <w:pPr>
        <w:jc w:val="both"/>
      </w:pPr>
      <w:r>
        <w:rPr>
          <w:b w:val="0"/>
        </w:rPr>
        <w:t>Парсер PDF-отчётов InBody — отдельная небольшая подсистема, реализованная в src/app/domain/inbody_pdf_parser.py. Назначение: пользователь загружает PDF-отчёт из своего фитнес-клуба, парсер автоматически извлекает из него ключевые показатели (вес, процент жира, мышечную массу, BMR) и предлагает пользователю сохранить их как новый замер.</w:t>
      </w:r>
    </w:p>
    <w:p>
      <w:pPr>
        <w:jc w:val="both"/>
      </w:pPr>
      <w:r>
        <w:rPr>
          <w:b w:val="0"/>
        </w:rPr>
        <w:t>Парсер работает через библиотеку pdfplumber, которая извлекает из PDF не просто текст, а текст с координатами на странице. Это важно, потому что InBody-отчёты — это документы со сложной графической вёрсткой: значения часто находятся рядом со своими подписями, а не строго после них.</w:t>
      </w:r>
    </w:p>
    <w:p>
      <w:pPr>
        <w:jc w:val="both"/>
      </w:pPr>
      <w:r>
        <w:rPr>
          <w:b w:val="0"/>
        </w:rPr>
        <w:t>Алгоритм парсера:</w:t>
      </w:r>
    </w:p>
    <w:p>
      <w:pPr>
        <w:pStyle w:val="ListNumber"/>
        <w:ind w:firstLine="0"/>
      </w:pPr>
      <w:r>
        <w:t>Извлечь весь текст с координатами через pdfplumber.</w:t>
      </w:r>
    </w:p>
    <w:p>
      <w:pPr>
        <w:pStyle w:val="ListNumber"/>
        <w:ind w:firstLine="0"/>
      </w:pPr>
      <w:r>
        <w:t>Найти на странице характерные метки: «Вес», «Weight», «Процент жира», «PBF», «Мышечная масса», «SMM», «BMR».</w:t>
      </w:r>
    </w:p>
    <w:p>
      <w:pPr>
        <w:pStyle w:val="ListNumber"/>
        <w:ind w:firstLine="0"/>
      </w:pPr>
      <w:r>
        <w:t>Для каждой найденной метки найти ближайшее по координатам числовое значение.</w:t>
      </w:r>
    </w:p>
    <w:p>
      <w:pPr>
        <w:pStyle w:val="ListNumber"/>
        <w:ind w:firstLine="0"/>
      </w:pPr>
      <w:r>
        <w:t>Проверить значения на физиологические границы: вес ∈ [30, 250] кг, процент жира ∈ [2, 65], мышечная масса ∈ [10, 100] кг.</w:t>
      </w:r>
    </w:p>
    <w:p>
      <w:pPr>
        <w:pStyle w:val="ListNumber"/>
        <w:ind w:firstLine="0"/>
      </w:pPr>
      <w:r>
        <w:t>Вернуть структурированный результат + список найденных проблем (отсутствует поле, значение вне границ, неоднозначное чтение).</w:t>
      </w:r>
    </w:p>
    <w:p>
      <w:pPr>
        <w:jc w:val="both"/>
      </w:pPr>
      <w:r>
        <w:rPr>
          <w:b w:val="0"/>
        </w:rPr>
        <w:t>Если все поля распознаны успешно — пользователь видит экран подтверждения с распознанными значениями и кнопкой «Сохранить». Если есть проблемы — поля, помеченные как сомнительные, подсвечиваются жёлтым, и пользователь может вручную исправить значение перед сохранением.</w:t>
      </w:r>
    </w:p>
    <w:p>
      <w:pPr>
        <w:jc w:val="both"/>
      </w:pPr>
      <w:r>
        <w:rPr>
          <w:b w:val="0"/>
        </w:rPr>
        <w:t>На текущий момент парсер протестирован на PDF-отчётах InBody 270 (стандартный одностраничный отчёт) и работает на них с точностью около 95%. Поддержка InBody 770 и других моделей запланирована.</w:t>
      </w:r>
    </w:p>
    <w:p>
      <w:pPr>
        <w:spacing w:before="120" w:after="120"/>
        <w:ind w:firstLine="709"/>
        <w:jc w:val="left"/>
      </w:pPr>
      <w:r>
        <w:rPr>
          <w:b/>
        </w:rPr>
        <w:t>4.4 REST-сервис прогноза</w:t>
      </w:r>
    </w:p>
    <w:p>
      <w:pPr>
        <w:jc w:val="both"/>
      </w:pPr>
      <w:r>
        <w:rPr>
          <w:b w:val="0"/>
        </w:rPr>
        <w:t>Сервис прогноза реализован как REST-эндпоинт:</w:t>
      </w:r>
    </w:p>
    <w:p>
      <w:pPr>
        <w:ind w:firstLine="0"/>
      </w:pPr>
      <w:r>
        <w:rPr>
          <w:rFonts w:ascii="Courier New" w:hAnsi="Courier New"/>
          <w:sz w:val="22"/>
        </w:rPr>
        <w:t>GET /api/v1/forecast/inbody?horizons=1,2,4</w:t>
      </w:r>
    </w:p>
    <w:p>
      <w:pPr>
        <w:jc w:val="both"/>
      </w:pPr>
      <w:r>
        <w:rPr>
          <w:b w:val="0"/>
        </w:rPr>
        <w:t>Внутри обработчика выполняется следующее:</w:t>
      </w:r>
    </w:p>
    <w:p>
      <w:pPr>
        <w:pStyle w:val="ListNumber"/>
        <w:ind w:firstLine="0"/>
      </w:pPr>
      <w:r>
        <w:t>Извлечь пользователя из JWT-токена.</w:t>
      </w:r>
    </w:p>
    <w:p>
      <w:pPr>
        <w:pStyle w:val="ListNumber"/>
        <w:ind w:firstLine="0"/>
      </w:pPr>
      <w:r>
        <w:t>Из БД прочитать историю InBody-замеров пользователя (последние ~12 точек).</w:t>
      </w:r>
    </w:p>
    <w:p>
      <w:pPr>
        <w:pStyle w:val="ListNumber"/>
        <w:ind w:firstLine="0"/>
      </w:pPr>
      <w:r>
        <w:t>Если замеров &lt; 4 — переключиться на cold-start baseline (см. главу 3).</w:t>
      </w:r>
    </w:p>
    <w:p>
      <w:pPr>
        <w:pStyle w:val="ListNumber"/>
        <w:ind w:firstLine="0"/>
      </w:pPr>
      <w:r>
        <w:t>Из БД прочитать историю тренировок за последние 8 недель и посчитать агрегаты (тренировочный объём, фактическая частота, средний RPE) по неделям.</w:t>
      </w:r>
    </w:p>
    <w:p>
      <w:pPr>
        <w:pStyle w:val="ListNumber"/>
        <w:ind w:firstLine="0"/>
      </w:pPr>
      <w:r>
        <w:t>Сформировать признаковый вектор пользователя на момент t.</w:t>
      </w:r>
    </w:p>
    <w:p>
      <w:pPr>
        <w:pStyle w:val="ListNumber"/>
        <w:ind w:firstLine="0"/>
      </w:pPr>
      <w:r>
        <w:t>Для каждого запрошенного горизонта τ и каждой целевой переменной выполнить инференс трёх моделей (q10, q50, q90).</w:t>
      </w:r>
    </w:p>
    <w:p>
      <w:pPr>
        <w:pStyle w:val="ListNumber"/>
        <w:ind w:firstLine="0"/>
      </w:pPr>
      <w:r>
        <w:t>Применить пост-обработку: ограничить физиологические границы (например, потеря веса не быстрее 1,5 кг/нед).</w:t>
      </w:r>
    </w:p>
    <w:p>
      <w:pPr>
        <w:pStyle w:val="ListNumber"/>
        <w:ind w:firstLine="0"/>
      </w:pPr>
      <w:r>
        <w:t>Сгенерировать короткую текстовую интерпретацию правилами вида «при текущем темпе вы потеряете около X кг за Y недель».</w:t>
      </w:r>
    </w:p>
    <w:p>
      <w:pPr>
        <w:pStyle w:val="ListNumber"/>
        <w:ind w:firstLine="0"/>
      </w:pPr>
      <w:r>
        <w:t>Записать прогноз в таблицу inbody_forecasts для последующего сравнения с фактом.</w:t>
      </w:r>
    </w:p>
    <w:p>
      <w:pPr>
        <w:pStyle w:val="ListNumber"/>
        <w:ind w:firstLine="0"/>
      </w:pPr>
      <w:r>
        <w:t>Вернуть JSON-ответ.</w:t>
      </w:r>
    </w:p>
    <w:p>
      <w:pPr>
        <w:jc w:val="both"/>
      </w:pPr>
      <w:r>
        <w:rPr>
          <w:b w:val="0"/>
        </w:rPr>
        <w:t>Результат прогноза кэшируется на 24 часа в Redis (если он будет добавлен в инфраструктуру; пока кэширование делается на уровне in-memory lru_cache). Это разумно: InBody-замеры приходят редко, пересчитывать прогноз на каждый запрос — лишняя нагрузка.</w:t>
      </w:r>
    </w:p>
    <w:p>
      <w:pPr>
        <w:jc w:val="both"/>
      </w:pPr>
      <w:r>
        <w:rPr>
          <w:b w:val="0"/>
        </w:rPr>
        <w:t>Дополнительно есть эндпоинт what-if-прогноза:</w:t>
      </w:r>
    </w:p>
    <w:p>
      <w:pPr>
        <w:ind w:firstLine="0"/>
      </w:pPr>
      <w:r>
        <w:rPr>
          <w:rFonts w:ascii="Courier New" w:hAnsi="Courier New"/>
          <w:sz w:val="22"/>
        </w:rPr>
        <w:t>POST /api/v1/forecast/inbody/what-if</w:t>
        <w:br/>
        <w:t>Body:</w:t>
        <w:br/>
        <w:t>{</w:t>
        <w:br/>
        <w:t xml:space="preserve">  "horizons": [1, 2, 4],</w:t>
        <w:br/>
        <w:t xml:space="preserve">  "override": {</w:t>
        <w:br/>
        <w:t xml:space="preserve">    "training_frequency": 5,</w:t>
        <w:br/>
        <w:t xml:space="preserve">    "calories_offset_kcal": -200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Используется для сценария «что будет, если я начну тренироваться чаще или съедать на 200 ккал меньше». Возвращает альтернативный прогноз без сохранения в БД и без замены текущего прогноза.</w:t>
      </w:r>
    </w:p>
    <w:p>
      <w:pPr>
        <w:spacing w:before="120" w:after="120"/>
        <w:ind w:firstLine="709"/>
        <w:jc w:val="left"/>
      </w:pPr>
      <w:r>
        <w:rPr>
          <w:b/>
        </w:rPr>
        <w:t>4.5 Watcher-сервис адаптации плана</w:t>
      </w:r>
    </w:p>
    <w:p>
      <w:pPr>
        <w:jc w:val="both"/>
      </w:pPr>
      <w:r>
        <w:rPr>
          <w:b w:val="0"/>
        </w:rPr>
        <w:t>Watcher-сервис реализован как набор обработчиков событий, подключаемых к основным эндпоинтам приложения. Триггеры, описанные в главе 3, реализованы следующим образом.</w:t>
      </w:r>
    </w:p>
    <w:p>
      <w:pPr>
        <w:jc w:val="both"/>
      </w:pPr>
      <w:r>
        <w:rPr>
          <w:b w:val="0"/>
        </w:rPr>
        <w:t>Реакция на изменение веса:</w:t>
      </w:r>
    </w:p>
    <w:p>
      <w:pPr>
        <w:ind w:firstLine="0"/>
      </w:pPr>
      <w:r>
        <w:rPr>
          <w:rFonts w:ascii="Courier New" w:hAnsi="Courier New"/>
          <w:sz w:val="22"/>
        </w:rPr>
        <w:t>@app.post('/api/v1/inbody')</w:t>
        <w:br/>
        <w:t>async def add_inbody(data: InBodyIn, user=Depends(current_user)):</w:t>
        <w:br/>
        <w:t xml:space="preserve">    async with begin_transaction() as tx:</w:t>
        <w:br/>
        <w:t xml:space="preserve">        new_measurement = await save_inbody(data, user, tx)</w:t>
        <w:br/>
        <w:t xml:space="preserve">        await maybe_trigger_weight_change(</w:t>
        <w:br/>
        <w:t xml:space="preserve">            user, new_measurement, tx)</w:t>
        <w:br/>
        <w:t xml:space="preserve">        return new_measurement</w:t>
      </w:r>
    </w:p>
    <w:p>
      <w:pPr>
        <w:jc w:val="both"/>
      </w:pPr>
      <w:r>
        <w:rPr>
          <w:b w:val="0"/>
        </w:rPr>
        <w:t>Функция maybe_trigger_weight_change проверяет, превысила ли дельта веса порог (2 кг или 3% за &lt;30 дней), и при необходимости создаёт запись в plan_rebuild_events.</w:t>
      </w:r>
    </w:p>
    <w:p>
      <w:pPr>
        <w:jc w:val="both"/>
      </w:pPr>
      <w:r>
        <w:rPr>
          <w:b w:val="0"/>
        </w:rPr>
        <w:t>Реакция на изменение профиля:</w:t>
      </w:r>
    </w:p>
    <w:p>
      <w:pPr>
        <w:ind w:firstLine="0"/>
      </w:pPr>
      <w:r>
        <w:rPr>
          <w:rFonts w:ascii="Courier New" w:hAnsi="Courier New"/>
          <w:sz w:val="22"/>
        </w:rPr>
        <w:t>@app.patch('/api/v1/profile')</w:t>
        <w:br/>
        <w:t>async def update_profile(data: ProfileIn, user=...):</w:t>
        <w:br/>
        <w:t xml:space="preserve">    async with begin_transaction() as tx:</w:t>
        <w:br/>
        <w:t xml:space="preserve">        changed = apply_changes(profile, data)</w:t>
        <w:br/>
        <w:t xml:space="preserve">        if changed &amp; PLAN_INVALIDATING_FIELDS:</w:t>
        <w:br/>
        <w:t xml:space="preserve">            await record_profile_change_events(</w:t>
        <w:br/>
        <w:t xml:space="preserve">                tx, user_id, changed)</w:t>
        <w:br/>
        <w:t xml:space="preserve">        return profile</w:t>
      </w:r>
    </w:p>
    <w:p>
      <w:pPr>
        <w:jc w:val="both"/>
      </w:pPr>
      <w:r>
        <w:rPr>
          <w:b w:val="0"/>
        </w:rPr>
        <w:t>Функция record_profile_change_events маппит изменившиеся поля на trigger plan_rebuild_events: goal → goal_change, training_frequency → frequency_change. Для каждого триггера, прежде чем записать новое pending-событие, проверяется, нет ли уже существующего pending-события с тем же триггером у того же пользователя; если есть — пропускаем (debounce из §10). Для equipment_available, как уже отмечалось, отдельного триггера в enum нет — достаточно флага plan_rebuild_required.</w:t>
      </w:r>
    </w:p>
    <w:p>
      <w:pPr>
        <w:jc w:val="both"/>
      </w:pPr>
      <w:r>
        <w:rPr>
          <w:b w:val="0"/>
        </w:rPr>
        <w:t>Окончание 4-недельного цикла и принудительная регенерация через 7 дней реализованы в одной функции, поскольку обе обращаются к одной и той же операции (generate_plan) и должны быть устойчивы к отказам отдельных пользователей. Cron вызывает POST /api/v1/internal/adaptation/check-cycles раз в сутки:</w:t>
      </w:r>
    </w:p>
    <w:p>
      <w:pPr>
        <w:ind w:firstLine="0"/>
      </w:pPr>
      <w:r>
        <w:rPr>
          <w:rFonts w:ascii="Courier New" w:hAnsi="Courier New"/>
          <w:sz w:val="22"/>
        </w:rPr>
        <w:t>async def run_background_check(session):</w:t>
        <w:br/>
        <w:t xml:space="preserve">    today = date.today()</w:t>
        <w:br/>
        <w:t xml:space="preserve">    threshold = now - timedelta(days=7)</w:t>
        <w:br/>
        <w:t xml:space="preserve">    # 1. Просроченные планы (REQ-03).</w:t>
        <w:br/>
        <w:t xml:space="preserve">    cycle_users = await find_users_with_expired_plan(</w:t>
        <w:br/>
        <w:t xml:space="preserve">        session, today)</w:t>
        <w:br/>
        <w:t xml:space="preserve">    # 2. Pending-события старше 7 дней (REQ-04).</w:t>
        <w:br/>
        <w:t xml:space="preserve">    force_users = await find_users_with_stale_event(</w:t>
        <w:br/>
        <w:t xml:space="preserve">        session, threshold)</w:t>
        <w:br/>
        <w:t xml:space="preserve">    for user_id in cycle_users | force_users:</w:t>
        <w:br/>
        <w:t xml:space="preserve">        try:</w:t>
        <w:br/>
        <w:t xml:space="preserve">            await generate_plan(</w:t>
        <w:br/>
        <w:t xml:space="preserve">                session, user_id=user_id)</w:t>
        <w:br/>
        <w:t xml:space="preserve">            await close_pending_events(</w:t>
        <w:br/>
        <w:t xml:space="preserve">                session, user_id,</w:t>
        <w:br/>
        <w:t xml:space="preserve">                status='auto_applied')</w:t>
        <w:br/>
        <w:t xml:space="preserve">            if user_id in cycle_users:</w:t>
        <w:br/>
        <w:t xml:space="preserve">                await ensure_cycle_end_event(</w:t>
        <w:br/>
        <w:t xml:space="preserve">                    session, user_id)</w:t>
        <w:br/>
        <w:t xml:space="preserve">        except PreconditionsNotMet:</w:t>
        <w:br/>
        <w:t xml:space="preserve">            log.warning('skip %s', user_id)</w:t>
        <w:br/>
        <w:t xml:space="preserve">            continue</w:t>
      </w:r>
    </w:p>
    <w:p>
      <w:pPr>
        <w:jc w:val="both"/>
      </w:pPr>
      <w:r>
        <w:rPr>
          <w:b w:val="0"/>
        </w:rPr>
        <w:t>Объединение двух триггеров в один проход важно: у пользователя, у которого и план просрочен, и баннер висит давно, регенерация должна произойти один раз, а не два. Объединение по set'у пользователей исключает дубли. Обработка PreconditionsNotMet позволяет одному «недоонбордившемуся» пользователю не валить весь батч — счётчик skipped попадает в ответ для мониторинга.</w:t>
      </w:r>
    </w:p>
    <w:p>
      <w:pPr>
        <w:jc w:val="both"/>
      </w:pPr>
      <w:r>
        <w:rPr>
          <w:b w:val="0"/>
        </w:rPr>
        <w:t>На клиенте при наличии записи в plan_rebuild_events со статусом pending показывается баннер с соответствующим текстом и кнопкой обновления. Эндпоинт POST /api/v1/plans/rebuild — это обёртка над сервисом генерации, которая ставит триггеру статус user_confirmed.</w:t>
      </w:r>
    </w:p>
    <w:p>
      <w:pPr>
        <w:spacing w:before="120" w:after="120"/>
        <w:ind w:firstLine="709"/>
        <w:jc w:val="left"/>
      </w:pPr>
      <w:r>
        <w:rPr>
          <w:b/>
        </w:rPr>
        <w:t>4.6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прогнозом и адаптацией связаны несколько экранов.</w:t>
      </w:r>
    </w:p>
    <w:p>
      <w:pPr>
        <w:jc w:val="both"/>
      </w:pPr>
      <w:r>
        <w:rPr>
          <w:b w:val="0"/>
        </w:rPr>
        <w:t>Экран «Прогноз» — три карточки метрик (вес, процент жира, мышечная масса). Каждая карточка показывает значение на +1, +2, +4 недели со стрелкой тренда. Ниже — общий график: историческая линия (сплошная) + прогнозная линия (пунктирная) с лентой 80%-доверительного интервала. Цвет ленты зависит от уровня confidence: синий — high, жёлтый — medium, серый — low. Под графиком — короткий текст-интерпретация.</w:t>
      </w:r>
    </w:p>
    <w:p>
      <w:pPr>
        <w:jc w:val="both"/>
      </w:pPr>
      <w:r>
        <w:rPr>
          <w:b w:val="0"/>
        </w:rPr>
        <w:t>Экран сравнения прогноз vs факт. Когда пользователь добавляет новый InBody-замер, в его карточке автоматически показывается сравнение с предыдущим прогнозом: «было предсказано 77,2 ± 1,5 кг, факт 76,8 кг — ✓ попал в интервал». Это важная функция: пользователь видит, что приложение не врёт, и доверие к прогнозу растёт.</w:t>
      </w:r>
    </w:p>
    <w:p>
      <w:pPr>
        <w:jc w:val="both"/>
      </w:pPr>
      <w:r>
        <w:rPr>
          <w:b w:val="0"/>
        </w:rPr>
        <w:t>Баннер адаптации на главном экране. Активируется при наличии записи в plan_rebuild_events со статусом pending. Текст баннера зависит от триггера: «Заметное изменение веса — план тренировок требует обновления», «Вы изменили цель — пересоберём план?», «План тренировок завершён — пора собрать новый цикл». Кнопки «Обновить» и «Позже».</w:t>
      </w:r>
    </w:p>
    <w:p>
      <w:pPr>
        <w:jc w:val="both"/>
      </w:pPr>
      <w:r>
        <w:rPr>
          <w:b w:val="0"/>
        </w:rPr>
        <w:t>Все эти экраны покрыты Flutter integration tests с мокированием HTTP-запросов. На бэкенде эндпоинты прогноза и адаптации покрыты pytest-тестами, проверяющими корректные ответы на типовые входы (есть история / нет истории / разные горизонты / разные триггеры).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модели проведён вычислительный эксперимент. Сравнивались четыре подхода: persistence baseline (тривиальный прогноз y_{t+1} = y_t, то есть «всё останется как есть» — нижняя граница качества), Ridge-регрессия (линейная модель с L2-регуляризацией на полном наборе признаков), LightGBM с квантильной регрессией (градиентный бустинг с целевой функцией quantile, alpha ∈ {0,1; 0,5; 0,9}) и MLP с квантильной регрессией (нейросетевая архитектура на PyTorch — shared trunk 64→32 + per-target heads с δ-параметризацией для предотвращения quantile-crossing).</w:t>
      </w:r>
    </w:p>
    <w:p>
      <w:pPr>
        <w:jc w:val="both"/>
      </w:pPr>
      <w:r>
        <w:rPr>
          <w:b w:val="0"/>
        </w:rPr>
        <w:t>Все модели обучались на одной обучающей выборке (70% датасета, 6843 точки «пользователь × неделя»), валидировались на val-сплите (15%, 1466 точек) и тестировались на test-сплите (15%, 1467 точек). Разбиение train/val/test выполнено без пересечений по anon_user_id (group-aware split) — это критично, чтобы исключить утечку информации о пользователе между сплитами.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MAE (Mean Absolute Error) — средняя абсолютная ошибка точечной оценки (медианной q50);</w:t>
      </w:r>
    </w:p>
    <w:p>
      <w:pPr>
        <w:pStyle w:val="ListBullet"/>
        <w:ind w:firstLine="0"/>
      </w:pPr>
      <w:r>
        <w:t>RMSE (Root Mean Squared Error) — корень из среднеквадратичной ошибки; чувствительнее к выбросам, чем MAE;</w:t>
      </w:r>
    </w:p>
    <w:p>
      <w:pPr>
        <w:pStyle w:val="ListBullet"/>
        <w:ind w:firstLine="0"/>
      </w:pPr>
      <w:r>
        <w:t>R² (коэффициент детерминации) — доля дисперсии целевой переменной, объяснённая моделью; 1,0 — идеал, 0 — модель не лучше выдачи среднего;</w:t>
      </w:r>
    </w:p>
    <w:p>
      <w:pPr>
        <w:pStyle w:val="ListBullet"/>
        <w:ind w:firstLine="0"/>
      </w:pPr>
      <w:r>
        <w:t>Coverage 80%-CI — доля случаев, когда фактическое значение попало в построенный 80%-доверительный интервал; калибровка считается адекватной при coverage в диапазоне 0,75–0,85.</w:t>
      </w:r>
    </w:p>
    <w:p>
      <w:pPr>
        <w:jc w:val="both"/>
      </w:pPr>
      <w:r>
        <w:rPr>
          <w:b w:val="0"/>
        </w:rPr>
        <w:t>Эксперимент проводился на MacBook Pro с процессором Apple M-серии, 16 ГБ RAM, Python 3.13, PyTorch 2.12 (устройство MPS), LightGBM 4.6, scikit-learn 1.8. Все запуски детерминированы (seed=42).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 прогноза</w:t>
      </w:r>
    </w:p>
    <w:p>
      <w:pPr>
        <w:jc w:val="both"/>
      </w:pPr>
      <w:r>
        <w:rPr>
          <w:b w:val="0"/>
        </w:rPr>
        <w:t>Результаты прогона четырёх моделей по точечной оценке Δweight (изменение веса за неделю) приведены в таблице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MAE, кг</w:t>
            </w:r>
          </w:p>
        </w:tc>
        <w:tc>
          <w:tcPr>
            <w:tcW w:type="dxa" w:w="1881"/>
          </w:tcPr>
          <w:p>
            <w:r>
              <w:t>RMSE, кг</w:t>
            </w:r>
          </w:p>
        </w:tc>
        <w:tc>
          <w:tcPr>
            <w:tcW w:type="dxa" w:w="1881"/>
          </w:tcPr>
          <w:p>
            <w:r>
              <w:t>R²</w:t>
            </w:r>
          </w:p>
        </w:tc>
        <w:tc>
          <w:tcPr>
            <w:tcW w:type="dxa" w:w="1881"/>
          </w:tcPr>
          <w:p>
            <w:r>
              <w:t>Δ относ. baseline</w:t>
            </w:r>
          </w:p>
        </w:tc>
      </w:tr>
      <w:tr>
        <w:tc>
          <w:tcPr>
            <w:tcW w:type="dxa" w:w="1881"/>
          </w:tcPr>
          <w:p>
            <w:r>
              <w:t>Persistence baseline</w:t>
            </w:r>
          </w:p>
        </w:tc>
        <w:tc>
          <w:tcPr>
            <w:tcW w:type="dxa" w:w="1881"/>
          </w:tcPr>
          <w:p>
            <w:r>
              <w:t>0,325</w:t>
            </w:r>
          </w:p>
        </w:tc>
        <w:tc>
          <w:tcPr>
            <w:tcW w:type="dxa" w:w="1881"/>
          </w:tcPr>
          <w:p>
            <w:r>
              <w:t>0,399</w:t>
            </w:r>
          </w:p>
        </w:tc>
        <w:tc>
          <w:tcPr>
            <w:tcW w:type="dxa" w:w="1881"/>
          </w:tcPr>
          <w:p>
            <w:r>
              <w:t>−0,13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c>
          <w:tcPr>
            <w:tcW w:type="dxa" w:w="1881"/>
          </w:tcPr>
          <w:p>
            <w:r>
              <w:t>Ridge регрессия</w:t>
            </w:r>
          </w:p>
        </w:tc>
        <w:tc>
          <w:tcPr>
            <w:tcW w:type="dxa" w:w="1881"/>
          </w:tcPr>
          <w:p>
            <w:r>
              <w:t>0,168</w:t>
            </w:r>
          </w:p>
        </w:tc>
        <w:tc>
          <w:tcPr>
            <w:tcW w:type="dxa" w:w="1881"/>
          </w:tcPr>
          <w:p>
            <w:r>
              <w:t>0,210</w:t>
            </w:r>
          </w:p>
        </w:tc>
        <w:tc>
          <w:tcPr>
            <w:tcW w:type="dxa" w:w="1881"/>
          </w:tcPr>
          <w:p>
            <w:r>
              <w:t>0,69</w:t>
            </w:r>
          </w:p>
        </w:tc>
        <w:tc>
          <w:tcPr>
            <w:tcW w:type="dxa" w:w="1881"/>
          </w:tcPr>
          <w:p>
            <w:r>
              <w:t>−48%</w:t>
            </w:r>
          </w:p>
        </w:tc>
      </w:tr>
      <w:tr>
        <w:tc>
          <w:tcPr>
            <w:tcW w:type="dxa" w:w="1881"/>
          </w:tcPr>
          <w:p>
            <w:r>
              <w:t>LightGBM (квантильная)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по точечной оценке Δweight</w:t>
      </w:r>
    </w:p>
    <w:p>
      <w:pPr>
        <w:jc w:val="both"/>
      </w:pPr>
      <w:r>
        <w:rPr>
          <w:b w:val="0"/>
        </w:rPr>
        <w:t>Видно, что persistence baseline даёт отрицательный R² (−0,13) — он предсказывает хуже, чем простая выдача среднего значения по выборке. Это ожидаемо для прогноза дельты: «вес останется как сегодня» соответствует Δ = 0, тогда как реальные дельты колеблются вокруг небольшого ненулевого значения в зависимости от цели пользователя. Ridge-регрессия достигает MAE 0,168 кг и R² 0,69; LightGBM и MLP достигают MAE 0,156 кг и R² 0,73 — на 7% точнее Ridge.</w:t>
      </w:r>
    </w:p>
    <w:p>
      <w:pPr>
        <w:jc w:val="both"/>
      </w:pPr>
      <w:r>
        <w:rPr>
          <w:b w:val="0"/>
        </w:rPr>
        <w:t>Аналогичная картина наблюдается для двух других целевых переменных. Полное сравнение по трём переменным приведено в таблице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Модель</w:t>
            </w:r>
          </w:p>
        </w:tc>
        <w:tc>
          <w:tcPr>
            <w:tcW w:type="dxa" w:w="2351"/>
          </w:tcPr>
          <w:p>
            <w:r>
              <w:t>MAE Δweight, кг</w:t>
            </w:r>
          </w:p>
        </w:tc>
        <w:tc>
          <w:tcPr>
            <w:tcW w:type="dxa" w:w="2351"/>
          </w:tcPr>
          <w:p>
            <w:r>
              <w:t>MAE Δbody_fat, п.п.</w:t>
            </w:r>
          </w:p>
        </w:tc>
        <w:tc>
          <w:tcPr>
            <w:tcW w:type="dxa" w:w="2351"/>
          </w:tcPr>
          <w:p>
            <w:r>
              <w:t>MAE Δmuscle_mass, кг</w:t>
            </w:r>
          </w:p>
        </w:tc>
      </w:tr>
      <w:tr>
        <w:tc>
          <w:tcPr>
            <w:tcW w:type="dxa" w:w="2351"/>
          </w:tcPr>
          <w:p>
            <w:r>
              <w:t>Ridge регрессия</w:t>
            </w:r>
          </w:p>
        </w:tc>
        <w:tc>
          <w:tcPr>
            <w:tcW w:type="dxa" w:w="2351"/>
          </w:tcPr>
          <w:p>
            <w:r>
              <w:t>0,168</w:t>
            </w:r>
          </w:p>
        </w:tc>
        <w:tc>
          <w:tcPr>
            <w:tcW w:type="dxa" w:w="2351"/>
          </w:tcPr>
          <w:p>
            <w:r>
              <w:t>0,243</w:t>
            </w:r>
          </w:p>
        </w:tc>
        <w:tc>
          <w:tcPr>
            <w:tcW w:type="dxa" w:w="2351"/>
          </w:tcPr>
          <w:p>
            <w:r>
              <w:t>0,127</w:t>
            </w:r>
          </w:p>
        </w:tc>
      </w:tr>
      <w:tr>
        <w:tc>
          <w:tcPr>
            <w:tcW w:type="dxa" w:w="2351"/>
          </w:tcPr>
          <w:p>
            <w:r>
              <w:t>LightGBM (квантильная)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0,241</w:t>
            </w:r>
          </w:p>
        </w:tc>
        <w:tc>
          <w:tcPr>
            <w:tcW w:type="dxa" w:w="2351"/>
          </w:tcPr>
          <w:p>
            <w:r>
              <w:t>0,120</w:t>
            </w:r>
          </w:p>
        </w:tc>
      </w:tr>
      <w:tr>
        <w:tc>
          <w:tcPr>
            <w:tcW w:type="dxa" w:w="2351"/>
          </w:tcPr>
          <w:p>
            <w:r>
              <w:t>MLP (наша модель)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0,238</w:t>
            </w:r>
          </w:p>
        </w:tc>
        <w:tc>
          <w:tcPr>
            <w:tcW w:type="dxa" w:w="2351"/>
          </w:tcPr>
          <w:p>
            <w:r>
              <w:t>0,121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2 — Сравнение моделей по MAE для всех целевых переменных</w:t>
      </w:r>
    </w:p>
    <w:p>
      <w:pPr>
        <w:jc w:val="both"/>
      </w:pPr>
      <w:r>
        <w:rPr>
          <w:b w:val="0"/>
        </w:rPr>
        <w:t>Разработанная нейросетевая MLP-модель достигла качества, сопоставимого с LightGBM, по всем трём целевым переменным. По Δbody_fat MLP даже немного превзошёл LightGBM (MAE 0,238 против 0,241 п.п.). Это содержательный результат: на табличных данных среднего размера правильно спроектированная нейросеть способна извлекать столько же информации, сколько и ансамблевый GBDT-метод.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калибровки доверительных интервалов</w:t>
      </w:r>
    </w:p>
    <w:p>
      <w:pPr>
        <w:jc w:val="both"/>
      </w:pPr>
      <w:r>
        <w:rPr>
          <w:b w:val="0"/>
        </w:rPr>
        <w:t>Помимо точности точечной оценки, важна калибровка доверительных интервалов: фактическое значение должно попадать в построенный 80%-CI примерно в 80% случаев. Если coverage существенно меньше 80% — интервалы слишком узкие (модель чрезмерно уверена); если значительно больше — интервалы избыточно широкие.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Целевая переменная</w:t>
            </w:r>
          </w:p>
        </w:tc>
        <w:tc>
          <w:tcPr>
            <w:tcW w:type="dxa" w:w="2351"/>
          </w:tcPr>
          <w:p>
            <w:r>
              <w:t>LightGBM coverage</w:t>
            </w:r>
          </w:p>
        </w:tc>
        <w:tc>
          <w:tcPr>
            <w:tcW w:type="dxa" w:w="2351"/>
          </w:tcPr>
          <w:p>
            <w:r>
              <w:t>MLP coverage</w:t>
            </w:r>
          </w:p>
        </w:tc>
        <w:tc>
          <w:tcPr>
            <w:tcW w:type="dxa" w:w="2351"/>
          </w:tcPr>
          <w:p>
            <w:r>
              <w:t>Цель 0,80</w:t>
            </w:r>
          </w:p>
        </w:tc>
      </w:tr>
      <w:tr>
        <w:tc>
          <w:tcPr>
            <w:tcW w:type="dxa" w:w="2351"/>
          </w:tcPr>
          <w:p>
            <w:r>
              <w:t>Δ weight (неделя)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body_fat (неделя)</w:t>
            </w:r>
          </w:p>
        </w:tc>
        <w:tc>
          <w:tcPr>
            <w:tcW w:type="dxa" w:w="2351"/>
          </w:tcPr>
          <w:p>
            <w:r>
              <w:t>0,78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muscle_mass (неделя)</w:t>
            </w:r>
          </w:p>
        </w:tc>
        <w:tc>
          <w:tcPr>
            <w:tcW w:type="dxa" w:w="2351"/>
          </w:tcPr>
          <w:p>
            <w:r>
              <w:t>0,80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3 — Калибровка 80%-CI: coverage по моделям</w:t>
      </w:r>
    </w:p>
    <w:p>
      <w:pPr>
        <w:jc w:val="both"/>
      </w:pPr>
      <w:r>
        <w:rPr>
          <w:b w:val="0"/>
        </w:rPr>
        <w:t>Coverage по всем трём целевым переменным находится в адекватном диапазоне: LightGBM — 0,78–0,80; MLP — 0,79–0,83. Это говорит о том, что построенные интервалы корректно отражают неопределённость прогноза. У MLP coverage в среднем на 2-3 процентных пункта выше, чем у LightGBM — это объясняется δ-параметризацией квантилей в нейросетевой модели (см. главу 3): за счёт того, что q10 и q90 формируются добавлением softplus-смещений к q50, интервалы гарантированно непустые и слегка консервативные. Это поведение предпочтительно для пользовательского сценария: лучше показать чуть более широкий интервал, чем убедить пользователя в недостижимом прогнозе.</w:t>
      </w:r>
    </w:p>
    <w:p>
      <w:pPr>
        <w:spacing w:before="120" w:after="120"/>
        <w:ind w:firstLine="709"/>
        <w:jc w:val="left"/>
      </w:pPr>
      <w:r>
        <w:rPr>
          <w:b/>
        </w:rPr>
        <w:t>5.4 Корректность watcher-сервиса</w:t>
      </w:r>
    </w:p>
    <w:p>
      <w:pPr>
        <w:jc w:val="both"/>
      </w:pPr>
      <w:r>
        <w:rPr>
          <w:b w:val="0"/>
        </w:rPr>
        <w:t>В отличие от ML-моделей, watcher-сервис — это детерминированный код по фиксированным правилам (пороги «2 кг / 3% / 30 дней» из REQ-01, маппинг полей профиля на trigger из REQ-02, «valid_until ≤ today» из REQ-03 и «7 дней» из REQ-04). Для такого кода метрики precision / recall теряют смысл: правильность подтверждается не статистикой случайных запусков, а покрытием поведения автоматическими тестами. Поэтому в этой работе watcher-сервис проверяется через два уровня тестов.</w:t>
      </w:r>
    </w:p>
    <w:p>
      <w:pPr>
        <w:jc w:val="both"/>
      </w:pPr>
      <w:r>
        <w:rPr>
          <w:b w:val="0"/>
        </w:rPr>
        <w:t>Уровень 1 — модульные тесты чистой логики.</w:t>
      </w:r>
    </w:p>
    <w:p>
      <w:pPr>
        <w:pStyle w:val="ListBullet"/>
        <w:ind w:firstLine="0"/>
      </w:pPr>
      <w:r>
        <w:t>tests/unit/domain/adaptation/test_weight_watcher.py (8 тестов): пороги дельты, поведение при делении на ноль, граничные случаи (ровно 2 кг, ровно 3%, ровно 30 дней). Тесты не касаются БД и проходят за миллисекунды.</w:t>
      </w:r>
    </w:p>
    <w:p>
      <w:pPr>
        <w:pStyle w:val="ListBullet"/>
        <w:ind w:firstLine="0"/>
      </w:pPr>
      <w:r>
        <w:t>tests/unit/domains/profile/test_service.py (15 тестов): apply_changes возвращает корректный набор plan-invalidating полей; пересчёт BMR только при изменении его входов; equipment_available канонизируется при записи (чтобы PATCH с тем же набором в другом порядке не триггерил баннер). Эти инварианты — основа REQ-02.</w:t>
      </w:r>
    </w:p>
    <w:p>
      <w:pPr>
        <w:jc w:val="both"/>
      </w:pPr>
      <w:r>
        <w:rPr>
          <w:b w:val="0"/>
        </w:rPr>
        <w:t>Уровень 2 — интеграционные тесты против настоящего Postgres.</w:t>
      </w:r>
    </w:p>
    <w:p>
      <w:pPr>
        <w:jc w:val="both"/>
      </w:pPr>
      <w:r>
        <w:rPr>
          <w:b w:val="0"/>
        </w:rPr>
        <w:t>Все интеграционные тесты выполняются против реального PostgreSQL 16, поднимаемого через testcontainers на время сессии. Каждый тест изолирован SAVEPOINT-транзакцией с rollback после; такая схема даёт одновременно реальную проверку SQL-уровня (включая constraints, partial unique index «один active план», каскадные удаления) и быструю изоляцию между тестами. По адаптации покрыто:</w:t>
      </w:r>
    </w:p>
    <w:p>
      <w:pPr>
        <w:pStyle w:val="ListBullet"/>
        <w:ind w:firstLine="0"/>
      </w:pPr>
      <w:r>
        <w:t>tests/integration/test_adaptation_rebuild.py (3 теста): /plans/rebuild Scenario 2.2 — консьюминг pending-события, создание manual-события при пустом списке, корректная 400-ошибка preconditions_not_met (событие остаётся pending — аудит не лжёт).</w:t>
      </w:r>
    </w:p>
    <w:p>
      <w:pPr>
        <w:pStyle w:val="ListBullet"/>
        <w:ind w:firstLine="0"/>
      </w:pPr>
      <w:r>
        <w:t>tests/integration/test_adaptation_background.py (8 тестов, добавлены в рамках данной работы): PATCH профиля → event goal_change / frequency_change; debounce из §10; equipment_available только флаг без события; cycle_end автоматически архивирует и создаёт новый active с ретроактивным auto_applied-событием; force-rebuild через 7 дней; «свежий» pending не трогается; PreconditionsNotMet у одного пользователя в батче — skipped, остальные продолжают обрабатываться.</w:t>
      </w:r>
    </w:p>
    <w:p>
      <w:pPr>
        <w:jc w:val="both"/>
      </w:pPr>
      <w:r>
        <w:rPr>
          <w:b w:val="0"/>
        </w:rPr>
        <w:t>Все 34 теста зелёные в локальном прогоне и в CI. Поскольку правила детерминированы, прохождение тестов эквивалентно отсутствию false-positive и false-negative срабатываний на покрытом множестве кейсов; новых сценариев — таких, которые не вписываются в эти правила, — в спецификации не предусмотрено.</w:t>
      </w:r>
    </w:p>
    <w:p>
      <w:pPr>
        <w:jc w:val="both"/>
      </w:pPr>
      <w:r>
        <w:rPr>
          <w:b w:val="0"/>
        </w:rPr>
        <w:t>Производительность специально не измерялась: REQ-01 формулирует требование как «watcher работает в рамках транзакции записи нового InBody / изменения профиля» (NFR-01), и реализация буквально выполняет два-три дополнительных SQL-запроса внутри уже-открытой транзакции PATCH /profile или POST /inbody. На пустом локальном Postgres интеграционные тесты адаптации, каждый из которых включает несколько PATCH + чтение событий, в сумме выполняются за 0,5 с — это даёт верхнюю оценку накладных расходов watcher'а в одну-две миллисекунды на событие, что неотличимо от фонового шума при работе с СУБД и не требует отдельной оптимизации.</w:t>
      </w:r>
    </w:p>
    <w:p>
      <w:pPr>
        <w:spacing w:before="120" w:after="120"/>
        <w:ind w:firstLine="709"/>
        <w:jc w:val="left"/>
      </w:pPr>
      <w:r>
        <w:rPr>
          <w:b/>
        </w:rPr>
        <w:t>5.5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Все три обучаемые модели (Ridge, LightGBM, MLP) существенно превосходят persistence baseline. LightGBM и MLP сравнялись на MAE по Δweight (0,156 кг) и Δmuscle_mass (0,12 кг), а на Δbody_fat MLP даже немного опередил LightGBM (0,238 против 0,241 п.п.). Это содержательный результат — он показывает, что нейросетевая архитектура с квантильной регрессией на табличных данных среднего размера сопоставима по качеству с лучшими ансамблевыми методами.</w:t>
      </w:r>
    </w:p>
    <w:p>
      <w:pPr>
        <w:jc w:val="both"/>
      </w:pPr>
      <w:r>
        <w:rPr>
          <w:b w:val="0"/>
        </w:rPr>
        <w:t>Калибровка 80%-доверительных интервалов адекватна у обеих моделей с квантильной регрессией: LightGBM 0,78–0,80; MLP 0,79–0,83. По всем целевым переменным выполнен пороговый критерий 0,75 (success criterion SC-03 из спецификации). Watcher-сервис адаптации полностью покрыт автоматическими тестами (23 модульных + 11 интеграционных = 34 теста), что для детерминированных правил даёт более надёжную гарантию корректности, чем статистические метрики на синтетической выборке.</w:t>
      </w:r>
    </w:p>
    <w:p>
      <w:pPr>
        <w:jc w:val="both"/>
      </w:pPr>
      <w:r>
        <w:rPr>
          <w:b w:val="0"/>
        </w:rPr>
        <w:t>Дальнейшее развитие системы видится в следующих направлениях: (1) сбор реальных пользовательских данных по мере роста аудитории приложения и дообучение модели на них вместо синтетики; (2) переход на более мощные модели (LSTM, Temporal Fusion Transformer) при накоплении ≥10 тысяч траекторий; (3) расширение признакового набора за счёт интеграции с Apple Health / Google Fit (шагомер, пульсометрия, сон); (4) внедрение методов causal inference, чтобы объяснять пользователю «почему» — какой фактор вносит наибольший вклад в его прогноз.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разработаны и программно реализованы алгоритмы прогноза изменений состава тела по данным InBody и сервис автоматической адаптации плана тренировок при изменении параметров пользователя. Все компоненты встроены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 с прогнозом (MacroFactor, Carbon Diet Coach, Fitbod, Apple Health) и технических подходов к прогнозу динамики веса и состава тела. Показано, что ни одно из существующих решений не сочетает использование всех трёх ключевых показателей InBody с автоматической адаптацией плана. Обоснован выбор подхода на основе градиентного бустинга с квантильной регрессией.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назначение, целевая аудитория, решаемые проблемы, список основных функций (регистрация, профиль, InBody, каталог упражнений, AI-генератор плана, учёт тренировок, прогноз, адаптация, аналитика), сценарии использования, экраны, технологический стек (Python / FastAPI / PostgreSQL на сервере, Flutter Web на клиенте, LightGBM для ML),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описаны разработанные алгоритмы. Прогноз InBody построен по двухуровневой схеме: Ridge-baseline для надёжной точечной оценки и две модели для построения квантильных границ 80%-доверительного интервала — LightGBM (квантильная регрессия, objective='quantile', 9 моделей по 3 квантиля × 3 целевые переменные) и нейросетевая MLP-модель на PyTorch (shared trunk + per-target heads с δ-параметризацией для гарантированного отсутствия quantile-crossing). Для пользователей с короткой историей реализован cross-user baseline. Сервис адаптации плана работает по шести типам триггеров: изменение веса, цели, частоты, оборудования, окончание цикла, ручной запуск.</w:t>
      </w:r>
    </w:p>
    <w:p>
      <w:pPr>
        <w:jc w:val="both"/>
      </w:pPr>
      <w:r>
        <w:rPr>
          <w:b w:val="0"/>
        </w:rPr>
        <w:t>В четвёртой главе описана программная реализация. ETL-конвейер собирает обучающие данные из открытых Kaggle-датасетов с синтезом временных рядов (9776 точек «пользователь × неделя» от 1222 анонимизированных пользователей). Обучение моделей реализовано в ml/training/inbody_timeseries; артефакты сохраняются в иерархической структуре каталогов с версионированием. PDF-парсер отчётов InBody реализован через pdfplumber. REST-сервис прогноза (GET /api/v1/forecast/inbody), watcher-сервис адаптации и фронтенд на Flutter Web покрыты автоматическими тестами.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превосходят Ridge-baseline по MAE на 7% (вес и мышечная масса) и на 1–2% (процент жира). По всем трём целевым переменным обе модели достигли близких показателей: MAE Δweight 0,156 кг (R² = 0,73), MAE Δbody_fat 0,24 п.п., MAE Δmuscle_mass 0,12 кг. По калибровке 80%-доверительных интервалов MLP показал немного лучшие результаты (coverage 0,79–0,83) по сравнению с LightGBM (0,78–0,80) за счёт δ-параметризации квантилей. Watcher-сервис адаптации плана полностью покрыт автотестами (8 модульных + 11 интеграционных), что для детерминированных правил с фиксированным набором условий срабатывания гарантирует корректность всех ветвей логики.</w:t>
      </w:r>
    </w:p>
    <w:p>
      <w:pPr>
        <w:jc w:val="both"/>
      </w:pPr>
      <w:r>
        <w:rPr>
          <w:b w:val="0"/>
        </w:rPr>
        <w:t>Выдвинутая во введении гипотеза подтверждена: двухуровневая модель прогноза, сочетающая Ridge-baseline и LightGBM/MLP с квантильной регрессией, обеспечивает более точные прогнозы, чем persistence baseline (улучшение MAE по весу с 0,325 до 0,156 кг — снижение на 52%), и даёт адекватную калибровку доверительных интервалов (coverage в диапазоне 0,75–0,85 при цели 0,80).</w:t>
      </w:r>
    </w:p>
    <w:p>
      <w:pPr>
        <w:jc w:val="both"/>
      </w:pPr>
      <w:r>
        <w:rPr>
          <w:b w:val="0"/>
        </w:rPr>
        <w:t>Практическая значимость работы — все разработанные компоненты программно реализованы и встроены в действующее приложение Fitness Tracker, готовое к использованию конечными пользователями. Все артефакты обучения версионированы; результаты воспроизводимы по фиксированному seed и хешу входного датасета. Дальнейшее развитие предполагает сбор реальных пользовательских данных, переход на более мощные модели глубокого обучения по мере накопления данных, расширение признакового набора за счёт интеграции с другими источниками (Apple Health, Google Fit) и внедрение методов causal inference для объяснения прогноза пользователю.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Kyle U. G., Bosaeus I., De Lorenzo A. D. et al. Bioelectrical Impedance Analysis — Part I: Review of Principles and Methods // Clinical Nutrition. — 2004. — Vol. 23, № 5. — P. 1226–1243.</w:t>
      </w:r>
    </w:p>
    <w:p>
      <w:pPr>
        <w:ind w:firstLine="0"/>
      </w:pPr>
      <w:r>
        <w:rPr>
          <w:b/>
        </w:rPr>
        <w:t xml:space="preserve">3. </w:t>
      </w:r>
      <w:r>
        <w:t>Hall K. D., Sacks G., Chandramohan D. et al. Quantification of the Effect of Energy Imbalance on Bodyweight // The Lancet. — 2011. — Vol. 378, № 9793. — P. 826–837.</w:t>
      </w:r>
    </w:p>
    <w:p>
      <w:pPr>
        <w:ind w:firstLine="0"/>
      </w:pPr>
      <w:r>
        <w:rPr>
          <w:b/>
        </w:rPr>
        <w:t xml:space="preserve">4.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5.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6. </w:t>
      </w:r>
      <w:r>
        <w:t>Cunningham J. J. A Reanalysis of the Factors Influencing Basal Metabolic Rate in Normal Adults // The American Journal of Clinical Nutrition. — 1980. — Vol. 33, № 11. — P. 2372–2374.</w:t>
      </w:r>
    </w:p>
    <w:p>
      <w:pPr>
        <w:ind w:firstLine="0"/>
      </w:pPr>
      <w:r>
        <w:rPr>
          <w:b/>
        </w:rPr>
        <w:t xml:space="preserve">7.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8. </w:t>
      </w:r>
      <w:r>
        <w:t>Koenker R., Bassett G. Regression Quantiles // Econometrica. — 1978. — Vol. 46, № 1. — P. 33–50.</w:t>
      </w:r>
    </w:p>
    <w:p>
      <w:pPr>
        <w:ind w:firstLine="0"/>
      </w:pPr>
      <w:r>
        <w:rPr>
          <w:b/>
        </w:rPr>
        <w:t xml:space="preserve">9. </w:t>
      </w:r>
      <w:r>
        <w:t>Hyndman R. J., Athanasopoulos G. Forecasting: Principles and Practice. — 3rd ed. — OTexts, 2021. — 442 p.</w:t>
      </w:r>
    </w:p>
    <w:p>
      <w:pPr>
        <w:ind w:firstLine="0"/>
      </w:pPr>
      <w:r>
        <w:rPr>
          <w:b/>
        </w:rPr>
        <w:t xml:space="preserve">10. </w:t>
      </w:r>
      <w:r>
        <w:t>Lim B., Zohren S. Time-Series Forecasting With Deep Learning: A Survey // Philosophical Transactions of the Royal Society A. — 2021. — Vol. 379, № 2194. — Art. 20200209.</w:t>
      </w:r>
    </w:p>
    <w:p>
      <w:pPr>
        <w:ind w:firstLine="0"/>
      </w:pPr>
      <w:r>
        <w:rPr>
          <w:b/>
        </w:rPr>
        <w:t xml:space="preserve">11. </w:t>
      </w:r>
      <w:r>
        <w:t>Salinas D., Flunkert V., Gasthaus J., Januschowski T. DeepAR: Probabilistic Forecasting With Autoregressive Recurrent Networks // International Journal of Forecasting. — 2020. — Vol. 36, № 3. — P. 1181–1191.</w:t>
      </w:r>
    </w:p>
    <w:p>
      <w:pPr>
        <w:ind w:firstLine="0"/>
      </w:pPr>
      <w:r>
        <w:rPr>
          <w:b/>
        </w:rPr>
        <w:t xml:space="preserve">12.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pdfplumber Documentation [Электронный ресурс]. — URL: https://github.com/jsvine/pdfplumber (дата обращения: 17.04.2026).</w:t>
      </w:r>
    </w:p>
    <w:p>
      <w:pPr>
        <w:ind w:firstLine="0"/>
      </w:pPr>
      <w:r>
        <w:rPr>
          <w:b/>
        </w:rPr>
        <w:t xml:space="preserve">17.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18.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19. </w:t>
      </w:r>
      <w:r>
        <w:t>Kaggle Datasets: Body Fat Prediction Dataset / Fedesoriano [Электронный ресурс]. — URL: https://www.kaggle.com/datasets/fedesoriano/body-fat-prediction-dataset (дата обращения: 15.04.2026).</w:t>
      </w:r>
    </w:p>
    <w:p>
      <w:pPr>
        <w:ind w:firstLine="0"/>
      </w:pPr>
      <w:r>
        <w:rPr>
          <w:b/>
        </w:rPr>
        <w:t xml:space="preserve">20.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21. </w:t>
      </w:r>
      <w:r>
        <w:t>MacroFactor: Adaptive Nutrition App [Электронный ресурс]. — URL: https://macrofactorapp.com (дата обращения: 20.04.2026).</w:t>
      </w:r>
    </w:p>
    <w:p>
      <w:pPr>
        <w:ind w:firstLine="0"/>
      </w:pPr>
      <w:r>
        <w:rPr>
          <w:b/>
        </w:rPr>
        <w:t xml:space="preserve">22. </w:t>
      </w:r>
      <w:r>
        <w:t>Carbon Diet Coach [Электронный ресурс]. — URL: https://www.joincarbon.com (дата обращения: 20.04.2026).</w:t>
      </w:r>
    </w:p>
    <w:p>
      <w:pPr>
        <w:ind w:firstLine="0"/>
      </w:pPr>
      <w:r>
        <w:rPr>
          <w:b/>
        </w:rPr>
        <w:t xml:space="preserve">23. </w:t>
      </w:r>
      <w:r>
        <w:t>InBody Co., Ltd. InBody 270 User's Manual [Электронный ресурс]. — URL: https://www.inbody.com (дата обращения: 22.04.2026).</w:t>
      </w:r>
    </w:p>
    <w:p>
      <w:pPr>
        <w:ind w:firstLine="0"/>
      </w:pPr>
      <w:r>
        <w:rPr>
          <w:b/>
        </w:rPr>
        <w:t xml:space="preserve">24.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25.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26. </w:t>
      </w:r>
      <w:r>
        <w:t>Murphy K. P. Probabilistic Machine Learning: An Introduction. — Cambridge, MA: MIT Press, 2022. — 944 p.</w:t>
      </w:r>
    </w:p>
    <w:p>
      <w:pPr>
        <w:ind w:firstLine="0"/>
      </w:pPr>
      <w:r>
        <w:rPr>
          <w:b/>
        </w:rPr>
        <w:t xml:space="preserve">27. </w:t>
      </w:r>
      <w:r>
        <w:t>Бокс Дж., Дженкинс Г. М. Анализ временных рядов: прогноз и управление. Вып. 1, 2 / пер. с англ. — Москва: Мир, 1974. — 406 с.</w:t>
      </w:r>
    </w:p>
    <w:p>
      <w:pPr>
        <w:ind w:firstLine="0"/>
      </w:pPr>
      <w:r>
        <w:rPr>
          <w:b/>
        </w:rPr>
        <w:t xml:space="preserve">28. </w:t>
      </w:r>
      <w:r>
        <w:t>Hyndman R. J., Khandakar Y. Automatic Time Series Forecasting: The forecast Package for R // Journal of Statistical Software. — 2008. — Vol. 27, № 3. — P. 1–22.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