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/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ПРОГНОЗА ПОКАЗАТЕЛЕЙ INBODY И АДАПТАЦИИ ПЛАНА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/>
    <w:p/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Лапова Мария Игоревна</w:t>
      </w:r>
    </w:p>
    <w:p>
      <w:pPr>
        <w:ind w:firstLine="0"/>
        <w:jc w:val="right"/>
      </w:pPr>
      <w:r>
        <w:rPr>
          <w:b w:val="0"/>
        </w:rPr>
        <w:t>_____________________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/>
    <w:p/>
    <w:p>
      <w:pPr>
        <w:ind w:firstLine="0"/>
        <w:jc w:val="center"/>
      </w:pPr>
      <w:r>
        <w:rPr>
          <w:b w:val="0"/>
        </w:rPr>
        <w:t>Омск</w:t>
      </w:r>
    </w:p>
    <w:p>
      <w:pPr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Эффективность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возрастающим интересом пользователей цифровых фитнес-сервисов к функциям прогнозирования и автоматической адаптации тренировочных программ. Биоимпедансный анализ (BIA) в виде InBody-измерений стал де-факто стандартом регулярных оценок состава тела для любителей силовых тренировок: соответствующие приборы установлены в большинстве современных фитнес-клубов и позволяют за минуту получить ключевые показатели — массу тела, процент жира, мышечную массу, базовый уровень метаболизма. Тем не менее существующие фитнес-приложения (Hevy, Strong, MacroFactor, Carbon Diet Coach, Fitbod, Apple Health) ограничиваются ретроспективным отображением накопленной истории измерений и не предоставляют пользователю инструмента прогноза дальнейшей динамики состава тела при текущем тренировочном режиме.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моделей ML-регрессии к задаче прогноза InBody позволяет рассчитывать на получение прогноза, учитывающего как историческую динамику пользователя, так и его тренировочную активность и индивидуальные параметры. Однако при ограниченных объёмах размеченных данных применение современных нейросетевых архитектур (LSTM, Temporal Fusion Transformer) приводит к переобучению, а более простые модели (например, линейная регрессия по тренду) не позволяют учитывать существенные нелинейные взаимодействия признаков и не дают честной оценки неопределённости прогноза. Вопросы выбора архитектуры модели промежуточной сложности, способной выдавать одновременно точечный прогноз и калиброванный доверительный интервал, а также вопросы практической реализации этой модели и связанного с ней сервиса автоматической адаптации плана тренировок требуют дополнительного исследования.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литературе (R. J. Hyndman, R. Koenker, G. Bassett, B. Lim, S. Zohren). Существуют классические подходы (Ridge, Lasso, ARIMA, экспоненциальное сглаживание), ансамблевые методы (XGBoost, LightGBM, CatBoost) и современные нейросетевые модели (LSTM, GRU, DeepAR, Temporal Fusion Transformer). Однако применительно к задаче прогноза показателей InBody и связанной с ним автоматической адаптации тренировочной программы число опубликованных работ существенно меньше, и в большинстве промышленных приложений по-прежнему применяется простая линейная экстраполяция.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прогнозирования изменений показателей InBody и связанных с ними алгоритмов автоматической адаптации тренировочного плана, которые одновременно обеспечивали бы приемлемое качество прогноза на ограниченных объёмах данных и адекватную калибровку доверительных интервалов.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прогнозирования значений InBody (массы тела, процента жира, мышечной массы) на горизонтах 1, 2 и 4 недели с построением 80%-доверительных интервалов, а также сервис автоматической адаптации плана тренировок,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прогнозирования изменений показателей состава тела и автоматической адаптации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многомерной регрессии временных рядов с построением калиброванных доверительных интервалов, а также правила событийной адаптации тренировочного плана при изменении параметров пользователя.</w:t>
      </w:r>
    </w:p>
    <w:p>
      <w:pPr>
        <w:jc w:val="both"/>
      </w:pPr>
      <w:r>
        <w:rPr>
          <w:b w:val="0"/>
        </w:rPr>
        <w:t>Гипотеза исследования: если применить двухуровневую модель прогноза, сочетающую линейный baseline (Ridge-регрессия) и градиентный бустинг с квантильной регрессией (LightGBM с целевой функцией quantile, квантили 0,1, 0,5 и 0,9), и дополнить её детерминированным watcher-сервисом адаптации плана, то это позволит обеспечить более точные прогнозы по метрикам MAE и MAPE по сравнению с линейной экстраполяцией по тренду, при адекватной калибровке доверительных интервалов (фактическое значение попадает в 80%-CI не менее чем в 75% случаев) и надёжной реакции приложения на изменения в профиле пользователя.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прогноза InBody как задачи многомерной регрессии временных рядов: определить признаковое пространство пользователя по неделям, целевые переменные и метрики качества.</w:t>
      </w:r>
    </w:p>
    <w:p>
      <w:pPr>
        <w:pStyle w:val="ListNumber"/>
        <w:ind w:firstLine="0"/>
      </w:pPr>
      <w:r>
        <w:t>Разработать двухуровневую модель прогноза (Ridge-baseline + LightGBM с квантильной регрессией) и алгоритм построения 80%-доверительных интервалов.</w:t>
      </w:r>
    </w:p>
    <w:p>
      <w:pPr>
        <w:pStyle w:val="ListNumber"/>
        <w:ind w:firstLine="0"/>
      </w:pPr>
      <w:r>
        <w:t>Разработать алгоритм холодного старта для пользователей с короткой историей измерений.</w:t>
      </w:r>
    </w:p>
    <w:p>
      <w:pPr>
        <w:pStyle w:val="ListNumber"/>
        <w:ind w:firstLine="0"/>
      </w:pPr>
      <w:r>
        <w:t>Разработать watcher-сервис адаптации плана: набор триггеров и правила перегенерации.</w:t>
      </w:r>
    </w:p>
    <w:p>
      <w:pPr>
        <w:pStyle w:val="ListNumber"/>
        <w:ind w:firstLine="0"/>
      </w:pPr>
      <w:r>
        <w:t>Разработать ETL-конвейер подготовки обучающего датасета на основе открытых Kaggle-источников с синтезом временных рядов.</w:t>
      </w:r>
    </w:p>
    <w:p>
      <w:pPr>
        <w:pStyle w:val="ListNumber"/>
        <w:ind w:firstLine="0"/>
      </w:pPr>
      <w:r>
        <w:t>Обучить модели прогноза и программно реализовать REST-сервис прогноза и сервис адаптации плана.</w:t>
      </w:r>
    </w:p>
    <w:p>
      <w:pPr>
        <w:pStyle w:val="ListNumber"/>
        <w:ind w:firstLine="0"/>
      </w:pPr>
      <w:r>
        <w:t>Реализовать парсер PDF-отчётов InBody.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(linear, Ridge); проверить калибровку доверительных интервалов;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(Ridge-регрессия, градиентный бустинг над решающими деревьями, квантильная регрессия), методы прогнозирования временных рядов, методы математической статистики (стандартные метрики MAE, MAPE, coverage 80%-CI,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(квантили 0,1, 0,5 и 0,9) для построения калиброванных доверительных интервалов прогноза показателей InBody на коротких пользовательских историях, а также в формулировке согласованного набора триггеров автоматической адаптации тренировочного плана, связывающего прогнозную модель с сервисом перегенерации плана.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разработанные алгоритмы программно реализованы в составе действующего кроссплатформенного приложения Fitness Tracker. Все компоненты приложения покрыты автоматическими тестами, обучение моделей воспроизводимо по фиксированному seed и хешу обучающего набора,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с прогнозом и подходов к прогнозу динамики веса. Во второй главе — подробное описание самого приложения Fitness Tracker: что оно делает, какие у него экраны и функции, на каком стеке написано и как устроена база данных. В третьей главе — разработанные алгоритмы прогноза и адаптации плана. В четвёртой главе — программная реализация. В пятой главе — эксперимент и результаты. Общий объём работы — 60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стал де-факто стандартом для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Именно эти возможности и реализованы в разрабатываемом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(тоннаж,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Лазарева Е. Д.),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суммарный тоннаж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Лазарева Е. Д.),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около 1500 строк;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около 250 строк.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А мне нужны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dataset_b_inbody_timeseries.parquet, около 8 тысяч точек (пользователь × неделя). Разбит на train/val/test (70/15/15) с фиксированным seed=42, без пересечений по пользователям между выборками. Анонимизация: все идентификаторы захешированы (sha256 + salt), даты сдвинуты на случайное смещение для каждого пользователя.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Ridge-baseline: 3 модели (по одной на каждую целевую переменную); параметр α подбирается через RidgeCV;</w:t>
      </w:r>
    </w:p>
    <w:p>
      <w:pPr>
        <w:pStyle w:val="ListBullet"/>
        <w:ind w:firstLine="0"/>
      </w:pPr>
      <w:r>
        <w:t>LightGBM quantile: 27 моделей (3 целевых × 3 горизонта × 3 квантиля); гиперпараметры подобраны через GridSearchCV на валидации.</w:t>
      </w:r>
    </w:p>
    <w:p>
      <w:pPr>
        <w:jc w:val="both"/>
      </w:pPr>
      <w:r>
        <w:rPr>
          <w:b w:val="0"/>
        </w:rPr>
        <w:t>Гиперпараметры LightGBM: число деревьев 300, learning_rate 0,03, max_depth 5, min_child_samples 30, reg_lambda 1,0. Регуляризация выбрана относительно высокой, чтобы избежать переобучения на ограниченной выборке.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delta_body_fat_percent_q10.joblib</w:t>
        <w:br/>
        <w:t xml:space="preserve">    ... (всего 9 файлов на каждый горизонт)</w:t>
        <w:br/>
        <w:t xml:space="preserve">  model_meta.json</w:t>
      </w:r>
    </w:p>
    <w:p>
      <w:pPr>
        <w:jc w:val="both"/>
      </w:pPr>
      <w:r>
        <w:rPr>
          <w:b w:val="0"/>
        </w:rPr>
        <w:t>Файл model_meta.json содержит мета-информацию: версии scikit-learn и LightGBM, seed, sha256 входного файла, дата обучения,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(тоннаж,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4 720 точек «пользователь × неделя»), валидировались на val-сплите (15%) и тестировались на test-сплите (15%, 1 013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Эффективность watcher-сервиса</w:t>
      </w:r>
    </w:p>
    <w:p>
      <w:pPr>
        <w:jc w:val="both"/>
      </w:pPr>
      <w:r>
        <w:rPr>
          <w:b w:val="0"/>
        </w:rPr>
        <w:t>Watcher-сервис тестировался на симуляционной выборке. Для 110 модельных пользователей был запущен сценарий, имитирующий все пять видов триггеров: смена цели (50 случаев), значительное изменение веса (30 случаев), смена частоты (10 случаев), окончание 4-недельного цикла (10 случаев) и принудительная регенерация после 7 дней игнорирования баннера (10 случаев). Watcher должен был корректно распознать триггер, создать соответствующую запись plan_rebuild_event и в случае cycle_end / force-rebuild — запустить регенерацию плана.</w:t>
      </w:r>
    </w:p>
    <w:p>
      <w:pPr>
        <w:jc w:val="both"/>
      </w:pPr>
      <w:r>
        <w:rPr>
          <w:b w:val="0"/>
        </w:rPr>
        <w:t>Результаты:</w:t>
      </w:r>
    </w:p>
    <w:p>
      <w:pPr>
        <w:pStyle w:val="ListBullet"/>
        <w:ind w:firstLine="0"/>
      </w:pPr>
      <w:r>
        <w:t>Точность (precision): 100% — все 110 случаев распознаны корректно; ложноположительных срабатываний не было (что ожидаемо для детерминированных правил).</w:t>
      </w:r>
    </w:p>
    <w:p>
      <w:pPr>
        <w:pStyle w:val="ListBullet"/>
        <w:ind w:firstLine="0"/>
      </w:pPr>
      <w:r>
        <w:t>Полнота (recall): 100% — после объединения cycle_end и force-rebuild в одну функцию run_background_check, обрабатываемую за один проход, гонка между профильной транзакцией и cron-заданием перестала влиять на результат: все 20 фоновых случаев захвачены.</w:t>
      </w:r>
    </w:p>
    <w:p>
      <w:pPr>
        <w:pStyle w:val="ListBullet"/>
        <w:ind w:firstLine="0"/>
      </w:pPr>
      <w:r>
        <w:t>Среднее время от события до создания записи plan_rebuild_event: 47 мс на 95-перцентиле; укладывается в требование «без задержки в рамках транзакции».</w:t>
      </w:r>
    </w:p>
    <w:p>
      <w:pPr>
        <w:pStyle w:val="ListBullet"/>
        <w:ind w:firstLine="0"/>
      </w:pPr>
      <w:r>
        <w:t>Изоляция отказов: при «недоонбордившемся» пользователе (без training_level) в батче на регенерацию ошибка PreconditionsNotMet перехватывается, его пользователь попадает в счётчик skipped, остальные продолжают обрабатываться. На выборке из 110 пользователей при добавлении одного «недоонбордившегося» skipped = 1, обработанных = 109.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работает с высокой точностью (precision 100%) и приемлемой полнотой (recall 98%).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(6 745 точек «пользователь × неделя»).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показал precision 100% и recall 98% при среднем времени реакции 47 мс.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NeurIPS.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Бенгио И., Гудфеллоу Я.,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Чернов В. М. Прикладные методы машинного обучения. — Москва: ДМК Пресс, 2022. — 416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Лимонов А. С. Введение в анализ временных рядов. — Москва: Финансы и статистика, 2019. — 312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