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>
      <w:pPr>
        <w:ind w:firstLine="0"/>
        <w:jc w:val="center"/>
      </w:pPr>
      <w:r>
        <w:rPr>
          <w:b w:val="0"/>
        </w:rPr>
        <w:t>магистерская программа «Глубокое обучение и генеративный искусственный интеллект»</w:t>
      </w:r>
    </w:p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Агафонов А. Л., доцент, кафедра компьютерной математики и программного обеспечения</w:t>
      </w:r>
    </w:p>
    <w:p>
      <w:pPr>
        <w:ind w:firstLine="0"/>
        <w:jc w:val="right"/>
      </w:pPr>
      <w:r>
        <w:rPr>
          <w:b w:val="0"/>
        </w:rPr>
        <w:t>____________________ (подпись)</w:t>
      </w:r>
    </w:p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Лапова Мария Сергеевна</w:t>
      </w:r>
    </w:p>
    <w:p>
      <w:pPr>
        <w:ind w:firstLine="0"/>
        <w:jc w:val="right"/>
      </w:pPr>
      <w:r>
        <w:rPr>
          <w:b w:val="0"/>
        </w:rPr>
        <w:t>____________________ (подпись)</w:t>
      </w:r>
    </w:p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квантильная регрессия (LightGBM с целевой функцией quantile для α ∈ {0,1; 0,5; 0,9}) обеспечит более точный прогноз InBody-метрик, чем persistence- и Ridge-baseline, при адекватной калибровке доверительных интервалов (фактическая частота попаданий в 80%-CI — не менее 75%), а детерминированный watcher-сервис гарантирует реакцию плана на ключевые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Лазарева Е. Д.),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Лазарева Е. Д.),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