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</w:rPr>
        <w:t>МИНОБРНАУКИ РОССИИ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ind w:firstLine="0"/>
        <w:jc w:val="center"/>
      </w:pPr>
      <w:r>
        <w:rPr>
          <w:b w:val="0"/>
        </w:rPr>
        <w:t>Факультет цифровых технологий, кибербезопасности, математики и технологий</w:t>
      </w:r>
    </w:p>
    <w:p>
      <w:pPr>
        <w:ind w:firstLine="0"/>
        <w:jc w:val="center"/>
      </w:pPr>
      <w:r>
        <w:rPr>
          <w:b w:val="0"/>
        </w:rPr>
        <w:t>Кафедра компьютерной математики и программного обеспечения</w:t>
      </w:r>
    </w:p>
    <w:p/>
    <w:p>
      <w:pPr>
        <w:ind w:firstLine="0"/>
        <w:jc w:val="right"/>
      </w:pPr>
      <w:r>
        <w:rPr>
          <w:b w:val="0"/>
        </w:rPr>
        <w:t>УТВЕРЖДАЮ</w:t>
      </w:r>
    </w:p>
    <w:p>
      <w:pPr>
        <w:ind w:firstLine="0"/>
        <w:jc w:val="right"/>
      </w:pPr>
      <w:r>
        <w:rPr>
          <w:b w:val="0"/>
        </w:rPr>
        <w:t>Заведующий кафедрой</w:t>
      </w:r>
    </w:p>
    <w:p>
      <w:pPr>
        <w:ind w:firstLine="0"/>
        <w:jc w:val="right"/>
      </w:pPr>
      <w:r>
        <w:rPr>
          <w:b w:val="0"/>
        </w:rPr>
        <w:t>___________ Симанчев Р.Ю.</w:t>
      </w:r>
    </w:p>
    <w:p>
      <w:pPr>
        <w:ind w:firstLine="0"/>
        <w:jc w:val="right"/>
      </w:pPr>
      <w:r>
        <w:rPr>
          <w:b w:val="0"/>
        </w:rPr>
        <w:t>«___» ___________ 2026 г.</w:t>
      </w:r>
    </w:p>
    <w:p/>
    <w:p>
      <w:pPr>
        <w:ind w:firstLine="0"/>
        <w:jc w:val="center"/>
      </w:pPr>
      <w:r>
        <w:rPr>
          <w:b/>
        </w:rPr>
        <w:t>РАЗРАБОТКА КРОССПЛАТФОРМЕННОГО ПРИЛОЖЕНИЯ ДЛЯ ПРОГНОЗА СОСТАВА ТЕЛА И АДАПТАЦИИ ПЛАНА ТРЕНИРОВОК С ИСПОЛЬЗОВАНИЕМ МАШИННОГО ОБУЧЕНИЯ</w:t>
      </w:r>
    </w:p>
    <w:p>
      <w:pPr>
        <w:ind w:firstLine="0"/>
        <w:jc w:val="center"/>
      </w:pPr>
      <w:r>
        <w:rPr>
          <w:b w:val="0"/>
        </w:rPr>
        <w:t>Выпускная квалификационная работа</w:t>
      </w:r>
    </w:p>
    <w:p>
      <w:pPr>
        <w:ind w:firstLine="0"/>
        <w:jc w:val="center"/>
      </w:pPr>
      <w:r>
        <w:rPr>
          <w:b w:val="0"/>
        </w:rPr>
        <w:t>по направлению — «Прикладная математика и информатика»</w:t>
      </w:r>
    </w:p>
    <w:p>
      <w:pPr>
        <w:ind w:firstLine="0"/>
        <w:jc w:val="center"/>
      </w:pPr>
      <w:r>
        <w:rPr>
          <w:b w:val="0"/>
        </w:rPr>
        <w:t>магистерская программа «Глубокое обучение и генеративный искусственный интеллект»</w:t>
      </w:r>
    </w:p>
    <w:p/>
    <w:p>
      <w:pPr>
        <w:ind w:firstLine="0"/>
        <w:jc w:val="right"/>
      </w:pPr>
      <w:r>
        <w:rPr>
          <w:b w:val="0"/>
        </w:rPr>
        <w:t>Научный руководитель</w:t>
      </w:r>
    </w:p>
    <w:p>
      <w:pPr>
        <w:ind w:firstLine="0"/>
        <w:jc w:val="right"/>
      </w:pPr>
      <w:r>
        <w:rPr>
          <w:b w:val="0"/>
        </w:rPr>
        <w:t>Агафонов А. Л., доцент, кафедра компьютерной математики и программного обеспечения</w:t>
      </w:r>
    </w:p>
    <w:p>
      <w:pPr>
        <w:ind w:firstLine="0"/>
        <w:jc w:val="right"/>
      </w:pPr>
      <w:r>
        <w:rPr>
          <w:b w:val="0"/>
        </w:rPr>
        <w:t>____________________ (подпись)</w:t>
      </w:r>
    </w:p>
    <w:p>
      <w:pPr>
        <w:ind w:firstLine="0"/>
        <w:jc w:val="right"/>
      </w:pPr>
      <w:r>
        <w:rPr>
          <w:b w:val="0"/>
        </w:rPr>
        <w:t>Студент гр. МММ-401-О-03</w:t>
      </w:r>
    </w:p>
    <w:p>
      <w:pPr>
        <w:ind w:firstLine="0"/>
        <w:jc w:val="right"/>
      </w:pPr>
      <w:r>
        <w:rPr>
          <w:b w:val="0"/>
        </w:rPr>
        <w:t>Лапова Мария Сергеевна</w:t>
      </w:r>
    </w:p>
    <w:p>
      <w:pPr>
        <w:ind w:firstLine="0"/>
        <w:jc w:val="right"/>
      </w:pPr>
      <w:r>
        <w:rPr>
          <w:b w:val="0"/>
        </w:rPr>
        <w:t>____________________ (подпись)</w:t>
      </w:r>
    </w:p>
    <w:p>
      <w:pPr>
        <w:ind w:firstLine="0"/>
        <w:jc w:val="center"/>
      </w:pPr>
      <w:r>
        <w:rPr>
          <w:b w:val="0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InBody и биоимпедансный анализ</w:t>
      </w:r>
      <w:r>
        <w:tab/>
        <w:t>11</w:t>
      </w:r>
    </w:p>
    <w:p>
      <w:pPr>
        <w:ind w:firstLine="0"/>
      </w:pPr>
      <w:r>
        <w:t>1.2 Обзор фитнес-приложений с прогнозом</w:t>
      </w:r>
      <w:r>
        <w:tab/>
        <w:t>13</w:t>
      </w:r>
    </w:p>
    <w:p>
      <w:pPr>
        <w:ind w:firstLine="0"/>
      </w:pPr>
      <w:r>
        <w:t>1.3 Подходы к прогнозу динамики веса и состава тела</w:t>
      </w:r>
      <w:r>
        <w:tab/>
        <w:t>16</w:t>
      </w:r>
    </w:p>
    <w:p>
      <w:pPr>
        <w:ind w:firstLine="0"/>
      </w:pPr>
      <w:r>
        <w:t>1.4 Постановка задачи для приложения Fitness Tracker</w:t>
      </w:r>
      <w:r>
        <w:tab/>
        <w:t>18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20</w:t>
      </w:r>
    </w:p>
    <w:p>
      <w:pPr>
        <w:ind w:firstLine="0"/>
      </w:pPr>
      <w:r>
        <w:t>2.1 Назначение приложения и целевая аудитория</w:t>
      </w:r>
      <w:r>
        <w:tab/>
        <w:t>20</w:t>
      </w:r>
    </w:p>
    <w:p>
      <w:pPr>
        <w:ind w:firstLine="0"/>
      </w:pPr>
      <w:r>
        <w:t>2.2 Какие проблемы решает приложение</w:t>
      </w:r>
      <w:r>
        <w:tab/>
        <w:t>21</w:t>
      </w:r>
    </w:p>
    <w:p>
      <w:pPr>
        <w:ind w:firstLine="0"/>
      </w:pPr>
      <w:r>
        <w:t>2.3 Основные функции приложения</w:t>
      </w:r>
      <w:r>
        <w:tab/>
        <w:t>22</w:t>
      </w:r>
    </w:p>
    <w:p>
      <w:pPr>
        <w:ind w:firstLine="0"/>
      </w:pPr>
      <w:r>
        <w:t>2.4 Сценарии использования</w:t>
      </w:r>
      <w:r>
        <w:tab/>
        <w:t>25</w:t>
      </w:r>
    </w:p>
    <w:p>
      <w:pPr>
        <w:ind w:firstLine="0"/>
      </w:pPr>
      <w:r>
        <w:t>2.5 Экраны приложения</w:t>
      </w:r>
      <w:r>
        <w:tab/>
        <w:t>26</w:t>
      </w:r>
    </w:p>
    <w:p>
      <w:pPr>
        <w:ind w:firstLine="0"/>
      </w:pPr>
      <w:r>
        <w:t>2.6 Технологический стек</w:t>
      </w:r>
      <w:r>
        <w:tab/>
        <w:t>28</w:t>
      </w:r>
    </w:p>
    <w:p>
      <w:pPr>
        <w:ind w:firstLine="0"/>
      </w:pPr>
      <w:r>
        <w:t>2.7 Архитектура приложения</w:t>
      </w:r>
      <w:r>
        <w:tab/>
        <w:t>30</w:t>
      </w:r>
    </w:p>
    <w:p>
      <w:pPr>
        <w:ind w:firstLine="0"/>
      </w:pPr>
      <w:r>
        <w:t>2.8 Схема базы данных (краткий обзор)</w:t>
      </w:r>
      <w:r>
        <w:tab/>
        <w:t>31</w:t>
      </w:r>
    </w:p>
    <w:p>
      <w:pPr>
        <w:ind w:firstLine="0"/>
      </w:pPr>
      <w:r>
        <w:t>2.9 Безопасность и приватность</w:t>
      </w:r>
      <w:r>
        <w:tab/>
        <w:t>32</w:t>
      </w:r>
    </w:p>
    <w:p>
      <w:pPr>
        <w:ind w:firstLine="0"/>
      </w:pPr>
      <w:r>
        <w:t>Глава 3. Алгоритмы прогноза и адаптации плана</w:t>
      </w:r>
      <w:r>
        <w:tab/>
        <w:t>33</w:t>
      </w:r>
    </w:p>
    <w:p>
      <w:pPr>
        <w:ind w:firstLine="0"/>
      </w:pPr>
      <w:r>
        <w:t>3.1 Двухуровневая модель прогноза InBody</w:t>
      </w:r>
      <w:r>
        <w:tab/>
        <w:t>33</w:t>
      </w:r>
    </w:p>
    <w:p>
      <w:pPr>
        <w:ind w:firstLine="0"/>
      </w:pPr>
      <w:r>
        <w:t>3.2 Доверительные интервалы через квантильную регрессию</w:t>
      </w:r>
      <w:r>
        <w:tab/>
        <w:t>35</w:t>
      </w:r>
    </w:p>
    <w:p>
      <w:pPr>
        <w:ind w:firstLine="0"/>
      </w:pPr>
      <w:r>
        <w:t>3.3 Холодный старт для новых пользователей</w:t>
      </w:r>
      <w:r>
        <w:tab/>
        <w:t>37</w:t>
      </w:r>
    </w:p>
    <w:p>
      <w:pPr>
        <w:ind w:firstLine="0"/>
      </w:pPr>
      <w:r>
        <w:t>3.4 Watcher: автоматическая адаптация плана</w:t>
      </w:r>
      <w:r>
        <w:tab/>
        <w:t>38</w:t>
      </w:r>
    </w:p>
    <w:p>
      <w:pPr>
        <w:ind w:firstLine="0"/>
      </w:pPr>
      <w:r>
        <w:t>Глава 4. Программная реализация</w:t>
      </w:r>
      <w:r>
        <w:tab/>
        <w:t>41</w:t>
      </w:r>
    </w:p>
    <w:p>
      <w:pPr>
        <w:ind w:firstLine="0"/>
      </w:pPr>
      <w:r>
        <w:t>4.1 Подготовка данных и синтез временных рядов</w:t>
      </w:r>
      <w:r>
        <w:tab/>
        <w:t>41</w:t>
      </w:r>
    </w:p>
    <w:p>
      <w:pPr>
        <w:ind w:firstLine="0"/>
      </w:pPr>
      <w:r>
        <w:t>4.2 Обучение моделей</w:t>
      </w:r>
      <w:r>
        <w:tab/>
        <w:t>43</w:t>
      </w:r>
    </w:p>
    <w:p>
      <w:pPr>
        <w:ind w:firstLine="0"/>
      </w:pPr>
      <w:r>
        <w:t>4.3 Парсер PDF-отчётов InBody</w:t>
      </w:r>
      <w:r>
        <w:tab/>
        <w:t>45</w:t>
      </w:r>
    </w:p>
    <w:p>
      <w:pPr>
        <w:ind w:firstLine="0"/>
      </w:pPr>
      <w:r>
        <w:t>4.4 REST-сервис прогноза</w:t>
      </w:r>
      <w:r>
        <w:tab/>
        <w:t>47</w:t>
      </w:r>
    </w:p>
    <w:p>
      <w:pPr>
        <w:ind w:firstLine="0"/>
      </w:pPr>
      <w:r>
        <w:t>4.5 Watcher-сервис адаптации плана</w:t>
      </w:r>
      <w:r>
        <w:tab/>
        <w:t>48</w:t>
      </w:r>
    </w:p>
    <w:p>
      <w:pPr>
        <w:ind w:firstLine="0"/>
      </w:pPr>
      <w:r>
        <w:t>4.6 Интеграция с фронтендом</w:t>
      </w:r>
      <w:r>
        <w:tab/>
        <w:t>50</w:t>
      </w:r>
    </w:p>
    <w:p>
      <w:pPr>
        <w:ind w:firstLine="0"/>
      </w:pPr>
      <w:r>
        <w:t>Глава 5. Эксперименты и результаты</w:t>
      </w:r>
      <w:r>
        <w:tab/>
        <w:t>51</w:t>
      </w:r>
    </w:p>
    <w:p>
      <w:pPr>
        <w:ind w:firstLine="0"/>
      </w:pPr>
      <w:r>
        <w:t>5.1 Методика</w:t>
      </w:r>
      <w:r>
        <w:tab/>
        <w:t>51</w:t>
      </w:r>
    </w:p>
    <w:p>
      <w:pPr>
        <w:ind w:firstLine="0"/>
      </w:pPr>
      <w:r>
        <w:t>5.2 Сравнение моделей прогноза</w:t>
      </w:r>
      <w:r>
        <w:tab/>
        <w:t>52</w:t>
      </w:r>
    </w:p>
    <w:p>
      <w:pPr>
        <w:ind w:firstLine="0"/>
      </w:pPr>
      <w:r>
        <w:t>5.3 Проверка калибровки доверительных интервалов</w:t>
      </w:r>
      <w:r>
        <w:tab/>
        <w:t>53</w:t>
      </w:r>
    </w:p>
    <w:p>
      <w:pPr>
        <w:ind w:firstLine="0"/>
      </w:pPr>
      <w:r>
        <w:t>5.4 Корректность watcher-сервиса</w:t>
      </w:r>
      <w:r>
        <w:tab/>
        <w:t>54</w:t>
      </w:r>
    </w:p>
    <w:p>
      <w:pPr>
        <w:ind w:firstLine="0"/>
      </w:pPr>
      <w:r>
        <w:t>5.5 Выводы по главе</w:t>
      </w:r>
      <w:r>
        <w:tab/>
        <w:t>55</w:t>
      </w:r>
    </w:p>
    <w:p>
      <w:pPr>
        <w:ind w:firstLine="0"/>
      </w:pPr>
      <w:r>
        <w:t>Заключение</w:t>
      </w:r>
      <w:r>
        <w:tab/>
        <w:t>56</w:t>
      </w:r>
    </w:p>
    <w:p>
      <w:pPr>
        <w:ind w:firstLine="0"/>
      </w:pPr>
      <w:r>
        <w:t>Список литературы</w:t>
      </w:r>
      <w:r>
        <w:tab/>
        <w:t>58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PBF — Percent Body Fat;</w:t>
      </w:r>
    </w:p>
    <w:p>
      <w:pPr>
        <w:ind w:firstLine="0"/>
      </w:pPr>
      <w:r>
        <w:rPr>
          <w:b/>
        </w:rPr>
        <w:t xml:space="preserve">— </w:t>
      </w:r>
      <w:r>
        <w:t>SMM — Skeletal Muscle Mass;</w:t>
      </w:r>
    </w:p>
    <w:p>
      <w:pPr>
        <w:ind w:firstLine="0"/>
      </w:pPr>
      <w:r>
        <w:rPr>
          <w:b/>
        </w:rPr>
        <w:t xml:space="preserve">— </w:t>
      </w:r>
      <w:r>
        <w:t>CI — Confidence Interval (доверительный интервал);</w:t>
      </w:r>
    </w:p>
    <w:p>
      <w:pPr>
        <w:ind w:firstLine="0"/>
      </w:pPr>
      <w:r>
        <w:rPr>
          <w:b/>
        </w:rPr>
        <w:t xml:space="preserve">— </w:t>
      </w:r>
      <w:r>
        <w:t>MAPE — Mean Absolute Percentage Error.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возрастающим интересом пользователей цифровых фитнес-сервисов к функциям прогнозирования и автоматической адаптации тренировочных программ. Биоимпедансный анализ (BIA) в виде InBody-измерений стал де-факто стандартом регулярных оценок состава тела для любителей силовых тренировок: соответствующие приборы установлены в большинстве современных фитнес-клубов и позволяют за минуту получить ключевые показатели — массу тела, процент жира, мышечную массу, базовый уровень метаболизма. Тем не менее существующие фитнес-приложения (Hevy, Strong, MacroFactor, Carbon Diet Coach, Fitbod, Apple Health) ограничиваются ретроспективным отображением накопленной истории измерений и не предоставляют пользователю инструмента прогноза дальнейшей динамики состава тела при текущем тренировочном режиме.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моделей ML-регрессии к задаче прогноза InBody позволяет рассчитывать на получение прогноза, учитывающего как историческую динамику пользователя, так и его тренировочную активность и индивидуальные параметры. Однако при ограниченных объёмах размеченных данных применение современных нейросетевых архитектур (LSTM, Temporal Fusion Transformer) приводит к переобучению, а более простые модели (например, линейная регрессия по тренду) не позволяют учитывать существенные нелинейные взаимодействия признаков и не дают честной оценки неопределённости прогноза. Вопросы выбора архитектуры модели промежуточной сложности, способной выдавать одновременно точечный прогноз и калиброванный доверительный интервал, а также вопросы практической реализации этой модели и связанного с ней сервиса автоматической адаптации плана тренировок требуют дополнительного исследования.</w:t>
      </w:r>
    </w:p>
    <w:p>
      <w:pPr>
        <w:jc w:val="both"/>
      </w:pPr>
      <w:r>
        <w:rPr>
          <w:b w:val="0"/>
        </w:rPr>
        <w:t>Степень разработанности темы. Задачи прогнозирования временных рядов и квантильной регрессии достаточно хорошо изучены в литературе (R. J. Hyndman, R. Koenker, G. Bassett, B. Lim, S. Zohren). Существуют классические подходы (Ridge, Lasso, ARIMA, экспоненциальное сглаживание), ансамблевые методы (XGBoost, LightGBM, CatBoost) и современные нейросетевые модели (LSTM, GRU, DeepAR, Temporal Fusion Transformer). Однако применительно к задаче прогноза показателей InBody и связанной с ним автоматической адаптации тренировочной программы число опубликованных работ существенно меньше, и в большинстве промышленных приложений по-прежнему применяется простая линейная экстраполяция.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методов прогнозирования изменений показателей InBody и связанных с ними алгоритмов автоматической адаптации тренировочного плана, которые одновременно обеспечивали бы приемлемое качество прогноза на ограниченных объёмах данных и адекватную калибровку доверительных интервалов.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алгоритмы прогнозирования значений InBody (массы тела, процента жира, мышечной массы) на горизонтах 1, 2 и 4 недели с построением 80%-доверительных интервалов, а также сервис автоматической адаптации плана тренировок, и интегрировать их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прогнозирования изменений показателей состава тела и автоматической адаптации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многомерной регрессии временных рядов с построением калиброванных доверительных интервалов, а также правила событийной адаптации тренировочного плана при изменении параметров пользователя.</w:t>
      </w:r>
    </w:p>
    <w:p>
      <w:pPr>
        <w:jc w:val="both"/>
      </w:pPr>
      <w:r>
        <w:rPr>
          <w:b w:val="0"/>
        </w:rPr>
        <w:t>Гипотеза исследования: квантильная регрессия (LightGBM с целевой функцией quantile для α ∈ {0,1; 0,5; 0,9}) обеспечит более точный прогноз InBody-метрик, чем persistence- и Ridge-baseline, при адекватной калибровке доверительных интервалов (фактическая частота попаданий в 80%-CI — не менее 75%), а детерминированный watcher-сервис гарантирует реакцию плана на ключевые изменения в профиле пользователя.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с прогнозом и подходов к прогнозу динамики веса и состава тела; обосновать выбор класса моделей.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прогноза InBody как задачи многомерной регрессии временных рядов: определить признаковое пространство пользователя по неделям, целевые переменные и метрики качества.</w:t>
      </w:r>
    </w:p>
    <w:p>
      <w:pPr>
        <w:pStyle w:val="ListNumber"/>
        <w:ind w:firstLine="0"/>
      </w:pPr>
      <w:r>
        <w:t>Разработать двухуровневую модель прогноза (Ridge-baseline + LightGBM с квантильной регрессией) и алгоритм построения 80%-доверительных интервалов.</w:t>
      </w:r>
    </w:p>
    <w:p>
      <w:pPr>
        <w:pStyle w:val="ListNumber"/>
        <w:ind w:firstLine="0"/>
      </w:pPr>
      <w:r>
        <w:t>Разработать алгоритм холодного старта для пользователей с короткой историей измерений.</w:t>
      </w:r>
    </w:p>
    <w:p>
      <w:pPr>
        <w:pStyle w:val="ListNumber"/>
        <w:ind w:firstLine="0"/>
      </w:pPr>
      <w:r>
        <w:t>Разработать watcher-сервис адаптации плана: набор триггеров и правила перегенерации.</w:t>
      </w:r>
    </w:p>
    <w:p>
      <w:pPr>
        <w:pStyle w:val="ListNumber"/>
        <w:ind w:firstLine="0"/>
      </w:pPr>
      <w:r>
        <w:t>Разработать ETL-конвейер подготовки обучающего датасета на основе открытых Kaggle-источников с синтезом временных рядов.</w:t>
      </w:r>
    </w:p>
    <w:p>
      <w:pPr>
        <w:pStyle w:val="ListNumber"/>
        <w:ind w:firstLine="0"/>
      </w:pPr>
      <w:r>
        <w:t>Обучить модели прогноза и программно реализовать REST-сервис прогноза и сервис адаптации плана.</w:t>
      </w:r>
    </w:p>
    <w:p>
      <w:pPr>
        <w:pStyle w:val="ListNumber"/>
        <w:ind w:firstLine="0"/>
      </w:pPr>
      <w:r>
        <w:t>Реализовать парсер PDF-отчётов InBody.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(linear, Ridge); проверить калибровку доверительных интервалов;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(Ridge-регрессия, градиентный бустинг над решающими деревьями, квантильная регрессия), методы прогнозирования временных рядов, методы математической статистики (стандартные метрики MAE, MAPE, coverage 80%-CI, sharpness).</w:t>
      </w:r>
    </w:p>
    <w:p>
      <w:pPr>
        <w:jc w:val="both"/>
      </w:pPr>
      <w:r>
        <w:rPr>
          <w:b w:val="0"/>
        </w:rPr>
        <w:t>Научная новизна работы заключается в применении квантильной регрессии LightGBM (квантили 0,1, 0,5 и 0,9) для построения калиброванных доверительных интервалов прогноза показателей InBody на коротких пользовательских историях, а также в формулировке согласованного набора триггеров автоматической адаптации тренировочного плана, связывающего прогнозную модель с сервисом перегенерации плана.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разработанные алгоритмы программно реализованы в составе действующего кроссплатформенного приложения Fitness Tracker. Все компоненты приложения покрыты автоматическими тестами, обучение моделей воспроизводимо по фиксированному seed и хешу обучающего набора,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с прогнозом и подходов к прогнозу динамики веса. Во второй главе — подробное описание самого приложения Fitness Tracker: что оно делает, какие у него экраны и функции, на каком стеке написано и как устроена база данных. В третьей главе — разработанные алгоритмы прогноза и адаптации плана. В четвёртой главе — программная реализация. В пятой главе — эксперимент и результаты. Общий объём работы — 60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InBody и биоимпедансный анализ</w:t>
      </w:r>
    </w:p>
    <w:p>
      <w:pPr>
        <w:jc w:val="both"/>
      </w:pPr>
      <w:r>
        <w:rPr>
          <w:b w:val="0"/>
        </w:rPr>
        <w:t>InBody — это семейство устройств для биоимпедансного анализа состава тела от южнокорейской компании InBody Co., Ltd. Метод основан на пропускании через тело слабого переменного электрического тока и измерении сопротивления, оказываемого тканями этому току. Жировая ткань содержит мало воды и плохо проводит электричество; мышечная ткань, наоборот, содержит много воды с электролитами и проводит хорошо. По разнице в проводимости устройство оценивает соотношение жировой и мышечной массы.</w:t>
      </w:r>
    </w:p>
    <w:p>
      <w:pPr>
        <w:jc w:val="both"/>
      </w:pPr>
      <w:r>
        <w:rPr>
          <w:b w:val="0"/>
        </w:rPr>
        <w:t>В фитнес-индустрии InBody стал де-факто стандартом для регулярных замеров состава тела у любителей. Большинство современных фитнес-клубов имеют у себя одну из моделей (InBody 270, InBody 370, InBody 770) и предлагают замеры либо бесплатно для клиентов, либо за небольшую плату. Замер занимает около минуты, результат печатается в виде PDF-отчёта с десятками показателей и графиков.</w:t>
      </w:r>
    </w:p>
    <w:p>
      <w:pPr>
        <w:jc w:val="both"/>
      </w:pPr>
      <w:r>
        <w:rPr>
          <w:b w:val="0"/>
        </w:rPr>
        <w:t>Из всех показателей InBody в нашем приложении используются четыре основных:</w:t>
      </w:r>
    </w:p>
    <w:p>
      <w:pPr>
        <w:pStyle w:val="ListBullet"/>
        <w:ind w:firstLine="0"/>
      </w:pPr>
      <w:r>
        <w:t>Weight (Вес) — масса тела в килограммах, измеряется встроенными весами устройства;</w:t>
      </w:r>
    </w:p>
    <w:p>
      <w:pPr>
        <w:pStyle w:val="ListBullet"/>
        <w:ind w:firstLine="0"/>
      </w:pPr>
      <w:r>
        <w:t>PBF (Percent Body Fat) — процент жира в теле (отношение жировой массы к общей);</w:t>
      </w:r>
    </w:p>
    <w:p>
      <w:pPr>
        <w:pStyle w:val="ListBullet"/>
        <w:ind w:firstLine="0"/>
      </w:pPr>
      <w:r>
        <w:t>SMM (Skeletal Muscle Mass) — скелетная мышечная масса в килограммах;</w:t>
      </w:r>
    </w:p>
    <w:p>
      <w:pPr>
        <w:pStyle w:val="ListBullet"/>
        <w:ind w:firstLine="0"/>
      </w:pPr>
      <w:r>
        <w:t>BMR (Basal Metabolic Rate) — базовый уровень метаболизма (сколько калорий тратит тело в покое в сутки).</w:t>
      </w:r>
    </w:p>
    <w:p>
      <w:pPr>
        <w:jc w:val="both"/>
      </w:pPr>
      <w:r>
        <w:rPr>
          <w:b w:val="0"/>
        </w:rPr>
        <w:t>Эти четыре показателя достаточны для основного анализа прогресса. Дополнительные показатели (висцеральный жир, процент воды, минералы) представляют интерес, но в текущей версии приложения не используются.</w:t>
      </w:r>
    </w:p>
    <w:p>
      <w:pPr>
        <w:jc w:val="both"/>
      </w:pPr>
      <w:r>
        <w:rPr>
          <w:b w:val="0"/>
        </w:rPr>
        <w:t>Точность InBody-замеров зависит от условий проведения: уровня гидратации, времени суток, приёма пищи и кофеина за 2–3 часа до замера. Стандартная погрешность модели InBody 270 для массы тела — около ±0,2 кг, для процента жира — ±1,5 процентного пункта. Эта погрешность задаёт нижнюю границу качества прогноза: модель, которая выдаёт ошибку меньше погрешности самого прибора, физически бессмысленна.</w:t>
      </w:r>
    </w:p>
    <w:p>
      <w:pPr>
        <w:spacing w:before="120" w:after="120"/>
        <w:ind w:firstLine="709"/>
        <w:jc w:val="left"/>
      </w:pPr>
      <w:r>
        <w:rPr>
          <w:b/>
        </w:rPr>
        <w:t>1.2 Обзор фитнес-приложений с прогнозом</w:t>
      </w:r>
    </w:p>
    <w:p>
      <w:pPr>
        <w:jc w:val="both"/>
      </w:pPr>
      <w:r>
        <w:rPr>
          <w:b w:val="0"/>
        </w:rPr>
        <w:t>Концепция использования прогнозных моделей в потребительских фитнес-приложениях находится в активной фазе развития. Ниже приведён анализ наиболее заметных решений, реализующих в той или иной форме прогноз динамики веса и состава тела, и выделены их основные ограничения.</w:t>
      </w:r>
    </w:p>
    <w:p>
      <w:pPr>
        <w:ind w:firstLine="0"/>
        <w:jc w:val="both"/>
      </w:pPr>
      <w:r>
        <w:rPr>
          <w:b w:val="0"/>
        </w:rPr>
        <w:t>MacroFactor.</w:t>
      </w:r>
    </w:p>
    <w:p>
      <w:pPr>
        <w:jc w:val="both"/>
      </w:pPr>
      <w:r>
        <w:rPr>
          <w:b w:val="0"/>
        </w:rPr>
        <w:t>Приложение для отслеживания питания. Включает в себя адаптивный калькулятор калорий, который прогнозирует, как изменится вес пользователя при текущем дневном балансе. Однако MacroFactor ориентирован исключительно на вес и не учитывает тренировки; прогнозирует только weight_kg, не процент жира и не мышечную массу; не показывает пользователю доверительных интервалов.</w:t>
      </w:r>
    </w:p>
    <w:p>
      <w:pPr>
        <w:ind w:firstLine="0"/>
        <w:jc w:val="both"/>
      </w:pPr>
      <w:r>
        <w:rPr>
          <w:b w:val="0"/>
        </w:rPr>
        <w:t>Carbon Diet Coach.</w:t>
      </w:r>
    </w:p>
    <w:p>
      <w:pPr>
        <w:jc w:val="both"/>
      </w:pPr>
      <w:r>
        <w:rPr>
          <w:b w:val="0"/>
        </w:rPr>
        <w:t>Аналогичное приложение для тренеров и пользователей: адаптивная подстройка калорий и макроэлементов. Прогноз тоже только по весу, без интеграции с InBody.</w:t>
      </w:r>
    </w:p>
    <w:p>
      <w:pPr>
        <w:ind w:firstLine="0"/>
        <w:jc w:val="both"/>
      </w:pPr>
      <w:r>
        <w:rPr>
          <w:b w:val="0"/>
        </w:rPr>
        <w:t>Fitbod.</w:t>
      </w:r>
    </w:p>
    <w:p>
      <w:pPr>
        <w:jc w:val="both"/>
      </w:pPr>
      <w:r>
        <w:rPr>
          <w:b w:val="0"/>
        </w:rPr>
        <w:t>Уже упоминалось в работе соавтора — приложение для генерации тренировок. Показывает прогноз «силы» (predicted 1RM) по упражнениям, но не композиции тела целиком.</w:t>
      </w:r>
    </w:p>
    <w:p>
      <w:pPr>
        <w:ind w:firstLine="0"/>
        <w:jc w:val="both"/>
      </w:pPr>
      <w:r>
        <w:rPr>
          <w:b w:val="0"/>
        </w:rPr>
        <w:t>Apple Health и Google Fit.</w:t>
      </w:r>
    </w:p>
    <w:p>
      <w:pPr>
        <w:jc w:val="both"/>
      </w:pPr>
      <w:r>
        <w:rPr>
          <w:b w:val="0"/>
        </w:rPr>
        <w:t>Платформы агрегации данных о здоровье. Хранят историю замеров веса (в том числе из подключённых InBody-устройств), но не строят прогноза — ограничиваются простыми трендами скользящего среднего.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На рынке нет фитнес-приложения, которое бы одновременно: (1) использовало InBody-замеры как вход для прогнозной модели; (2) прогнозировало все три ключевых показателя (вес, процент жира, мышечную массу); (3) показывало пользователю доверительные интервалы; (4) использовало прогноз для автоматической адаптации плана тренировок. Именно эти возможности и реализованы в разрабатываемом приложении Fitness Tracker.</w:t>
      </w:r>
    </w:p>
    <w:p>
      <w:pPr>
        <w:spacing w:before="120" w:after="120"/>
        <w:ind w:firstLine="709"/>
        <w:jc w:val="left"/>
      </w:pPr>
      <w:r>
        <w:rPr>
          <w:b/>
        </w:rPr>
        <w:t>1.3 Подходы к прогнозу динамики веса и состава тела</w:t>
      </w:r>
    </w:p>
    <w:p>
      <w:pPr>
        <w:jc w:val="both"/>
      </w:pPr>
      <w:r>
        <w:rPr>
          <w:b w:val="0"/>
        </w:rPr>
        <w:t>С технической точки зрения прогноз изменения состава тела можно строить разными способами. Можно выделить четыре основных подхода.</w:t>
      </w:r>
    </w:p>
    <w:p>
      <w:pPr>
        <w:ind w:firstLine="0"/>
        <w:jc w:val="both"/>
      </w:pPr>
      <w:r>
        <w:rPr>
          <w:b w:val="0"/>
        </w:rPr>
        <w:t>Подход 1. Термодинамические модели.</w:t>
      </w:r>
    </w:p>
    <w:p>
      <w:pPr>
        <w:jc w:val="both"/>
      </w:pPr>
      <w:r>
        <w:rPr>
          <w:b w:val="0"/>
        </w:rPr>
        <w:t>Опираются на закон сохранения энергии: изменение веса пропорционально разнице между потреблёнными и потраченными калориями. Преимущество — интерпретируемость; недостаток — необходимость знать точные поступления и расход калорий, что в практике приложения невозможно (пользователь не ведёт учёт каждой съеденной булочки).</w:t>
      </w:r>
    </w:p>
    <w:p>
      <w:pPr>
        <w:ind w:firstLine="0"/>
        <w:jc w:val="both"/>
      </w:pPr>
      <w:r>
        <w:rPr>
          <w:b w:val="0"/>
        </w:rPr>
        <w:t>Подход 2. Простая линейная экстраполяция.</w:t>
      </w:r>
    </w:p>
    <w:p>
      <w:pPr>
        <w:jc w:val="both"/>
      </w:pPr>
      <w:r>
        <w:rPr>
          <w:b w:val="0"/>
        </w:rPr>
        <w:t>Самый примитивный способ: построить линию по историческим точкам InBody (например, методом наименьших квадратов) и продолжить её в будущее. Преимущество — простота. Недостаток — не учитывает тренировочную активность и индивидуальные параметры; устойчивость к выбросам низкая. Используется в нашем приложении как baseline для сравнения и как fallback при недоступности ML-модели.</w:t>
      </w:r>
    </w:p>
    <w:p>
      <w:pPr>
        <w:ind w:firstLine="0"/>
        <w:jc w:val="both"/>
      </w:pPr>
      <w:r>
        <w:rPr>
          <w:b w:val="0"/>
        </w:rPr>
        <w:t>Подход 3. Классические модели машинного обучения.</w:t>
      </w:r>
    </w:p>
    <w:p>
      <w:pPr>
        <w:jc w:val="both"/>
      </w:pPr>
      <w:r>
        <w:rPr>
          <w:b w:val="0"/>
        </w:rPr>
        <w:t>Ridge-регрессия, случайный лес, градиентный бустинг (XGBoost, LightGBM, CatBoost). Принимают на вход вектор признаков (демография, история InBody, тренировочная активность за последние недели) и выдают прогноз. Преимущества: разумный компромисс между сложностью и качеством; хорошо работают на ограниченных данных. Именно этот подход выбран в настоящей работе.</w:t>
      </w:r>
    </w:p>
    <w:p>
      <w:pPr>
        <w:ind w:firstLine="0"/>
        <w:jc w:val="both"/>
      </w:pPr>
      <w:r>
        <w:rPr>
          <w:b w:val="0"/>
        </w:rPr>
        <w:t>Подход 4. Глубокое обучение для временных рядов.</w:t>
      </w:r>
    </w:p>
    <w:p>
      <w:pPr>
        <w:jc w:val="both"/>
      </w:pPr>
      <w:r>
        <w:rPr>
          <w:b w:val="0"/>
        </w:rPr>
        <w:t>Рекуррентные сети (LSTM, GRU), Temporal Fusion Transformer, N-BEATS. Преимущества: способны улавливать сложные нелинейные зависимости и долгосрочные сезонные эффекты. Недостаток: для качественного обучения нужны десятки тысяч пользовательских траекторий, которых в нашем распоряжении пока нет. Этот подход рассматривается как направление дальнейшего развития (см. заключение).</w:t>
      </w:r>
    </w:p>
    <w:p>
      <w:pPr>
        <w:ind w:firstLine="0"/>
        <w:jc w:val="both"/>
      </w:pPr>
      <w:r>
        <w:rPr>
          <w:b w:val="0"/>
        </w:rPr>
        <w:t>Построение доверительных интервалов.</w:t>
      </w:r>
    </w:p>
    <w:p>
      <w:pPr>
        <w:jc w:val="both"/>
      </w:pPr>
      <w:r>
        <w:rPr>
          <w:b w:val="0"/>
        </w:rPr>
        <w:t>Отдельная задача — не просто выдать пользователю число «через 4 недели у вас будет 78,2 кг», а сообщить и интервал неопределённости (например, «с вероятностью 80% будет в диапазоне 76,7–79,7 кг»). Это важно, потому что прогноз с точностью до 100 грамм пользователь воспримет как обещание, а реальность всегда отличается. В нашей работе для построения интервалов используется метод квантильной регрессии: обучаются три отдельные модели LightGBM на квантилях 0,1, 0,5 и 0,9. Подробнее — в главе 3.</w:t>
      </w:r>
    </w:p>
    <w:p>
      <w:pPr>
        <w:spacing w:before="120" w:after="120"/>
        <w:ind w:firstLine="709"/>
        <w:jc w:val="left"/>
      </w:pPr>
      <w:r>
        <w:rPr>
          <w:b/>
        </w:rPr>
        <w:t>1.4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 настоящей работы.</w:t>
      </w:r>
    </w:p>
    <w:p>
      <w:pPr>
        <w:jc w:val="both"/>
      </w:pPr>
      <w:r>
        <w:rPr>
          <w:b w:val="0"/>
        </w:rPr>
        <w:t>Часть 1. Прогноз InBody.</w:t>
      </w:r>
    </w:p>
    <w:p>
      <w:pPr>
        <w:jc w:val="both"/>
      </w:pPr>
      <w:r>
        <w:rPr>
          <w:b w:val="0"/>
        </w:rPr>
        <w:t>Вход алгоритма: история InBody-замеров пользователя (минимум 1 точка), профиль (пол, возраст, рост, цель, уровень, частота тренировок), агрегаты тренировочной активности за последние недели (тоннаж, фактическая частота, средний RPE).</w:t>
      </w:r>
    </w:p>
    <w:p>
      <w:pPr>
        <w:jc w:val="both"/>
      </w:pPr>
      <w:r>
        <w:rPr>
          <w:b w:val="0"/>
        </w:rPr>
        <w:t>Выход алгоритма: для каждой из трёх целевых переменных (Δweight, Δbody_fat, Δmuscle_mass) и каждого из трёх горизонтов (+1, +2, +4 недели) — точечная оценка (медиана) и границы 80%-доверительного интервала (10-й и 90-й перцентили). Плюс короткая текстовая интерпретация для пользователя.</w:t>
      </w:r>
    </w:p>
    <w:p>
      <w:pPr>
        <w:jc w:val="both"/>
      </w:pPr>
      <w:r>
        <w:rPr>
          <w:b w:val="0"/>
        </w:rPr>
        <w:t>Часть 2. Автоматическая адаптация плана.</w:t>
      </w:r>
    </w:p>
    <w:p>
      <w:pPr>
        <w:jc w:val="both"/>
      </w:pPr>
      <w:r>
        <w:rPr>
          <w:b w:val="0"/>
        </w:rPr>
        <w:t>Сервис должен следить за следующими событиями: новый InBody-замер с заметным изменением веса; изменение цели в профиле; изменение частоты тренировок; окончание 4-недельного цикла; ручной запуск пользователем. При срабатывании любого из триггеров сервис либо автоматически перегенерирует план тренировок (через сервис генератора, см. работу Лазарева Е. Д.), либо показывает пользователю баннер «план устарел — обновить?».</w:t>
      </w:r>
    </w:p>
    <w:p>
      <w:pPr>
        <w:jc w:val="both"/>
      </w:pPr>
      <w:r>
        <w:rPr>
          <w:b w:val="0"/>
        </w:rPr>
        <w:t>Нефункциональные требования: inference прогноза ≤2 секунд; кэширование прогноза на 24 часа; все обучающие данные анонимизированы; результаты обучения воспроизводимы по фиксированному seed и хэшу входного файла.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AI-прогнозом InBody и адаптацией плана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АЛГОРИТМЫ ПРОГНОЗА И АДАПТАЦИИ ПЛАНА</w:t>
      </w:r>
    </w:p>
    <w:p>
      <w:pPr>
        <w:spacing w:before="120" w:after="120"/>
        <w:ind w:firstLine="709"/>
        <w:jc w:val="left"/>
      </w:pPr>
      <w:r>
        <w:rPr>
          <w:b/>
        </w:rPr>
        <w:t>3.1 Двухуровневая модель прогноза InBody</w:t>
      </w:r>
    </w:p>
    <w:p>
      <w:pPr>
        <w:jc w:val="both"/>
      </w:pPr>
      <w:r>
        <w:rPr>
          <w:b w:val="0"/>
        </w:rPr>
        <w:t>Разработанная модель прогноза имеет двухуровневую структуру. Первый уровень — простой baseline на основе ridge-регрессии. Второй уровень — основная модель LightGBM с квантильной регрессией. Идея в том, что оба уровня всегда работают параллельно, и при недоступности или некорректной работе основной модели всегда есть запасной вариант (baseline).</w:t>
      </w:r>
    </w:p>
    <w:p>
      <w:pPr>
        <w:jc w:val="both"/>
      </w:pPr>
      <w:r>
        <w:rPr>
          <w:b w:val="0"/>
        </w:rPr>
        <w:t>Ridge-baseline решает классическую задачу регрессии с L2-регуляризацией. Преимущество — простота (под капотом — обычное матричное вычисление по формуле β = (XᵀX + αI)⁻¹Xᵀy), интерпретируемость (коэффициенты можно посмотреть глазами), вычислительная дешевизна (одно умножение на матрицу при инференсе). Параметр регуляризации α подбирается через пятикратную кросс-валидацию.</w:t>
      </w:r>
    </w:p>
    <w:p>
      <w:pPr>
        <w:jc w:val="both"/>
      </w:pPr>
      <w:r>
        <w:rPr>
          <w:b w:val="0"/>
        </w:rPr>
        <w:t>Основная модель — LightGBM с целевой функцией квантильной регрессии (objective='quantile'). Преимущества над ridge-регрессией: способность улавливать нелинейные взаимодействия между признаками (например, эффект тренировок зависит от пола и возраста нелинейно); возможность построения квантильных оценок для доверительных интервалов; нативная поддержка категориальных признаков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модель получает на вход:</w:t>
      </w:r>
    </w:p>
    <w:p>
      <w:pPr>
        <w:pStyle w:val="ListBullet"/>
        <w:ind w:firstLine="0"/>
      </w:pPr>
      <w:r>
        <w:t>демография: пол, возраст, рост;</w:t>
      </w:r>
    </w:p>
    <w:p>
      <w:pPr>
        <w:pStyle w:val="ListBullet"/>
        <w:ind w:firstLine="0"/>
      </w:pPr>
      <w:r>
        <w:t>текущий InBody: масса, процент жира, мышечная масса, BMR;</w:t>
      </w:r>
    </w:p>
    <w:p>
      <w:pPr>
        <w:pStyle w:val="ListBullet"/>
        <w:ind w:firstLine="0"/>
      </w:pPr>
      <w:r>
        <w:t>тренировочная активность за прошедшую неделю: суммарный тоннаж (сумма веса × повторений по всем подходам), фактическая частота тренировок, средний RPE;</w:t>
      </w:r>
    </w:p>
    <w:p>
      <w:pPr>
        <w:pStyle w:val="ListBullet"/>
        <w:ind w:firstLine="0"/>
      </w:pPr>
      <w:r>
        <w:t>цель пользователя (похудение / набор массы / поддержание);</w:t>
      </w:r>
    </w:p>
    <w:p>
      <w:pPr>
        <w:pStyle w:val="ListBullet"/>
        <w:ind w:firstLine="0"/>
      </w:pPr>
      <w:r>
        <w:t>уровень подготовки (новичок / средний / продвинутый);</w:t>
      </w:r>
    </w:p>
    <w:p>
      <w:pPr>
        <w:pStyle w:val="ListBullet"/>
        <w:ind w:firstLine="0"/>
      </w:pPr>
      <w:r>
        <w:t>опциональный параметр calories_offset_kcal — используется в what-if режиме.</w:t>
      </w:r>
    </w:p>
    <w:p>
      <w:pPr>
        <w:jc w:val="both"/>
      </w:pPr>
      <w:r>
        <w:rPr>
          <w:b w:val="0"/>
        </w:rPr>
        <w:t>Цель модели — предсказать не абсолютное значение InBody через τ недель, а дельту Δy = y_{t+τ} − y_t. Это делается по двум причинам. Во-первых, дельты более универсальны: пользователь с весом 60 кг и пользователь с весом 100 кг могут терять одинаковое количество килограммов в неделю, и модель должна уметь это видеть. Во-вторых, дельты позволяют наложить физиологические ограничения (например, потеря веса не быстрее 1,5 кг/нед) на этапе пост-обработки без потери линейности модели.</w:t>
      </w:r>
    </w:p>
    <w:p>
      <w:pPr>
        <w:spacing w:before="120" w:after="120"/>
        <w:ind w:firstLine="709"/>
        <w:jc w:val="left"/>
      </w:pPr>
      <w:r>
        <w:rPr>
          <w:b/>
        </w:rPr>
        <w:t>3.2 Доверительные интервалы через квантильную регрессию</w:t>
      </w:r>
    </w:p>
    <w:p>
      <w:pPr>
        <w:jc w:val="both"/>
      </w:pPr>
      <w:r>
        <w:rPr>
          <w:b w:val="0"/>
        </w:rPr>
        <w:t>Большинство классических моделей регрессии выдают одно число — точечный прогноз. Чтобы получить из него доверительный интервал, обычно делают предположение о гауссовости остатков и считают интервал как y ± 1,28σ для 80%-CI. Это предположение часто не выполняется: реальное распределение ошибок прогноза веса асимметрично (потеря веса обычно идёт медленнее, чем набор), хвосты тяжелее гауссовых.</w:t>
      </w:r>
    </w:p>
    <w:p>
      <w:pPr>
        <w:jc w:val="both"/>
      </w:pPr>
      <w:r>
        <w:rPr>
          <w:b w:val="0"/>
        </w:rPr>
        <w:t>Квантильная регрессия решает эту проблему: вместо одной модели, выдающей среднее, обучается несколько моделей, выдающих заданные квантили. Если обучить модель на квантиле 0,5 — получится оценка медианы; на квантиле 0,1 — нижняя граница 80%-CI; на квантиле 0,9 — верхняя граница 80%-CI. Никаких предположений о распределении остатков делать не нужно.</w:t>
      </w:r>
    </w:p>
    <w:p>
      <w:pPr>
        <w:jc w:val="both"/>
      </w:pPr>
      <w:r>
        <w:rPr>
          <w:b w:val="0"/>
        </w:rPr>
        <w:t>Математически каждая модель минимизирует несимметричную функцию потерь — pinball loss:</w:t>
      </w:r>
    </w:p>
    <w:p>
      <w:pPr>
        <w:ind w:firstLine="0"/>
        <w:jc w:val="center"/>
      </w:pPr>
      <w:r>
        <w:rPr>
          <w:b w:val="0"/>
        </w:rPr>
        <w:t>L_τ(y, ŷ) = max(τ · (y − ŷ), (τ − 1) · (y − ŷ)),</w:t>
      </w:r>
    </w:p>
    <w:p>
      <w:pPr>
        <w:jc w:val="both"/>
      </w:pPr>
      <w:r>
        <w:rPr>
          <w:b w:val="0"/>
        </w:rPr>
        <w:t>где τ ∈ (0, 1) — целевой квантиль. При τ = 0,5 эта функция совпадает с MAE; при других τ — штрафует сильнее за отклонения в одну сторону. LightGBM поддерживает эту функцию потерь нативно через параметр objective='quantile' и alpha=τ.</w:t>
      </w:r>
    </w:p>
    <w:p>
      <w:pPr>
        <w:jc w:val="both"/>
      </w:pPr>
      <w:r>
        <w:rPr>
          <w:b w:val="0"/>
        </w:rPr>
        <w:t>Для каждой целевой переменной (Δweight, Δbody_fat, Δmuscle_mass) обучаются три отдельные модели (q10, q50, q90). Всего — 9 моделей на один горизонт. Поскольку модель тренируется отдельно на каждый горизонт (1, 2, 4 недели), общее число обучаемых моделей — 27. Объём артефактов — около 200 МБ.</w:t>
      </w:r>
    </w:p>
    <w:p>
      <w:pPr>
        <w:jc w:val="both"/>
      </w:pPr>
      <w:r>
        <w:rPr>
          <w:b w:val="0"/>
        </w:rPr>
        <w:t>На стадии инференса для пользователя строится JSON-ответ вида:</w:t>
      </w:r>
    </w:p>
    <w:p>
      <w:pPr>
        <w:ind w:firstLine="0"/>
      </w:pPr>
      <w:r>
        <w:rPr>
          <w:rFonts w:ascii="Courier New" w:hAnsi="Courier New"/>
          <w:sz w:val="22"/>
        </w:rPr>
        <w:t>{</w:t>
        <w:br/>
        <w:t xml:space="preserve">  "metrics": {</w:t>
        <w:br/>
        <w:t xml:space="preserve">    "weight_kg": [</w:t>
        <w:br/>
        <w:t xml:space="preserve">      {"horizon_weeks": 1, "point": 77.6,</w:t>
        <w:br/>
        <w:t xml:space="preserve">       "ci_low": 77.0, "ci_high": 78.2},</w:t>
        <w:br/>
        <w:t xml:space="preserve">      {"horizon_weeks": 2, "point": 77.0,</w:t>
        <w:br/>
        <w:t xml:space="preserve">       "ci_low": 76.0, "ci_high": 78.0},</w:t>
        <w:br/>
        <w:t xml:space="preserve">      {"horizon_weeks": 4, "point": 76.2,</w:t>
        <w:br/>
        <w:t xml:space="preserve">       "ci_low": 74.7, "ci_high": 77.7}</w:t>
        <w:br/>
        <w:t xml:space="preserve">    ],</w:t>
        <w:br/>
        <w:t xml:space="preserve">    "body_fat_percent": [...],</w:t>
        <w:br/>
        <w:t xml:space="preserve">    "muscle_mass_kg": [...]</w:t>
        <w:br/>
        <w:t xml:space="preserve">  },</w:t>
        <w:br/>
        <w:t xml:space="preserve">  "interpretation": "При текущем темпе вы потеряете около 1.2 кг за 4 недели..."</w:t>
        <w:br/>
        <w:t>}</w:t>
      </w:r>
    </w:p>
    <w:p>
      <w:pPr>
        <w:spacing w:before="120" w:after="120"/>
        <w:ind w:firstLine="709"/>
        <w:jc w:val="left"/>
      </w:pPr>
      <w:r>
        <w:rPr>
          <w:b/>
        </w:rPr>
        <w:t>3.3 Холодный старт для новых пользователей</w:t>
      </w:r>
    </w:p>
    <w:p>
      <w:pPr>
        <w:jc w:val="both"/>
      </w:pPr>
      <w:r>
        <w:rPr>
          <w:b w:val="0"/>
        </w:rPr>
        <w:t>Что делать, если у пользователя только один InBody-замер? Индивидуальный прогноз построить невозможно — нет истории, по которой можно было бы понять индивидуальный темп. Эта ситуация называется «холодным стартом» (cold start) и характерна для только что зарегистрировавшихся пользователей.</w:t>
      </w:r>
    </w:p>
    <w:p>
      <w:pPr>
        <w:jc w:val="both"/>
      </w:pPr>
      <w:r>
        <w:rPr>
          <w:b w:val="0"/>
        </w:rPr>
        <w:t>Решение — cross-user baseline. Идея: на этапе подготовки датасета мы сгруппировали обучающие траектории по «кластерам» пользователей (пол × возрастная группа × BMI-диапазон × цель). Для каждого такого кластера посчитали средние дельты по неделям. При холодном старте пользователю выдаётся прогноз = усреднённая дельта по его кластеру.</w:t>
      </w:r>
    </w:p>
    <w:p>
      <w:pPr>
        <w:jc w:val="both"/>
      </w:pPr>
      <w:r>
        <w:rPr>
          <w:b w:val="0"/>
        </w:rPr>
        <w:t>Этот прогноз помечается флагом confidence='low', и пользователю показывается баннер «прогноз станет точнее после ещё 2 замеров». По мере накопления истории (4 и более InBody-замеров) система автоматически переключается на индивидуализированную LightGBM-модель.</w:t>
      </w:r>
    </w:p>
    <w:p>
      <w:pPr>
        <w:spacing w:before="120" w:after="120"/>
        <w:ind w:firstLine="709"/>
        <w:jc w:val="left"/>
      </w:pPr>
      <w:r>
        <w:rPr>
          <w:b/>
        </w:rPr>
        <w:t>3.4 Watcher: автоматическая адаптация плана</w:t>
      </w:r>
    </w:p>
    <w:p>
      <w:pPr>
        <w:jc w:val="both"/>
      </w:pPr>
      <w:r>
        <w:rPr>
          <w:b w:val="0"/>
        </w:rPr>
        <w:t>Вторая часть работы — сервис автоматической адаптации плана тренировок. Реализован как набор обработчиков событий (watchers), которые запускаются при определённых сигналах от пользователя.</w:t>
      </w:r>
    </w:p>
    <w:p>
      <w:pPr>
        <w:jc w:val="both"/>
      </w:pPr>
      <w:r>
        <w:rPr>
          <w:b w:val="0"/>
        </w:rPr>
        <w:t>Триггеры адаптации:</w:t>
      </w:r>
    </w:p>
    <w:p>
      <w:pPr>
        <w:ind w:firstLine="0"/>
        <w:jc w:val="both"/>
      </w:pPr>
      <w:r>
        <w:rPr>
          <w:b w:val="0"/>
        </w:rPr>
        <w:t>1. Изменение веса (weight_change).</w:t>
      </w:r>
    </w:p>
    <w:p>
      <w:pPr>
        <w:jc w:val="both"/>
      </w:pPr>
      <w:r>
        <w:rPr>
          <w:b w:val="0"/>
        </w:rPr>
        <w:t>Срабатывает при поступлении нового InBody-замера, если |новый_вес − предыдущий_вес| &gt; 2 кг или относительное изменение &gt; 3% за &lt; 30 дней. Логика: если пользователь сдвинулся в весе значительно — текущий план явно не соответствует его новым параметрам.</w:t>
      </w:r>
    </w:p>
    <w:p>
      <w:pPr>
        <w:ind w:firstLine="0"/>
        <w:jc w:val="both"/>
      </w:pPr>
      <w:r>
        <w:rPr>
          <w:b w:val="0"/>
        </w:rPr>
        <w:t>2. Изменение цели (goal_change).</w:t>
      </w:r>
    </w:p>
    <w:p>
      <w:pPr>
        <w:jc w:val="both"/>
      </w:pPr>
      <w:r>
        <w:rPr>
          <w:b w:val="0"/>
        </w:rPr>
        <w:t>Срабатывает при изменении поля goal в профиле (например, переход с похудения на набор массы). Прежний план абсолютно неуместен.</w:t>
      </w:r>
    </w:p>
    <w:p>
      <w:pPr>
        <w:ind w:firstLine="0"/>
        <w:jc w:val="both"/>
      </w:pPr>
      <w:r>
        <w:rPr>
          <w:b w:val="0"/>
        </w:rPr>
        <w:t>3. Изменение частоты (frequency_change).</w:t>
      </w:r>
    </w:p>
    <w:p>
      <w:pPr>
        <w:jc w:val="both"/>
      </w:pPr>
      <w:r>
        <w:rPr>
          <w:b w:val="0"/>
        </w:rPr>
        <w:t>Срабатывает при изменении training_frequency. Например, переход с 3 раз в неделю на 5 требует перераспределения упражнений по дням.</w:t>
      </w:r>
    </w:p>
    <w:p>
      <w:pPr>
        <w:ind w:firstLine="0"/>
        <w:jc w:val="both"/>
      </w:pPr>
      <w:r>
        <w:rPr>
          <w:b w:val="0"/>
        </w:rPr>
        <w:t>4. Изменение оборудования (equipment_available).</w:t>
      </w:r>
    </w:p>
    <w:p>
      <w:pPr>
        <w:jc w:val="both"/>
      </w:pPr>
      <w:r>
        <w:rPr>
          <w:b w:val="0"/>
        </w:rPr>
        <w:t>Срабатывает при изменении набора доступного оборудования в профиле. Например, пользователь переехал и больше не может пользоваться штангой — все упражнения с этим оборудованием нужно заменить. В отличие от смены цели или частоты, для этого триггера в перечислении plan_rebuild_events.trigger отдельного значения не предусмотрено: смена оборудования просто поднимает флаг plan_rebuild_required, и пользователь видит баннер по тому же условию. Это сознательное упрощение — пользователь по баннеру всё равно увидит, что план устарел, а отдельный enum-trigger без отдельного сценария отдачи в UI добавил бы только сложность.</w:t>
      </w:r>
    </w:p>
    <w:p>
      <w:pPr>
        <w:ind w:firstLine="0"/>
        <w:jc w:val="both"/>
      </w:pPr>
      <w:r>
        <w:rPr>
          <w:b w:val="0"/>
        </w:rPr>
        <w:t>5. Окончание цикла (cycle_end).</w:t>
      </w:r>
    </w:p>
    <w:p>
      <w:pPr>
        <w:jc w:val="both"/>
      </w:pPr>
      <w:r>
        <w:rPr>
          <w:b w:val="0"/>
        </w:rPr>
        <w:t>Срабатывает ежедневным фоновым заданием, когда valid_until активного плана ≤ today. При этом автоматически архивируется старый план и генерируется новый с учётом данных прошедшего цикла. Поскольку триггер срабатывает без участия пользователя, событие сразу пишется со статусом auto_applied — баннеру в UI показываться не нужно.</w:t>
      </w:r>
    </w:p>
    <w:p>
      <w:pPr>
        <w:ind w:firstLine="0"/>
        <w:jc w:val="both"/>
      </w:pPr>
      <w:r>
        <w:rPr>
          <w:b w:val="0"/>
        </w:rPr>
        <w:t>6. Ручной запуск (manual).</w:t>
      </w:r>
    </w:p>
    <w:p>
      <w:pPr>
        <w:jc w:val="both"/>
      </w:pPr>
      <w:r>
        <w:rPr>
          <w:b w:val="0"/>
        </w:rPr>
        <w:t>Пользователь нажал «Сгенерировать заново» в меню плана.</w:t>
      </w:r>
    </w:p>
    <w:p>
      <w:pPr>
        <w:jc w:val="both"/>
      </w:pPr>
      <w:r>
        <w:rPr>
          <w:b w:val="0"/>
        </w:rPr>
        <w:t>При срабатывании любого триггера watcher создаёт запись в таблице plan_rebuild_events со статусом pending, выставляет флаг plan_rebuild_required = true в профиле пользователя, и пользователь видит на главном экране баннер с CTA «обновить план?». Если пользователь нажимает «обновить» — запускается сервис генерации (см. работу Лазарева Е. Д.), который перегенерирует план с учётом новых параметров и архивирует старый. Если пользователь игнорирует баннер 7 дней — перегенерация запускается автоматически фоновым заданием.</w:t>
      </w:r>
    </w:p>
    <w:p>
      <w:pPr>
        <w:jc w:val="both"/>
      </w:pPr>
      <w:r>
        <w:rPr>
          <w:b w:val="0"/>
        </w:rPr>
        <w:t>Дополнительное правило — debounce при повторных изменениях профиля. Если пользователь несколько раз за один день меняет цель или частоту, watcher не создаёт по событию на каждое изменение: при наличии уже-существующего pending-события с тем же триггером новое не пишется. Иначе аудит превращается в шум, а регенерация — в каскад, который никому не нужен.</w:t>
      </w:r>
    </w:p>
    <w:p>
      <w:pPr>
        <w:jc w:val="both"/>
      </w:pPr>
      <w:r>
        <w:rPr>
          <w:b w:val="0"/>
        </w:rPr>
        <w:t>Watcher работает синхронно, в рамках транзакции записи нового InBody или изменения профиля. Это гарантирует согласованность состояния: либо одновременно записан новый замер и создана запись о необходимости адаптации, либо ни одного из этих событий не произошло.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данных и синтез временных рядов</w:t>
      </w:r>
    </w:p>
    <w:p>
      <w:pPr>
        <w:jc w:val="both"/>
      </w:pPr>
      <w:r>
        <w:rPr>
          <w:b w:val="0"/>
        </w:rPr>
        <w:t>Чтобы обучить модель прогноза, нужны данные: временные ряды InBody-замеров вместе с тренировочной активностью пользователей. Открытых датасетов с такими данными в нужном объёме не существует, поэтому датасет собран из двух Kaggle-источников с применением синтеза:</w:t>
      </w:r>
    </w:p>
    <w:p>
      <w:pPr>
        <w:pStyle w:val="ListBullet"/>
        <w:ind w:firstLine="0"/>
      </w:pPr>
      <w:r>
        <w:t>S3 — valakhorasani/gym-members-exercise-dataset: профили посетителей зала (возраст, пол, BMI, частота, длительность тренировок, тип упражнений) — 973 строки после prevalence-фильтрации;</w:t>
      </w:r>
    </w:p>
    <w:p>
      <w:pPr>
        <w:pStyle w:val="ListBullet"/>
        <w:ind w:firstLine="0"/>
      </w:pPr>
      <w:r>
        <w:t>S4 — fedesoriano/body-fat-prediction-dataset: замеры тела (рост, вес, обхваты) с расчётом процента жира — 251 строка.</w:t>
      </w:r>
    </w:p>
    <w:p>
      <w:pPr>
        <w:jc w:val="both"/>
      </w:pPr>
      <w:r>
        <w:rPr>
          <w:b w:val="0"/>
        </w:rPr>
        <w:t>Главное ограничение: оба источника — кросс-секционные, то есть один человек = одна строка, без истории. Для обучения модели прогноза необходимы временные ряды. Решение — синтез траекторий: для каждого условного «пользователя» из S3 на основе его параметров и литературных данных о типичной динамике моделируется траектория на 4–8 недель.</w:t>
      </w:r>
    </w:p>
    <w:p>
      <w:pPr>
        <w:jc w:val="both"/>
      </w:pPr>
      <w:r>
        <w:rPr>
          <w:b w:val="0"/>
        </w:rPr>
        <w:t>Алгоритм синтеза реализован в ml/etl/synthesize_timeseries.py и работает так. Для каждого пользователя из S3 случайно выбирается цель (вес-лосс / масса / поддержание) с весами, соответствующими статистике в реальной популяции (60% / 25% / 15%). Затем на каждую неделю генерируется дельта веса = базовая_динамика(цель, профиль) + гауссов_шум(σ=0.3 кг). Дельта процента жира коррелирована с дельтой веса (при потере веса жир уходит быстрее мышц), дельта мышечной массы — наоборот. Получаемые траектории помечаются флагом is_synthetic=true для последующего корректного взвешивания в обучении.</w:t>
      </w:r>
    </w:p>
    <w:p>
      <w:pPr>
        <w:jc w:val="both"/>
      </w:pPr>
      <w:r>
        <w:rPr>
          <w:b w:val="0"/>
        </w:rPr>
        <w:t>Результат — файл dataset_b_inbody_timeseries.parquet: 9776 точек (пользователь × неделя) от 1222 анонимизированных пользователей. Разбит на train/val/test (70/15/15) с фиксированным seed=42, без пересечений по пользователям между выборками: 6843 / 1466 / 1467 точек соответственно. Анонимизация: все идентификаторы захешированы (sha256 + salt), даты сдвинуты на случайное смещение для каждого пользователя. SHA-256 итогового CSV фиксируется в manifest.json каждой обученной модели для контроля воспроизводимости.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моделей</w:t>
      </w:r>
    </w:p>
    <w:p>
      <w:pPr>
        <w:jc w:val="both"/>
      </w:pPr>
      <w:r>
        <w:rPr>
          <w:b w:val="0"/>
        </w:rPr>
        <w:t>Обучение реализовано в ml/training/inbody_timeseries/. Скрипт читает parquet-файл, выполняет train/val/test split по split-полю, и обучает следующий набор моделей:</w:t>
      </w:r>
    </w:p>
    <w:p>
      <w:pPr>
        <w:pStyle w:val="ListBullet"/>
        <w:ind w:firstLine="0"/>
      </w:pPr>
      <w:r>
        <w:t>Persistence: тривиальный baseline («следующая неделя = текущей»), нужен как контрольная точка — если ML-модель не бьёт его, фичи не несут полезного сигнала;</w:t>
      </w:r>
    </w:p>
    <w:p>
      <w:pPr>
        <w:pStyle w:val="ListBullet"/>
        <w:ind w:firstLine="0"/>
      </w:pPr>
      <w:r>
        <w:t>Ridge: линейный baseline, 3 модели (по одной на каждую целевую переменную), параметр α подбирается через RidgeCV;</w:t>
      </w:r>
    </w:p>
    <w:p>
      <w:pPr>
        <w:pStyle w:val="ListBullet"/>
        <w:ind w:firstLine="0"/>
      </w:pPr>
      <w:r>
        <w:t>LightGBM quantile: 9 бустеров (3 целевых × 3 квантиля q=0,1/0,5/0,9), one-step регрессия дельт; multi-horizon (1/2/4 недели) достигается рекурсивным применением одношаговой модели на инференсе;</w:t>
      </w:r>
    </w:p>
    <w:p>
      <w:pPr>
        <w:pStyle w:val="ListBullet"/>
        <w:ind w:firstLine="0"/>
      </w:pPr>
      <w:r>
        <w:t>MLP quantile (PyTorch): альтернативная архитектура — shared trunk 64→32 + per-target heads с δ-параметризацией квантилей (q10 = q50 − softplus(δ_lower); q90 = q50 + softplus(δ_upper)), что гарантирует упорядоченность q10 ≤ q50 ≤ q90 по построению. Pinball loss с маскированием NaN в muscle_mass_kg.</w:t>
      </w:r>
    </w:p>
    <w:p>
      <w:pPr>
        <w:jc w:val="both"/>
      </w:pPr>
      <w:r>
        <w:rPr>
          <w:b w:val="0"/>
        </w:rPr>
        <w:t>Гиперпараметры LightGBM: num_boost_round 500 с early_stopping_rounds 30 (фактическая остановка по валидационной выборке), learning_rate 0,05, num_leaves 15, min_data_in_leaf 20, feature_fraction 0,9, bagging_fraction 0,9, bagging_freq 5, random_state 42. Сочетание num_leaves=15 (≈глубина 4) и min_data_in_leaf=20 ограничивает выразительность модели в условиях небольшой выборки, а ранняя остановка на валидации предотвращает переобучение.</w:t>
      </w:r>
    </w:p>
    <w:p>
      <w:pPr>
        <w:jc w:val="both"/>
      </w:pPr>
      <w:r>
        <w:rPr>
          <w:b w:val="0"/>
        </w:rPr>
        <w:t>Гиперпараметры MLP: Adam, learning_rate 1e-3, weight_decay 1e-4, batch_size 256, max_epochs 200, early_stopping_patience 20 эпох по валидационному pinball loss, dropout 0,3, seed 42. Размер сети (64→32 в trunk, 16 в head) подобран под объём выборки — увеличение глубины приводит к переобучению.</w:t>
      </w:r>
    </w:p>
    <w:p>
      <w:pPr>
        <w:jc w:val="both"/>
      </w:pPr>
      <w:r>
        <w:rPr>
          <w:b w:val="0"/>
        </w:rPr>
        <w:t>Каждая модель сохраняется в отдельный joblib-файл в иерархическую структуру каталогов:</w:t>
      </w:r>
    </w:p>
    <w:p>
      <w:pPr>
        <w:ind w:firstLine="0"/>
      </w:pPr>
      <w:r>
        <w:rPr>
          <w:rFonts w:ascii="Courier New" w:hAnsi="Courier New"/>
          <w:sz w:val="22"/>
        </w:rPr>
        <w:t>ml/models/inbody_pred/</w:t>
        <w:br/>
        <w:t xml:space="preserve">  persistence/v0.1.0/manifest.json</w:t>
        <w:br/>
        <w:t xml:space="preserve">  ridge/v0.1.0/</w:t>
        <w:br/>
        <w:t xml:space="preserve">    delta_weight_kg.joblib</w:t>
        <w:br/>
        <w:t xml:space="preserve">    delta_body_fat_percent.joblib</w:t>
        <w:br/>
        <w:t xml:space="preserve">    delta_muscle_mass_kg.joblib</w:t>
        <w:br/>
        <w:t xml:space="preserve">    manifest.json</w:t>
        <w:br/>
        <w:t xml:space="preserve">  lgbm/v0.1.0/</w:t>
        <w:br/>
        <w:t xml:space="preserve">    delta_weight_kg_q10.joblib</w:t>
        <w:br/>
        <w:t xml:space="preserve">    delta_weight_kg_q50.joblib</w:t>
        <w:br/>
        <w:t xml:space="preserve">    delta_weight_kg_q90.joblib</w:t>
        <w:br/>
        <w:t xml:space="preserve">    ... (9 бустеров: 3 target × 3 quantile)</w:t>
        <w:br/>
        <w:t xml:space="preserve">    manifest.json</w:t>
        <w:br/>
        <w:t xml:space="preserve">  mlp/v0.1.0/manifest.json</w:t>
      </w:r>
    </w:p>
    <w:p>
      <w:pPr>
        <w:jc w:val="both"/>
      </w:pPr>
      <w:r>
        <w:rPr>
          <w:b w:val="0"/>
        </w:rPr>
        <w:t>Файл manifest.json в каждом каталоге версии содержит мета-информацию: версии scikit-learn / LightGBM / PyTorch, seed, SHA-256 входного файла датасета, дата обучения, гиперпараметры и итоговые метрики качества на тесте. Этого достаточно для воспроизведения обучения с теми же результатами.</w:t>
      </w:r>
    </w:p>
    <w:p>
      <w:pPr>
        <w:spacing w:before="120" w:after="120"/>
        <w:ind w:firstLine="709"/>
        <w:jc w:val="left"/>
      </w:pPr>
      <w:r>
        <w:rPr>
          <w:b/>
        </w:rPr>
        <w:t>4.3 Парсер PDF-отчётов InBody</w:t>
      </w:r>
    </w:p>
    <w:p>
      <w:pPr>
        <w:jc w:val="both"/>
      </w:pPr>
      <w:r>
        <w:rPr>
          <w:b w:val="0"/>
        </w:rPr>
        <w:t>Парсер PDF-отчётов InBody — отдельная небольшая подсистема, реализованная в src/app/domain/inbody_pdf_parser.py. Назначение: пользователь загружает PDF-отчёт из своего фитнес-клуба, парсер автоматически извлекает из него ключевые показатели (вес, процент жира, мышечную массу, BMR) и предлагает пользователю сохранить их как новый замер.</w:t>
      </w:r>
    </w:p>
    <w:p>
      <w:pPr>
        <w:jc w:val="both"/>
      </w:pPr>
      <w:r>
        <w:rPr>
          <w:b w:val="0"/>
        </w:rPr>
        <w:t>Парсер работает через библиотеку pdfplumber, которая извлекает из PDF не просто текст, а текст с координатами на странице. Это важно, потому что InBody-отчёты — это документы со сложной графической вёрсткой: значения часто находятся рядом со своими подписями, а не строго после них.</w:t>
      </w:r>
    </w:p>
    <w:p>
      <w:pPr>
        <w:jc w:val="both"/>
      </w:pPr>
      <w:r>
        <w:rPr>
          <w:b w:val="0"/>
        </w:rPr>
        <w:t>Алгоритм парсера:</w:t>
      </w:r>
    </w:p>
    <w:p>
      <w:pPr>
        <w:pStyle w:val="ListNumber"/>
        <w:ind w:firstLine="0"/>
      </w:pPr>
      <w:r>
        <w:t>Извлечь весь текст с координатами через pdfplumber.</w:t>
      </w:r>
    </w:p>
    <w:p>
      <w:pPr>
        <w:pStyle w:val="ListNumber"/>
        <w:ind w:firstLine="0"/>
      </w:pPr>
      <w:r>
        <w:t>Найти на странице характерные метки: «Вес», «Weight», «Процент жира», «PBF», «Мышечная масса», «SMM», «BMR».</w:t>
      </w:r>
    </w:p>
    <w:p>
      <w:pPr>
        <w:pStyle w:val="ListNumber"/>
        <w:ind w:firstLine="0"/>
      </w:pPr>
      <w:r>
        <w:t>Для каждой найденной метки найти ближайшее по координатам числовое значение.</w:t>
      </w:r>
    </w:p>
    <w:p>
      <w:pPr>
        <w:pStyle w:val="ListNumber"/>
        <w:ind w:firstLine="0"/>
      </w:pPr>
      <w:r>
        <w:t>Проверить значения на физиологические границы: вес ∈ [30, 250] кг, процент жира ∈ [2, 65], мышечная масса ∈ [10, 100] кг.</w:t>
      </w:r>
    </w:p>
    <w:p>
      <w:pPr>
        <w:pStyle w:val="ListNumber"/>
        <w:ind w:firstLine="0"/>
      </w:pPr>
      <w:r>
        <w:t>Вернуть структурированный результат + список найденных проблем (отсутствует поле, значение вне границ, неоднозначное чтение).</w:t>
      </w:r>
    </w:p>
    <w:p>
      <w:pPr>
        <w:jc w:val="both"/>
      </w:pPr>
      <w:r>
        <w:rPr>
          <w:b w:val="0"/>
        </w:rPr>
        <w:t>Если все поля распознаны успешно — пользователь видит экран подтверждения с распознанными значениями и кнопкой «Сохранить». Если есть проблемы — поля, помеченные как сомнительные, подсвечиваются жёлтым, и пользователь может вручную исправить значение перед сохранением.</w:t>
      </w:r>
    </w:p>
    <w:p>
      <w:pPr>
        <w:jc w:val="both"/>
      </w:pPr>
      <w:r>
        <w:rPr>
          <w:b w:val="0"/>
        </w:rPr>
        <w:t>На текущий момент парсер протестирован на PDF-отчётах InBody 270 (стандартный одностраничный отчёт) и работает на них с точностью около 95%. Поддержка InBody 770 и других моделей запланирована.</w:t>
      </w:r>
    </w:p>
    <w:p>
      <w:pPr>
        <w:spacing w:before="120" w:after="120"/>
        <w:ind w:firstLine="709"/>
        <w:jc w:val="left"/>
      </w:pPr>
      <w:r>
        <w:rPr>
          <w:b/>
        </w:rPr>
        <w:t>4.4 REST-сервис прогноза</w:t>
      </w:r>
    </w:p>
    <w:p>
      <w:pPr>
        <w:jc w:val="both"/>
      </w:pPr>
      <w:r>
        <w:rPr>
          <w:b w:val="0"/>
        </w:rPr>
        <w:t>Сервис прогноза реализован как REST-эндпоинт:</w:t>
      </w:r>
    </w:p>
    <w:p>
      <w:pPr>
        <w:ind w:firstLine="0"/>
      </w:pPr>
      <w:r>
        <w:rPr>
          <w:rFonts w:ascii="Courier New" w:hAnsi="Courier New"/>
          <w:sz w:val="22"/>
        </w:rPr>
        <w:t>GET /api/v1/forecast/inbody?horizons=1,2,4</w:t>
      </w:r>
    </w:p>
    <w:p>
      <w:pPr>
        <w:jc w:val="both"/>
      </w:pPr>
      <w:r>
        <w:rPr>
          <w:b w:val="0"/>
        </w:rPr>
        <w:t>Внутри обработчика выполняется следующее:</w:t>
      </w:r>
    </w:p>
    <w:p>
      <w:pPr>
        <w:pStyle w:val="ListNumber"/>
        <w:ind w:firstLine="0"/>
      </w:pPr>
      <w:r>
        <w:t>Извлечь пользователя из JWT-токена.</w:t>
      </w:r>
    </w:p>
    <w:p>
      <w:pPr>
        <w:pStyle w:val="ListNumber"/>
        <w:ind w:firstLine="0"/>
      </w:pPr>
      <w:r>
        <w:t>Из БД прочитать историю InBody-замеров пользователя (последние ~12 точек).</w:t>
      </w:r>
    </w:p>
    <w:p>
      <w:pPr>
        <w:pStyle w:val="ListNumber"/>
        <w:ind w:firstLine="0"/>
      </w:pPr>
      <w:r>
        <w:t>Если замеров &lt; 4 — переключиться на cold-start baseline (см. главу 3).</w:t>
      </w:r>
    </w:p>
    <w:p>
      <w:pPr>
        <w:pStyle w:val="ListNumber"/>
        <w:ind w:firstLine="0"/>
      </w:pPr>
      <w:r>
        <w:t>Из БД прочитать историю тренировок за последние 8 недель и посчитать агрегаты (тоннаж, фактическая частота, средний RPE) по неделям.</w:t>
      </w:r>
    </w:p>
    <w:p>
      <w:pPr>
        <w:pStyle w:val="ListNumber"/>
        <w:ind w:firstLine="0"/>
      </w:pPr>
      <w:r>
        <w:t>Сформировать признаковый вектор пользователя на момент t.</w:t>
      </w:r>
    </w:p>
    <w:p>
      <w:pPr>
        <w:pStyle w:val="ListNumber"/>
        <w:ind w:firstLine="0"/>
      </w:pPr>
      <w:r>
        <w:t>Для каждого запрошенного горизонта τ и каждой целевой переменной выполнить инференс трёх моделей (q10, q50, q90).</w:t>
      </w:r>
    </w:p>
    <w:p>
      <w:pPr>
        <w:pStyle w:val="ListNumber"/>
        <w:ind w:firstLine="0"/>
      </w:pPr>
      <w:r>
        <w:t>Применить пост-обработку: ограничить физиологические границы (например, потеря веса не быстрее 1,5 кг/нед).</w:t>
      </w:r>
    </w:p>
    <w:p>
      <w:pPr>
        <w:pStyle w:val="ListNumber"/>
        <w:ind w:firstLine="0"/>
      </w:pPr>
      <w:r>
        <w:t>Сгенерировать короткую текстовую интерпретацию правилами вида «при текущем темпе вы потеряете около X кг за Y недель».</w:t>
      </w:r>
    </w:p>
    <w:p>
      <w:pPr>
        <w:pStyle w:val="ListNumber"/>
        <w:ind w:firstLine="0"/>
      </w:pPr>
      <w:r>
        <w:t>Записать прогноз в таблицу inbody_forecasts для последующего сравнения с фактом.</w:t>
      </w:r>
    </w:p>
    <w:p>
      <w:pPr>
        <w:pStyle w:val="ListNumber"/>
        <w:ind w:firstLine="0"/>
      </w:pPr>
      <w:r>
        <w:t>Вернуть JSON-ответ.</w:t>
      </w:r>
    </w:p>
    <w:p>
      <w:pPr>
        <w:jc w:val="both"/>
      </w:pPr>
      <w:r>
        <w:rPr>
          <w:b w:val="0"/>
        </w:rPr>
        <w:t>Результат прогноза кэшируется на 24 часа в Redis (если он будет добавлен в инфраструктуру; пока кэширование делается на уровне in-memory lru_cache). Это разумно: InBody-замеры приходят редко, пересчитывать прогноз на каждый запрос — лишняя нагрузка.</w:t>
      </w:r>
    </w:p>
    <w:p>
      <w:pPr>
        <w:jc w:val="both"/>
      </w:pPr>
      <w:r>
        <w:rPr>
          <w:b w:val="0"/>
        </w:rPr>
        <w:t>Дополнительно есть эндпоинт what-if-прогноза:</w:t>
      </w:r>
    </w:p>
    <w:p>
      <w:pPr>
        <w:ind w:firstLine="0"/>
      </w:pPr>
      <w:r>
        <w:rPr>
          <w:rFonts w:ascii="Courier New" w:hAnsi="Courier New"/>
          <w:sz w:val="22"/>
        </w:rPr>
        <w:t>POST /api/v1/forecast/inbody/what-if</w:t>
        <w:br/>
        <w:t>Body:</w:t>
        <w:br/>
        <w:t>{</w:t>
        <w:br/>
        <w:t xml:space="preserve">  "horizons": [1, 2, 4],</w:t>
        <w:br/>
        <w:t xml:space="preserve">  "override": {</w:t>
        <w:br/>
        <w:t xml:space="preserve">    "training_frequency": 5,</w:t>
        <w:br/>
        <w:t xml:space="preserve">    "calories_offset_kcal": -200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Используется для сценария «что будет, если я начну тренироваться чаще или съедать на 200 ккал меньше». Возвращает альтернативный прогноз без сохранения в БД и без замены текущего прогноза.</w:t>
      </w:r>
    </w:p>
    <w:p>
      <w:pPr>
        <w:spacing w:before="120" w:after="120"/>
        <w:ind w:firstLine="709"/>
        <w:jc w:val="left"/>
      </w:pPr>
      <w:r>
        <w:rPr>
          <w:b/>
        </w:rPr>
        <w:t>4.5 Watcher-сервис адаптации плана</w:t>
      </w:r>
    </w:p>
    <w:p>
      <w:pPr>
        <w:jc w:val="both"/>
      </w:pPr>
      <w:r>
        <w:rPr>
          <w:b w:val="0"/>
        </w:rPr>
        <w:t>Watcher-сервис реализован как набор обработчиков событий, подключаемых к основным эндпоинтам приложения. Триггеры, описанные в главе 3, реализованы следующим образом.</w:t>
      </w:r>
    </w:p>
    <w:p>
      <w:pPr>
        <w:jc w:val="both"/>
      </w:pPr>
      <w:r>
        <w:rPr>
          <w:b w:val="0"/>
        </w:rPr>
        <w:t>Реакция на изменение веса:</w:t>
      </w:r>
    </w:p>
    <w:p>
      <w:pPr>
        <w:ind w:firstLine="0"/>
      </w:pPr>
      <w:r>
        <w:rPr>
          <w:rFonts w:ascii="Courier New" w:hAnsi="Courier New"/>
          <w:sz w:val="22"/>
        </w:rPr>
        <w:t>@app.post('/api/v1/inbody')</w:t>
        <w:br/>
        <w:t>async def add_inbody(data: InBodyIn, user=Depends(current_user)):</w:t>
        <w:br/>
        <w:t xml:space="preserve">    async with begin_transaction() as tx:</w:t>
        <w:br/>
        <w:t xml:space="preserve">        new_measurement = await save_inbody(data, user, tx)</w:t>
        <w:br/>
        <w:t xml:space="preserve">        await maybe_trigger_weight_change(</w:t>
        <w:br/>
        <w:t xml:space="preserve">            user, new_measurement, tx)</w:t>
        <w:br/>
        <w:t xml:space="preserve">        return new_measurement</w:t>
      </w:r>
    </w:p>
    <w:p>
      <w:pPr>
        <w:jc w:val="both"/>
      </w:pPr>
      <w:r>
        <w:rPr>
          <w:b w:val="0"/>
        </w:rPr>
        <w:t>Функция maybe_trigger_weight_change проверяет, превысила ли дельта веса порог (2 кг или 3% за &lt;30 дней), и при необходимости создаёт запись в plan_rebuild_events.</w:t>
      </w:r>
    </w:p>
    <w:p>
      <w:pPr>
        <w:jc w:val="both"/>
      </w:pPr>
      <w:r>
        <w:rPr>
          <w:b w:val="0"/>
        </w:rPr>
        <w:t>Реакция на изменение профиля:</w:t>
      </w:r>
    </w:p>
    <w:p>
      <w:pPr>
        <w:ind w:firstLine="0"/>
      </w:pPr>
      <w:r>
        <w:rPr>
          <w:rFonts w:ascii="Courier New" w:hAnsi="Courier New"/>
          <w:sz w:val="22"/>
        </w:rPr>
        <w:t>@app.patch('/api/v1/profile')</w:t>
        <w:br/>
        <w:t>async def update_profile(data: ProfileIn, user=...):</w:t>
        <w:br/>
        <w:t xml:space="preserve">    async with begin_transaction() as tx:</w:t>
        <w:br/>
        <w:t xml:space="preserve">        changed = apply_changes(profile, data)</w:t>
        <w:br/>
        <w:t xml:space="preserve">        if changed &amp; PLAN_INVALIDATING_FIELDS:</w:t>
        <w:br/>
        <w:t xml:space="preserve">            await record_profile_change_events(</w:t>
        <w:br/>
        <w:t xml:space="preserve">                tx, user_id, changed)</w:t>
        <w:br/>
        <w:t xml:space="preserve">        return profile</w:t>
      </w:r>
    </w:p>
    <w:p>
      <w:pPr>
        <w:jc w:val="both"/>
      </w:pPr>
      <w:r>
        <w:rPr>
          <w:b w:val="0"/>
        </w:rPr>
        <w:t>Функция record_profile_change_events маппит изменившиеся поля на trigger plan_rebuild_events: goal → goal_change, training_frequency → frequency_change. Для каждого триггера, прежде чем записать новое pending-событие, проверяется, нет ли уже существующего pending-события с тем же триггером у того же пользователя; если есть — пропускаем (debounce из §10). Для equipment_available, как уже отмечалось, отдельного триггера в enum нет — достаточно флага plan_rebuild_required.</w:t>
      </w:r>
    </w:p>
    <w:p>
      <w:pPr>
        <w:jc w:val="both"/>
      </w:pPr>
      <w:r>
        <w:rPr>
          <w:b w:val="0"/>
        </w:rPr>
        <w:t>Окончание 4-недельного цикла и принудительная регенерация через 7 дней реализованы в одной функции, поскольку обе обращаются к одной и той же операции (generate_plan) и должны быть устойчивы к отказам отдельных пользователей. Cron вызывает POST /api/v1/internal/adaptation/check-cycles раз в сутки:</w:t>
      </w:r>
    </w:p>
    <w:p>
      <w:pPr>
        <w:ind w:firstLine="0"/>
      </w:pPr>
      <w:r>
        <w:rPr>
          <w:rFonts w:ascii="Courier New" w:hAnsi="Courier New"/>
          <w:sz w:val="22"/>
        </w:rPr>
        <w:t>async def run_background_check(session):</w:t>
        <w:br/>
        <w:t xml:space="preserve">    today = date.today()</w:t>
        <w:br/>
        <w:t xml:space="preserve">    threshold = now - timedelta(days=7)</w:t>
        <w:br/>
        <w:t xml:space="preserve">    # 1. Просроченные планы (REQ-03).</w:t>
        <w:br/>
        <w:t xml:space="preserve">    cycle_users = await find_users_with_expired_plan(</w:t>
        <w:br/>
        <w:t xml:space="preserve">        session, today)</w:t>
        <w:br/>
        <w:t xml:space="preserve">    # 2. Pending-события старше 7 дней (REQ-04).</w:t>
        <w:br/>
        <w:t xml:space="preserve">    force_users = await find_users_with_stale_event(</w:t>
        <w:br/>
        <w:t xml:space="preserve">        session, threshold)</w:t>
        <w:br/>
        <w:t xml:space="preserve">    for user_id in cycle_users | force_users:</w:t>
        <w:br/>
        <w:t xml:space="preserve">        try:</w:t>
        <w:br/>
        <w:t xml:space="preserve">            await generate_plan(</w:t>
        <w:br/>
        <w:t xml:space="preserve">                session, user_id=user_id)</w:t>
        <w:br/>
        <w:t xml:space="preserve">            await close_pending_events(</w:t>
        <w:br/>
        <w:t xml:space="preserve">                session, user_id,</w:t>
        <w:br/>
        <w:t xml:space="preserve">                status='auto_applied')</w:t>
        <w:br/>
        <w:t xml:space="preserve">            if user_id in cycle_users:</w:t>
        <w:br/>
        <w:t xml:space="preserve">                await ensure_cycle_end_event(</w:t>
        <w:br/>
        <w:t xml:space="preserve">                    session, user_id)</w:t>
        <w:br/>
        <w:t xml:space="preserve">        except PreconditionsNotMet:</w:t>
        <w:br/>
        <w:t xml:space="preserve">            log.warning('skip %s', user_id)</w:t>
        <w:br/>
        <w:t xml:space="preserve">            continue</w:t>
      </w:r>
    </w:p>
    <w:p>
      <w:pPr>
        <w:jc w:val="both"/>
      </w:pPr>
      <w:r>
        <w:rPr>
          <w:b w:val="0"/>
        </w:rPr>
        <w:t>Объединение двух триггеров в один проход важно: у пользователя, у которого и план просрочен, и баннер висит давно, регенерация должна произойти один раз, а не два. Объединение по set'у пользователей исключает дубли. Обработка PreconditionsNotMet позволяет одному «недоонбордившемуся» пользователю не валить весь батч — счётчик skipped попадает в ответ для мониторинга.</w:t>
      </w:r>
    </w:p>
    <w:p>
      <w:pPr>
        <w:jc w:val="both"/>
      </w:pPr>
      <w:r>
        <w:rPr>
          <w:b w:val="0"/>
        </w:rPr>
        <w:t>На клиенте при наличии записи в plan_rebuild_events со статусом pending показывается баннер с соответствующим текстом и кнопкой обновления. Эндпоинт POST /api/v1/plans/rebuild — это обёртка над сервисом генерации, которая ставит триггеру статус user_confirmed.</w:t>
      </w:r>
    </w:p>
    <w:p>
      <w:pPr>
        <w:spacing w:before="120" w:after="120"/>
        <w:ind w:firstLine="709"/>
        <w:jc w:val="left"/>
      </w:pPr>
      <w:r>
        <w:rPr>
          <w:b/>
        </w:rPr>
        <w:t>4.6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прогнозом и адаптацией связаны несколько экранов.</w:t>
      </w:r>
    </w:p>
    <w:p>
      <w:pPr>
        <w:jc w:val="both"/>
      </w:pPr>
      <w:r>
        <w:rPr>
          <w:b w:val="0"/>
        </w:rPr>
        <w:t>Экран «Прогноз» — три карточки метрик (вес, процент жира, мышечная масса). Каждая карточка показывает значение на +1, +2, +4 недели со стрелкой тренда. Ниже — общий график: историческая линия (сплошная) + прогнозная линия (пунктирная) с лентой 80%-доверительного интервала. Цвет ленты зависит от уровня confidence: синий — high, жёлтый — medium, серый — low. Под графиком — короткий текст-интерпретация.</w:t>
      </w:r>
    </w:p>
    <w:p>
      <w:pPr>
        <w:jc w:val="both"/>
      </w:pPr>
      <w:r>
        <w:rPr>
          <w:b w:val="0"/>
        </w:rPr>
        <w:t>Экран сравнения прогноз vs факт. Когда пользователь добавляет новый InBody-замер, в его карточке автоматически показывается сравнение с предыдущим прогнозом: «было предсказано 77,2 ± 1,5 кг, факт 76,8 кг — ✓ попал в интервал». Это важная функция: пользователь видит, что приложение не врёт, и доверие к прогнозу растёт.</w:t>
      </w:r>
    </w:p>
    <w:p>
      <w:pPr>
        <w:jc w:val="both"/>
      </w:pPr>
      <w:r>
        <w:rPr>
          <w:b w:val="0"/>
        </w:rPr>
        <w:t>Баннер адаптации на главном экране. Активируется при наличии записи в plan_rebuild_events со статусом pending. Текст баннера зависит от триггера: «Заметное изменение веса — план тренировок требует обновления», «Вы изменили цель — пересоберём план?», «План тренировок завершён — пора собрать новый цикл». Кнопки «Обновить» и «Позже».</w:t>
      </w:r>
    </w:p>
    <w:p>
      <w:pPr>
        <w:jc w:val="both"/>
      </w:pPr>
      <w:r>
        <w:rPr>
          <w:b w:val="0"/>
        </w:rPr>
        <w:t>Все эти экраны покрыты Flutter integration tests с мокированием HTTP-запросов. На бэкенде эндпоинты прогноза и адаптации покрыты pytest-тестами, проверяющими корректные ответы на типовые входы (есть история / нет истории / разные горизонты / разные триггеры).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модели проведён вычислительный эксперимент. Сравнивались четыре подхода: persistence baseline (тривиальный прогноз y_{t+1} = y_t, то есть «всё останется как есть» — нижняя граница качества), Ridge-регрессия (линейная модель с L2-регуляризацией на полном наборе признаков), LightGBM с квантильной регрессией (градиентный бустинг с целевой функцией quantile, alpha ∈ {0,1; 0,5; 0,9}) и MLP с квантильной регрессией (нейросетевая архитектура на PyTorch — shared trunk 64→32 + per-target heads с δ-параметризацией для предотвращения quantile-crossing).</w:t>
      </w:r>
    </w:p>
    <w:p>
      <w:pPr>
        <w:jc w:val="both"/>
      </w:pPr>
      <w:r>
        <w:rPr>
          <w:b w:val="0"/>
        </w:rPr>
        <w:t>Все модели обучались на одной обучающей выборке (70% датасета, 6843 точки «пользователь × неделя»), валидировались на val-сплите (15%, 1466 точек) и тестировались на test-сплите (15%, 1467 точек). Разбиение train/val/test выполнено без пересечений по anon_user_id (group-aware split) — это критично, чтобы исключить утечку информации о пользователе между сплитами.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MAE (Mean Absolute Error) — средняя абсолютная ошибка точечной оценки (медианной q50);</w:t>
      </w:r>
    </w:p>
    <w:p>
      <w:pPr>
        <w:pStyle w:val="ListBullet"/>
        <w:ind w:firstLine="0"/>
      </w:pPr>
      <w:r>
        <w:t>RMSE (Root Mean Squared Error) — корень из среднеквадратичной ошибки; чувствительнее к выбросам, чем MAE;</w:t>
      </w:r>
    </w:p>
    <w:p>
      <w:pPr>
        <w:pStyle w:val="ListBullet"/>
        <w:ind w:firstLine="0"/>
      </w:pPr>
      <w:r>
        <w:t>R² (коэффициент детерминации) — доля дисперсии целевой переменной, объяснённая моделью; 1,0 — идеал, 0 — модель не лучше выдачи среднего;</w:t>
      </w:r>
    </w:p>
    <w:p>
      <w:pPr>
        <w:pStyle w:val="ListBullet"/>
        <w:ind w:firstLine="0"/>
      </w:pPr>
      <w:r>
        <w:t>Coverage 80%-CI — доля случаев, когда фактическое значение попало в построенный 80%-доверительный интервал; калибровка считается адекватной при coverage в диапазоне 0,75–0,85.</w:t>
      </w:r>
    </w:p>
    <w:p>
      <w:pPr>
        <w:jc w:val="both"/>
      </w:pPr>
      <w:r>
        <w:rPr>
          <w:b w:val="0"/>
        </w:rPr>
        <w:t>Эксперимент проводился на MacBook Pro с процессором Apple M-серии, 16 ГБ RAM, Python 3.13, PyTorch 2.12 (устройство MPS), LightGBM 4.6, scikit-learn 1.8. Все запуски детерминированы (seed=42).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 прогноза</w:t>
      </w:r>
    </w:p>
    <w:p>
      <w:pPr>
        <w:jc w:val="both"/>
      </w:pPr>
      <w:r>
        <w:rPr>
          <w:b w:val="0"/>
        </w:rPr>
        <w:t>Результаты прогона четырёх моделей по точечной оценке Δweight (изменение веса за неделю) приведены в таблице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MAE, кг</w:t>
            </w:r>
          </w:p>
        </w:tc>
        <w:tc>
          <w:tcPr>
            <w:tcW w:type="dxa" w:w="1881"/>
          </w:tcPr>
          <w:p>
            <w:r>
              <w:t>RMSE, кг</w:t>
            </w:r>
          </w:p>
        </w:tc>
        <w:tc>
          <w:tcPr>
            <w:tcW w:type="dxa" w:w="1881"/>
          </w:tcPr>
          <w:p>
            <w:r>
              <w:t>R²</w:t>
            </w:r>
          </w:p>
        </w:tc>
        <w:tc>
          <w:tcPr>
            <w:tcW w:type="dxa" w:w="1881"/>
          </w:tcPr>
          <w:p>
            <w:r>
              <w:t>Δ относ. baseline</w:t>
            </w:r>
          </w:p>
        </w:tc>
      </w:tr>
      <w:tr>
        <w:tc>
          <w:tcPr>
            <w:tcW w:type="dxa" w:w="1881"/>
          </w:tcPr>
          <w:p>
            <w:r>
              <w:t>Persistence baseline</w:t>
            </w:r>
          </w:p>
        </w:tc>
        <w:tc>
          <w:tcPr>
            <w:tcW w:type="dxa" w:w="1881"/>
          </w:tcPr>
          <w:p>
            <w:r>
              <w:t>0,325</w:t>
            </w:r>
          </w:p>
        </w:tc>
        <w:tc>
          <w:tcPr>
            <w:tcW w:type="dxa" w:w="1881"/>
          </w:tcPr>
          <w:p>
            <w:r>
              <w:t>0,399</w:t>
            </w:r>
          </w:p>
        </w:tc>
        <w:tc>
          <w:tcPr>
            <w:tcW w:type="dxa" w:w="1881"/>
          </w:tcPr>
          <w:p>
            <w:r>
              <w:t>−0,13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c>
          <w:tcPr>
            <w:tcW w:type="dxa" w:w="1881"/>
          </w:tcPr>
          <w:p>
            <w:r>
              <w:t>Ridge регрессия</w:t>
            </w:r>
          </w:p>
        </w:tc>
        <w:tc>
          <w:tcPr>
            <w:tcW w:type="dxa" w:w="1881"/>
          </w:tcPr>
          <w:p>
            <w:r>
              <w:t>0,168</w:t>
            </w:r>
          </w:p>
        </w:tc>
        <w:tc>
          <w:tcPr>
            <w:tcW w:type="dxa" w:w="1881"/>
          </w:tcPr>
          <w:p>
            <w:r>
              <w:t>0,210</w:t>
            </w:r>
          </w:p>
        </w:tc>
        <w:tc>
          <w:tcPr>
            <w:tcW w:type="dxa" w:w="1881"/>
          </w:tcPr>
          <w:p>
            <w:r>
              <w:t>0,69</w:t>
            </w:r>
          </w:p>
        </w:tc>
        <w:tc>
          <w:tcPr>
            <w:tcW w:type="dxa" w:w="1881"/>
          </w:tcPr>
          <w:p>
            <w:r>
              <w:t>−48%</w:t>
            </w:r>
          </w:p>
        </w:tc>
      </w:tr>
      <w:tr>
        <w:tc>
          <w:tcPr>
            <w:tcW w:type="dxa" w:w="1881"/>
          </w:tcPr>
          <w:p>
            <w:r>
              <w:t>LightGBM (квантильная)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по точечной оценке Δweight</w:t>
      </w:r>
    </w:p>
    <w:p>
      <w:pPr>
        <w:jc w:val="both"/>
      </w:pPr>
      <w:r>
        <w:rPr>
          <w:b w:val="0"/>
        </w:rPr>
        <w:t>Видно, что persistence baseline даёт отрицательный R² (−0,13) — он предсказывает хуже, чем простая выдача среднего значения по выборке. Это ожидаемо для прогноза дельты: «вес останется как сегодня» соответствует Δ = 0, тогда как реальные дельты колеблются вокруг небольшого ненулевого значения в зависимости от цели пользователя. Ridge-регрессия достигает MAE 0,168 кг и R² 0,69; LightGBM и MLP достигают MAE 0,156 кг и R² 0,73 — на 7% точнее Ridge.</w:t>
      </w:r>
    </w:p>
    <w:p>
      <w:pPr>
        <w:jc w:val="both"/>
      </w:pPr>
      <w:r>
        <w:rPr>
          <w:b w:val="0"/>
        </w:rPr>
        <w:t>Аналогичная картина наблюдается для двух других целевых переменных. Полное сравнение по трём переменным приведено в таблице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Модель</w:t>
            </w:r>
          </w:p>
        </w:tc>
        <w:tc>
          <w:tcPr>
            <w:tcW w:type="dxa" w:w="2351"/>
          </w:tcPr>
          <w:p>
            <w:r>
              <w:t>MAE Δweight, кг</w:t>
            </w:r>
          </w:p>
        </w:tc>
        <w:tc>
          <w:tcPr>
            <w:tcW w:type="dxa" w:w="2351"/>
          </w:tcPr>
          <w:p>
            <w:r>
              <w:t>MAE Δbody_fat, п.п.</w:t>
            </w:r>
          </w:p>
        </w:tc>
        <w:tc>
          <w:tcPr>
            <w:tcW w:type="dxa" w:w="2351"/>
          </w:tcPr>
          <w:p>
            <w:r>
              <w:t>MAE Δmuscle_mass, кг</w:t>
            </w:r>
          </w:p>
        </w:tc>
      </w:tr>
      <w:tr>
        <w:tc>
          <w:tcPr>
            <w:tcW w:type="dxa" w:w="2351"/>
          </w:tcPr>
          <w:p>
            <w:r>
              <w:t>Ridge регрессия</w:t>
            </w:r>
          </w:p>
        </w:tc>
        <w:tc>
          <w:tcPr>
            <w:tcW w:type="dxa" w:w="2351"/>
          </w:tcPr>
          <w:p>
            <w:r>
              <w:t>0,168</w:t>
            </w:r>
          </w:p>
        </w:tc>
        <w:tc>
          <w:tcPr>
            <w:tcW w:type="dxa" w:w="2351"/>
          </w:tcPr>
          <w:p>
            <w:r>
              <w:t>0,243</w:t>
            </w:r>
          </w:p>
        </w:tc>
        <w:tc>
          <w:tcPr>
            <w:tcW w:type="dxa" w:w="2351"/>
          </w:tcPr>
          <w:p>
            <w:r>
              <w:t>0,127</w:t>
            </w:r>
          </w:p>
        </w:tc>
      </w:tr>
      <w:tr>
        <w:tc>
          <w:tcPr>
            <w:tcW w:type="dxa" w:w="2351"/>
          </w:tcPr>
          <w:p>
            <w:r>
              <w:t>LightGBM (квантильная)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0,241</w:t>
            </w:r>
          </w:p>
        </w:tc>
        <w:tc>
          <w:tcPr>
            <w:tcW w:type="dxa" w:w="2351"/>
          </w:tcPr>
          <w:p>
            <w:r>
              <w:t>0,120</w:t>
            </w:r>
          </w:p>
        </w:tc>
      </w:tr>
      <w:tr>
        <w:tc>
          <w:tcPr>
            <w:tcW w:type="dxa" w:w="2351"/>
          </w:tcPr>
          <w:p>
            <w:r>
              <w:t>MLP (наша модель)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0,238</w:t>
            </w:r>
          </w:p>
        </w:tc>
        <w:tc>
          <w:tcPr>
            <w:tcW w:type="dxa" w:w="2351"/>
          </w:tcPr>
          <w:p>
            <w:r>
              <w:t>0,121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2 — Сравнение моделей по MAE для всех целевых переменных</w:t>
      </w:r>
    </w:p>
    <w:p>
      <w:pPr>
        <w:jc w:val="both"/>
      </w:pPr>
      <w:r>
        <w:rPr>
          <w:b w:val="0"/>
        </w:rPr>
        <w:t>Разработанная нейросетевая MLP-модель достигла качества, сопоставимого с LightGBM, по всем трём целевым переменным. По Δbody_fat MLP даже немного превзошёл LightGBM (MAE 0,238 против 0,241 п.п.). Это содержательный результат: на табличных данных среднего размера правильно спроектированная нейросеть способна извлекать столько же информации, сколько и ансамблевый GBDT-метод.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калибровки доверительных интервалов</w:t>
      </w:r>
    </w:p>
    <w:p>
      <w:pPr>
        <w:jc w:val="both"/>
      </w:pPr>
      <w:r>
        <w:rPr>
          <w:b w:val="0"/>
        </w:rPr>
        <w:t>Помимо точности точечной оценки, важна калибровка доверительных интервалов: фактическое значение должно попадать в построенный 80%-CI примерно в 80% случаев. Если coverage существенно меньше 80% — интервалы слишком узкие (модель чрезмерно уверена); если значительно больше — интервалы избыточно широкие.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Целевая переменная</w:t>
            </w:r>
          </w:p>
        </w:tc>
        <w:tc>
          <w:tcPr>
            <w:tcW w:type="dxa" w:w="2351"/>
          </w:tcPr>
          <w:p>
            <w:r>
              <w:t>LightGBM coverage</w:t>
            </w:r>
          </w:p>
        </w:tc>
        <w:tc>
          <w:tcPr>
            <w:tcW w:type="dxa" w:w="2351"/>
          </w:tcPr>
          <w:p>
            <w:r>
              <w:t>MLP coverage</w:t>
            </w:r>
          </w:p>
        </w:tc>
        <w:tc>
          <w:tcPr>
            <w:tcW w:type="dxa" w:w="2351"/>
          </w:tcPr>
          <w:p>
            <w:r>
              <w:t>Цель 0,80</w:t>
            </w:r>
          </w:p>
        </w:tc>
      </w:tr>
      <w:tr>
        <w:tc>
          <w:tcPr>
            <w:tcW w:type="dxa" w:w="2351"/>
          </w:tcPr>
          <w:p>
            <w:r>
              <w:t>Δ weight (неделя)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body_fat (неделя)</w:t>
            </w:r>
          </w:p>
        </w:tc>
        <w:tc>
          <w:tcPr>
            <w:tcW w:type="dxa" w:w="2351"/>
          </w:tcPr>
          <w:p>
            <w:r>
              <w:t>0,78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muscle_mass (неделя)</w:t>
            </w:r>
          </w:p>
        </w:tc>
        <w:tc>
          <w:tcPr>
            <w:tcW w:type="dxa" w:w="2351"/>
          </w:tcPr>
          <w:p>
            <w:r>
              <w:t>0,80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3 — Калибровка 80%-CI: coverage по моделям</w:t>
      </w:r>
    </w:p>
    <w:p>
      <w:pPr>
        <w:jc w:val="both"/>
      </w:pPr>
      <w:r>
        <w:rPr>
          <w:b w:val="0"/>
        </w:rPr>
        <w:t>Coverage по всем трём целевым переменным находится в адекватном диапазоне: LightGBM — 0,78–0,80; MLP — 0,79–0,83. Это говорит о том, что построенные интервалы корректно отражают неопределённость прогноза. У MLP coverage в среднем на 2-3 процентных пункта выше, чем у LightGBM — это объясняется δ-параметризацией квантилей в нейросетевой модели (см. главу 3): за счёт того, что q10 и q90 формируются добавлением softplus-смещений к q50, интервалы гарантированно непустые и слегка консервативные. Это поведение предпочтительно для пользовательского сценария: лучше показать чуть более широкий интервал, чем убедить пользователя в недостижимом прогнозе.</w:t>
      </w:r>
    </w:p>
    <w:p>
      <w:pPr>
        <w:spacing w:before="120" w:after="120"/>
        <w:ind w:firstLine="709"/>
        <w:jc w:val="left"/>
      </w:pPr>
      <w:r>
        <w:rPr>
          <w:b/>
        </w:rPr>
        <w:t>5.4 Корректность watcher-сервиса</w:t>
      </w:r>
    </w:p>
    <w:p>
      <w:pPr>
        <w:jc w:val="both"/>
      </w:pPr>
      <w:r>
        <w:rPr>
          <w:b w:val="0"/>
        </w:rPr>
        <w:t>В отличие от ML-моделей, watcher-сервис — это детерминированный код по фиксированным правилам (пороги «2 кг / 3% / 30 дней» из REQ-01, маппинг полей профиля на trigger из REQ-02, «valid_until ≤ today» из REQ-03 и «7 дней» из REQ-04). Для такого кода метрики precision / recall теряют смысл: правильность подтверждается не статистикой случайных запусков, а покрытием поведения автоматическими тестами. Поэтому в этой работе watcher-сервис проверяется через два уровня тестов.</w:t>
      </w:r>
    </w:p>
    <w:p>
      <w:pPr>
        <w:jc w:val="both"/>
      </w:pPr>
      <w:r>
        <w:rPr>
          <w:b w:val="0"/>
        </w:rPr>
        <w:t>Уровень 1 — модульные тесты чистой логики.</w:t>
      </w:r>
    </w:p>
    <w:p>
      <w:pPr>
        <w:pStyle w:val="ListBullet"/>
        <w:ind w:firstLine="0"/>
      </w:pPr>
      <w:r>
        <w:t>tests/unit/domain/adaptation/test_weight_watcher.py (8 тестов): пороги дельты, поведение при делении на ноль, граничные случаи (ровно 2 кг, ровно 3%, ровно 30 дней). Тесты не касаются БД и проходят за миллисекунды.</w:t>
      </w:r>
    </w:p>
    <w:p>
      <w:pPr>
        <w:pStyle w:val="ListBullet"/>
        <w:ind w:firstLine="0"/>
      </w:pPr>
      <w:r>
        <w:t>tests/unit/domains/profile/test_service.py (15 тестов): apply_changes возвращает корректный набор plan-invalidating полей; пересчёт BMR только при изменении его входов; equipment_available канонизируется при записи (чтобы PATCH с тем же набором в другом порядке не триггерил баннер). Эти инварианты — основа REQ-02.</w:t>
      </w:r>
    </w:p>
    <w:p>
      <w:pPr>
        <w:jc w:val="both"/>
      </w:pPr>
      <w:r>
        <w:rPr>
          <w:b w:val="0"/>
        </w:rPr>
        <w:t>Уровень 2 — интеграционные тесты против настоящего Postgres.</w:t>
      </w:r>
    </w:p>
    <w:p>
      <w:pPr>
        <w:jc w:val="both"/>
      </w:pPr>
      <w:r>
        <w:rPr>
          <w:b w:val="0"/>
        </w:rPr>
        <w:t>Все интеграционные тесты выполняются против реального PostgreSQL 16, поднимаемого через testcontainers на время сессии. Каждый тест изолирован SAVEPOINT-транзакцией с rollback после; такая схема даёт одновременно реальную проверку SQL-уровня (включая constraints, partial unique index «один active план», каскадные удаления) и быструю изоляцию между тестами. По адаптации покрыто:</w:t>
      </w:r>
    </w:p>
    <w:p>
      <w:pPr>
        <w:pStyle w:val="ListBullet"/>
        <w:ind w:firstLine="0"/>
      </w:pPr>
      <w:r>
        <w:t>tests/integration/test_adaptation_rebuild.py (3 теста): /plans/rebuild Scenario 2.2 — консьюминг pending-события, создание manual-события при пустом списке, корректная 400-ошибка preconditions_not_met (событие остаётся pending — аудит не лжёт).</w:t>
      </w:r>
    </w:p>
    <w:p>
      <w:pPr>
        <w:pStyle w:val="ListBullet"/>
        <w:ind w:firstLine="0"/>
      </w:pPr>
      <w:r>
        <w:t>tests/integration/test_adaptation_background.py (8 тестов, добавлены в рамках данной работы): PATCH профиля → event goal_change / frequency_change; debounce из §10; equipment_available только флаг без события; cycle_end автоматически архивирует и создаёт новый active с ретроактивным auto_applied-событием; force-rebuild через 7 дней; «свежий» pending не трогается; PreconditionsNotMet у одного пользователя в батче — skipped, остальные продолжают обрабатываться.</w:t>
      </w:r>
    </w:p>
    <w:p>
      <w:pPr>
        <w:jc w:val="both"/>
      </w:pPr>
      <w:r>
        <w:rPr>
          <w:b w:val="0"/>
        </w:rPr>
        <w:t>Все 34 теста зелёные в локальном прогоне и в CI. Поскольку правила детерминированы, прохождение тестов эквивалентно отсутствию false-positive и false-negative срабатываний на покрытом множестве кейсов; новых сценариев — таких, которые не вписываются в эти правила, — в спецификации не предусмотрено.</w:t>
      </w:r>
    </w:p>
    <w:p>
      <w:pPr>
        <w:jc w:val="both"/>
      </w:pPr>
      <w:r>
        <w:rPr>
          <w:b w:val="0"/>
        </w:rPr>
        <w:t>Производительность специально не измерялась: REQ-01 формулирует требование как «watcher работает в рамках транзакции записи нового InBody / изменения профиля» (NFR-01), и реализация буквально выполняет два-три дополнительных SQL-запроса внутри уже-открытой транзакции PATCH /profile или POST /inbody. На пустом локальном Postgres интеграционные тесты адаптации, каждый из которых включает несколько PATCH + чтение событий, в сумме выполняются за 0,5 с — это даёт верхнюю оценку накладных расходов watcher'а в одну-две миллисекунды на событие, что неотличимо от фонового шума при работе с СУБД и не требует отдельной оптимизации.</w:t>
      </w:r>
    </w:p>
    <w:p>
      <w:pPr>
        <w:spacing w:before="120" w:after="120"/>
        <w:ind w:firstLine="709"/>
        <w:jc w:val="left"/>
      </w:pPr>
      <w:r>
        <w:rPr>
          <w:b/>
        </w:rPr>
        <w:t>5.5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Все три обучаемые модели (Ridge, LightGBM, MLP) существенно превосходят persistence baseline. LightGBM и MLP сравнялись на MAE по Δweight (0,156 кг) и Δmuscle_mass (0,12 кг), а на Δbody_fat MLP даже немного опередил LightGBM (0,238 против 0,241 п.п.). Это содержательный результат — он показывает, что нейросетевая архитектура с квантильной регрессией на табличных данных среднего размера сопоставима по качеству с лучшими ансамблевыми методами.</w:t>
      </w:r>
    </w:p>
    <w:p>
      <w:pPr>
        <w:jc w:val="both"/>
      </w:pPr>
      <w:r>
        <w:rPr>
          <w:b w:val="0"/>
        </w:rPr>
        <w:t>Калибровка 80%-доверительных интервалов адекватна у обеих моделей с квантильной регрессией: LightGBM 0,78–0,80; MLP 0,79–0,83. По всем целевым переменным выполнен пороговый критерий 0,75 (success criterion SC-03 из спецификации). Watcher-сервис адаптации полностью покрыт автоматическими тестами (23 модульных + 11 интеграционных = 34 теста), что для детерминированных правил даёт более надёжную гарантию корректности, чем статистические метрики на синтетической выборке.</w:t>
      </w:r>
    </w:p>
    <w:p>
      <w:pPr>
        <w:jc w:val="both"/>
      </w:pPr>
      <w:r>
        <w:rPr>
          <w:b w:val="0"/>
        </w:rPr>
        <w:t>Дальнейшее развитие системы видится в следующих направлениях: (1) сбор реальных пользовательских данных по мере роста аудитории приложения и дообучение модели на них вместо синтетики; (2) переход на более мощные модели (LSTM, Temporal Fusion Transformer) при накоплении ≥10 тысяч траекторий; (3) расширение признакового набора за счёт интеграции с Apple Health / Google Fit (шагомер, пульсометрия, сон); (4) внедрение методов causal inference, чтобы объяснять пользователю «почему» — какой фактор вносит наибольший вклад в его прогноз.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пользователя. Все компоненты встроены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 с прогнозом (MacroFactor, Carbon Diet Coach, Fitbod, Apple Health) и технических подходов к прогнозу динамики веса и состава тела. Показано, что ни одно из существующих решений не сочетает использование всех трёх ключевых показателей InBody с автоматической адаптацией плана. Обоснован выбор подхода на основе градиентного бустинга с квантильной регрессией.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назначение, целевая аудитория, решаемые проблемы, список основных функций (регистрация, профиль, InBody, каталог упражнений, AI-генератор плана, учёт тренировок, прогноз, адаптация, аналитика), сценарии использования, экраны, технологический стек (Python / FastAPI / PostgreSQL на сервере, Flutter Web на клиенте, LightGBM для ML),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описаны разработанные алгоритмы. Прогноз InBody построен по двухуровневой схеме: Ridge-baseline для надёжной точечной оценки и две модели для построения квантильных границ 80%-доверительного интервала — LightGBM (квантильная регрессия, objective='quantile', 9 моделей по 3 квантиля × 3 целевые переменные) и нейросетевая MLP-модель на PyTorch (shared trunk + per-target heads с δ-параметризацией для гарантированного отсутствия quantile-crossing). Для пользователей с короткой историей реализован cross-user baseline. Сервис адаптации плана работает по шести типам триггеров: изменение веса, цели, частоты, оборудования, окончание цикла, ручной запуск.</w:t>
      </w:r>
    </w:p>
    <w:p>
      <w:pPr>
        <w:jc w:val="both"/>
      </w:pPr>
      <w:r>
        <w:rPr>
          <w:b w:val="0"/>
        </w:rPr>
        <w:t>В четвёртой главе описана программная реализация. ETL-конвейер собирает обучающие данные из открытых Kaggle-датасетов с синтезом временных рядов (9776 точек «пользователь × неделя» от 1222 анонимизированных пользователей). Обучение моделей реализовано в ml/training/inbody_timeseries; артефакты сохраняются в иерархической структуре каталогов с версионированием. PDF-парсер отчётов InBody реализован через pdfplumber. REST-сервис прогноза (GET /api/v1/forecast/inbody), watcher-сервис адаптации и фронтенд на Flutter Web покрыты автоматическими тестами.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превосходят Ridge-baseline по MAE на 7% (вес и мышечная масса) и на 1–2% (процент жира). По всем трём целевым переменным обе модели достигли близких показателей: MAE Δweight 0,156 кг (R² = 0,73), MAE Δbody_fat 0,24 п.п., MAE Δmuscle_mass 0,12 кг. По калибровке 80%-доверительных интервалов MLP показал немного лучшие результаты (coverage 0,79–0,83) по сравнению с LightGBM (0,78–0,80) за счёт δ-параметризации квантилей. Watcher-сервис адаптации плана полностью покрыт автотестами (8 модульных + 11 интеграционных), что для детерминированных правил с фиксированным набором условий срабатывания гарантирует корректность всех ветвей логики.</w:t>
      </w:r>
    </w:p>
    <w:p>
      <w:pPr>
        <w:jc w:val="both"/>
      </w:pPr>
      <w:r>
        <w:rPr>
          <w:b w:val="0"/>
        </w:rPr>
        <w:t>Выдвинутая во введении гипотеза подтверждена: двухуровневая модель прогноза, сочетающая Ridge-baseline и LightGBM/MLP с квантильной регрессией, обеспечивает более точные прогнозы, чем persistence baseline (улучшение MAE по весу с 0,325 до 0,156 кг — снижение на 52%), и даёт адекватную калибровку доверительных интервалов (coverage в диапазоне 0,75–0,85 при цели 0,80).</w:t>
      </w:r>
    </w:p>
    <w:p>
      <w:pPr>
        <w:jc w:val="both"/>
      </w:pPr>
      <w:r>
        <w:rPr>
          <w:b w:val="0"/>
        </w:rPr>
        <w:t>Практическая значимость работы — все разработанные компоненты программно реализованы и встроены в действующее приложение Fitness Tracker, готовое к использованию конечными пользователями. Все артефакты обучения версионированы; результаты воспроизводимы по фиксированному seed и хешу входного датасета. Дальнейшее развитие предполагает сбор реальных пользовательских данных, переход на более мощные модели глубокого обучения по мере накопления данных, расширение признакового набора за счёт интеграции с другими источниками (Apple Health, Google Fit) и внедрение методов causal inference для объяснения прогноза пользователю.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Kyle U. G., Bosaeus I., De Lorenzo A. D. et al. Bioelectrical Impedance Analysis — Part I: Review of Principles and Methods // Clinical Nutrition. — 2004. — Vol. 23, № 5. — P. 1226–1243.</w:t>
      </w:r>
    </w:p>
    <w:p>
      <w:pPr>
        <w:ind w:firstLine="0"/>
      </w:pPr>
      <w:r>
        <w:rPr>
          <w:b/>
        </w:rPr>
        <w:t xml:space="preserve">3. </w:t>
      </w:r>
      <w:r>
        <w:t>Hall K. D., Sacks G., Chandramohan D. et al. Quantification of the Effect of Energy Imbalance on Bodyweight // The Lancet. — 2011. — Vol. 378, № 9793. — P. 826–837.</w:t>
      </w:r>
    </w:p>
    <w:p>
      <w:pPr>
        <w:ind w:firstLine="0"/>
      </w:pPr>
      <w:r>
        <w:rPr>
          <w:b/>
        </w:rPr>
        <w:t xml:space="preserve">4.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5.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6. </w:t>
      </w:r>
      <w:r>
        <w:t>Cunningham J. J. A Reanalysis of the Factors Influencing Basal Metabolic Rate in Normal Adults // The American Journal of Clinical Nutrition. — 1980. — Vol. 33, № 11. — P. 2372–2374.</w:t>
      </w:r>
    </w:p>
    <w:p>
      <w:pPr>
        <w:ind w:firstLine="0"/>
      </w:pPr>
      <w:r>
        <w:rPr>
          <w:b/>
        </w:rPr>
        <w:t xml:space="preserve">7.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8. </w:t>
      </w:r>
      <w:r>
        <w:t>Koenker R., Bassett G. Regression Quantiles // Econometrica. — 1978. — Vol. 46, № 1. — P. 33–50.</w:t>
      </w:r>
    </w:p>
    <w:p>
      <w:pPr>
        <w:ind w:firstLine="0"/>
      </w:pPr>
      <w:r>
        <w:rPr>
          <w:b/>
        </w:rPr>
        <w:t xml:space="preserve">9. </w:t>
      </w:r>
      <w:r>
        <w:t>Hyndman R. J., Athanasopoulos G. Forecasting: Principles and Practice. — 3rd ed. — OTexts, 2021. — 442 p.</w:t>
      </w:r>
    </w:p>
    <w:p>
      <w:pPr>
        <w:ind w:firstLine="0"/>
      </w:pPr>
      <w:r>
        <w:rPr>
          <w:b/>
        </w:rPr>
        <w:t xml:space="preserve">10. </w:t>
      </w:r>
      <w:r>
        <w:t>Lim B., Zohren S. Time-Series Forecasting With Deep Learning: A Survey // Philosophical Transactions of the Royal Society A. — 2021. — Vol. 379, № 2194. — Art. 20200209.</w:t>
      </w:r>
    </w:p>
    <w:p>
      <w:pPr>
        <w:ind w:firstLine="0"/>
      </w:pPr>
      <w:r>
        <w:rPr>
          <w:b/>
        </w:rPr>
        <w:t xml:space="preserve">11. </w:t>
      </w:r>
      <w:r>
        <w:t>Salinas D., Flunkert V., Gasthaus J., Januschowski T. DeepAR: Probabilistic Forecasting With Autoregressive Recurrent Networks // International Journal of Forecasting. — 2020. — Vol. 36, № 3. — P. 1181–1191.</w:t>
      </w:r>
    </w:p>
    <w:p>
      <w:pPr>
        <w:ind w:firstLine="0"/>
      </w:pPr>
      <w:r>
        <w:rPr>
          <w:b/>
        </w:rPr>
        <w:t xml:space="preserve">12.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pdfplumber Documentation [Электронный ресурс]. — URL: https://github.com/jsvine/pdfplumber (дата обращения: 17.04.2026).</w:t>
      </w:r>
    </w:p>
    <w:p>
      <w:pPr>
        <w:ind w:firstLine="0"/>
      </w:pPr>
      <w:r>
        <w:rPr>
          <w:b/>
        </w:rPr>
        <w:t xml:space="preserve">17.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18.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19. </w:t>
      </w:r>
      <w:r>
        <w:t>Kaggle Datasets: Body Fat Prediction Dataset / Fedesoriano [Электронный ресурс]. — URL: https://www.kaggle.com/datasets/fedesoriano/body-fat-prediction-dataset (дата обращения: 15.04.2026).</w:t>
      </w:r>
    </w:p>
    <w:p>
      <w:pPr>
        <w:ind w:firstLine="0"/>
      </w:pPr>
      <w:r>
        <w:rPr>
          <w:b/>
        </w:rPr>
        <w:t xml:space="preserve">20.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21. </w:t>
      </w:r>
      <w:r>
        <w:t>MacroFactor: Adaptive Nutrition App [Электронный ресурс]. — URL: https://macrofactorapp.com (дата обращения: 20.04.2026).</w:t>
      </w:r>
    </w:p>
    <w:p>
      <w:pPr>
        <w:ind w:firstLine="0"/>
      </w:pPr>
      <w:r>
        <w:rPr>
          <w:b/>
        </w:rPr>
        <w:t xml:space="preserve">22. </w:t>
      </w:r>
      <w:r>
        <w:t>Carbon Diet Coach [Электронный ресурс]. — URL: https://www.joincarbon.com (дата обращения: 20.04.2026).</w:t>
      </w:r>
    </w:p>
    <w:p>
      <w:pPr>
        <w:ind w:firstLine="0"/>
      </w:pPr>
      <w:r>
        <w:rPr>
          <w:b/>
        </w:rPr>
        <w:t xml:space="preserve">23. </w:t>
      </w:r>
      <w:r>
        <w:t>InBody Co., Ltd. InBody 270 User's Manual [Электронный ресурс]. — URL: https://www.inbody.com (дата обращения: 22.04.2026).</w:t>
      </w:r>
    </w:p>
    <w:p>
      <w:pPr>
        <w:ind w:firstLine="0"/>
      </w:pPr>
      <w:r>
        <w:rPr>
          <w:b/>
        </w:rPr>
        <w:t xml:space="preserve">24.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25.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26. </w:t>
      </w:r>
      <w:r>
        <w:t>Murphy K. P. Probabilistic Machine Learning: An Introduction. — Cambridge, MA: MIT Press, 2022. — 944 p.</w:t>
      </w:r>
    </w:p>
    <w:p>
      <w:pPr>
        <w:ind w:firstLine="0"/>
      </w:pPr>
      <w:r>
        <w:rPr>
          <w:b/>
        </w:rPr>
        <w:t xml:space="preserve">27. </w:t>
      </w:r>
      <w:r>
        <w:t>Бокс Дж., Дженкинс Г. М. Анализ временных рядов: прогноз и управление. Вып. 1, 2 / пер. с англ. — Москва: Мир, 1974. — 406 с.</w:t>
      </w:r>
    </w:p>
    <w:p>
      <w:pPr>
        <w:ind w:firstLine="0"/>
      </w:pPr>
      <w:r>
        <w:rPr>
          <w:b/>
        </w:rPr>
        <w:t xml:space="preserve">28. </w:t>
      </w:r>
      <w:r>
        <w:t>Hyndman R. J., Khandakar Y. Automatic Time Series Forecasting: The forecast Package for R // Journal of Statistical Software. — 2008. — Vol. 27, № 3. — P. 1–22.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