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40"/>
        <w:rPr>
          <w:lang w:val="es-EC"/>
        </w:rPr>
      </w:pPr>
      <w:r>
        <w:rPr>
          <w:lang w:val="es-EC"/>
        </w:rPr>
      </w:r>
    </w:p>
    <w:p>
      <w:pPr>
        <w:pStyle w:val="Normal"/>
        <w:spacing w:before="0" w:after="240"/>
        <w:jc w:val="center"/>
        <w:rPr>
          <w:lang w:val="es-EC"/>
        </w:rPr>
      </w:pPr>
      <w:r>
        <w:rPr>
          <w:b/>
          <w:bCs/>
          <w:color w:val="1F3864"/>
          <w:sz w:val="56"/>
          <w:szCs w:val="56"/>
          <w:lang w:val="es-EC"/>
        </w:rPr>
        <w:t>HIBERUS</w:t>
      </w:r>
    </w:p>
    <w:p>
      <w:pPr>
        <w:pStyle w:val="Normal"/>
        <w:spacing w:before="0" w:after="480"/>
        <w:jc w:val="center"/>
        <w:rPr>
          <w:lang w:val="es-EC"/>
        </w:rPr>
      </w:pPr>
      <w:r>
        <w:rPr>
          <w:b/>
          <w:bCs/>
          <w:color w:val="2E75B6"/>
          <w:sz w:val="28"/>
          <w:szCs w:val="28"/>
          <w:lang w:val="es-EC"/>
        </w:rPr>
        <w:t>Documento de Definición de Arquitectura de Software</w:t>
      </w:r>
    </w:p>
    <w:p>
      <w:pPr>
        <w:pStyle w:val="Normal"/>
        <w:spacing w:before="0" w:after="160"/>
        <w:jc w:val="center"/>
        <w:rPr>
          <w:lang w:val="es-EC"/>
        </w:rPr>
      </w:pPr>
      <w:r>
        <w:rPr>
          <w:b/>
          <w:bCs/>
          <w:color w:val="1F3864"/>
          <w:sz w:val="36"/>
          <w:szCs w:val="36"/>
          <w:lang w:val="es-EC"/>
        </w:rPr>
        <w:t>Análisis de Rendimiento y Estado de Bases de Datos</w:t>
      </w:r>
    </w:p>
    <w:p>
      <w:pPr>
        <w:pStyle w:val="Normal"/>
        <w:spacing w:before="0" w:after="720"/>
        <w:jc w:val="center"/>
        <w:rPr>
          <w:lang w:val="es-EC"/>
        </w:rPr>
      </w:pPr>
      <w:r>
        <w:rPr>
          <w:color w:val="2E75B6"/>
          <w:sz w:val="26"/>
          <w:szCs w:val="26"/>
          <w:lang w:val="es-EC"/>
        </w:rPr>
        <w:t>VISTA API Connect - SQL Server 2016 - MULTICINES</w:t>
      </w:r>
    </w:p>
    <w:p>
      <w:pPr>
        <w:pStyle w:val="Normal"/>
        <w:spacing w:before="0" w:after="480"/>
        <w:rPr>
          <w:lang w:val="es-EC"/>
        </w:rPr>
      </w:pPr>
      <w:r>
        <w:rPr>
          <w:lang w:val="es-EC"/>
        </w:rPr>
      </w:r>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2398"/>
        <w:gridCol w:w="6962"/>
      </w:tblGrid>
      <w:tr>
        <w:trPr>
          <w:tblHeader w:val="true"/>
        </w:trPr>
        <w:tc>
          <w:tcPr>
            <w:tcW w:w="2398"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Campo</w:t>
            </w:r>
          </w:p>
        </w:tc>
        <w:tc>
          <w:tcPr>
            <w:tcW w:w="6962"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Valor</w:t>
            </w:r>
          </w:p>
        </w:tc>
      </w:tr>
      <w:tr>
        <w:trPr/>
        <w:tc>
          <w:tcPr>
            <w:tcW w:w="23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Versión</w:t>
            </w:r>
          </w:p>
        </w:tc>
        <w:tc>
          <w:tcPr>
            <w:tcW w:w="696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1.0</w:t>
            </w:r>
          </w:p>
        </w:tc>
      </w:tr>
      <w:tr>
        <w:trPr/>
        <w:tc>
          <w:tcPr>
            <w:tcW w:w="23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Plataforma</w:t>
            </w:r>
          </w:p>
        </w:tc>
        <w:tc>
          <w:tcPr>
            <w:tcW w:w="696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SQL Server 2016 (SP3-GDR) / Windows Server 2016</w:t>
            </w:r>
          </w:p>
        </w:tc>
      </w:tr>
      <w:tr>
        <w:trPr/>
        <w:tc>
          <w:tcPr>
            <w:tcW w:w="23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Fecha</w:t>
            </w:r>
          </w:p>
        </w:tc>
        <w:tc>
          <w:tcPr>
            <w:tcW w:w="696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2026</w:t>
            </w:r>
          </w:p>
        </w:tc>
      </w:tr>
      <w:tr>
        <w:trPr/>
        <w:tc>
          <w:tcPr>
            <w:tcW w:w="23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Clasificación</w:t>
            </w:r>
          </w:p>
        </w:tc>
        <w:tc>
          <w:tcPr>
            <w:tcW w:w="696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000000"/>
                <w:sz w:val="18"/>
                <w:szCs w:val="18"/>
                <w:lang w:val="es-EC"/>
              </w:rPr>
              <w:t>Confidencial - Uso Interno</w:t>
            </w:r>
          </w:p>
        </w:tc>
      </w:tr>
      <w:tr>
        <w:trPr/>
        <w:tc>
          <w:tcPr>
            <w:tcW w:w="23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Instancias</w:t>
            </w:r>
          </w:p>
        </w:tc>
        <w:tc>
          <w:tcPr>
            <w:tcW w:w="696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SRV-API, VISTACON, SRVLOY</w:t>
            </w:r>
          </w:p>
        </w:tc>
      </w:tr>
      <w:tr>
        <w:trPr/>
        <w:tc>
          <w:tcPr>
            <w:tcW w:w="23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Bases de Datos</w:t>
            </w:r>
          </w:p>
        </w:tc>
        <w:tc>
          <w:tcPr>
            <w:tcW w:w="696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VISTAIT, VISTA, VISTALOYALTY</w:t>
            </w:r>
          </w:p>
        </w:tc>
      </w:tr>
    </w:tbl>
    <w:p>
      <w:pPr>
        <w:sectPr>
          <w:type w:val="nextPage"/>
          <w:pgSz w:w="12240" w:h="15840"/>
          <w:pgMar w:left="1440" w:right="1440" w:gutter="0" w:header="0" w:top="1440" w:footer="0" w:bottom="1440"/>
          <w:pgNumType w:fmt="decimal"/>
          <w:formProt w:val="false"/>
          <w:textDirection w:val="lrTb"/>
          <w:docGrid w:type="default" w:linePitch="360" w:charSpace="0"/>
        </w:sectPr>
      </w:pPr>
      <w:r>
        <w:br w:type="page"/>
      </w:r>
    </w:p>
    <w:p>
      <w:pPr>
        <w:pStyle w:val="heading10"/>
        <w:pBdr>
          <w:bottom w:val="single" w:sz="6" w:space="1" w:color="2E75B6"/>
        </w:pBdr>
        <w:spacing w:before="0" w:after="120"/>
        <w:rPr>
          <w:lang w:val="es-EC"/>
        </w:rPr>
      </w:pPr>
      <w:bookmarkStart w:id="0" w:name="__RefHeading___Toc12370_3037558313"/>
      <w:bookmarkStart w:id="1" w:name="_Toc225746703"/>
      <w:bookmarkEnd w:id="0"/>
      <w:r>
        <w:rPr>
          <w:lang w:val="es-EC"/>
        </w:rPr>
        <w:t>Tabla de Contenido</w:t>
      </w:r>
      <w:bookmarkEnd w:id="1"/>
    </w:p>
    <w:sdt>
      <w:sdtPr>
        <w:docPartObj>
          <w:docPartGallery w:val="Table of Contents"/>
          <w:docPartUnique w:val="true"/>
        </w:docPartObj>
      </w:sdtPr>
      <w:sdtContent>
        <w:p>
          <w:pPr>
            <w:pStyle w:val="TOC1"/>
            <w:tabs>
              <w:tab w:val="clear" w:pos="720"/>
              <w:tab w:val="right" w:pos="9359" w:leader="dot"/>
            </w:tabs>
            <w:rPr/>
          </w:pPr>
          <w:r>
            <w:fldChar w:fldCharType="begin"/>
          </w:r>
          <w:r>
            <w:rPr>
              <w:rStyle w:val="Enlacedelndiceuser"/>
            </w:rPr>
            <w:instrText xml:space="preserve"> TOC \o "1-3" \h</w:instrText>
          </w:r>
          <w:r>
            <w:rPr>
              <w:rStyle w:val="Enlacedelndiceuser"/>
            </w:rPr>
            <w:fldChar w:fldCharType="separate"/>
          </w:r>
          <w:r>
            <w:rPr>
              <w:rStyle w:val="Enlacedelndiceuser"/>
            </w:rPr>
            <w:t>Tabla de Contenido</w:t>
          </w:r>
          <w:r>
            <w:rPr/>
            <w:tab/>
            <w:t>2</w:t>
          </w:r>
        </w:p>
        <w:p>
          <w:pPr>
            <w:pStyle w:val="TOC1"/>
            <w:tabs>
              <w:tab w:val="clear" w:pos="720"/>
              <w:tab w:val="right" w:pos="9359" w:leader="dot"/>
            </w:tabs>
            <w:rPr/>
          </w:pPr>
          <w:r>
            <w:rPr/>
            <w:t>1. Introducción</w:t>
            <w:tab/>
            <w:t>4</w:t>
          </w:r>
        </w:p>
        <w:p>
          <w:pPr>
            <w:pStyle w:val="TOC2"/>
            <w:tabs>
              <w:tab w:val="clear" w:pos="720"/>
              <w:tab w:val="right" w:pos="9359" w:leader="dot"/>
            </w:tabs>
            <w:rPr/>
          </w:pPr>
          <w:r>
            <w:rPr/>
            <w:t>1.1 Propósito del Documento</w:t>
            <w:tab/>
            <w:t>4</w:t>
          </w:r>
        </w:p>
        <w:p>
          <w:pPr>
            <w:pStyle w:val="TOC2"/>
            <w:tabs>
              <w:tab w:val="clear" w:pos="720"/>
              <w:tab w:val="right" w:pos="9359" w:leader="dot"/>
            </w:tabs>
            <w:rPr/>
          </w:pPr>
          <w:r>
            <w:rPr/>
            <w:t>1.2 Contexto y Descripción del Entorno</w:t>
            <w:tab/>
            <w:t>4</w:t>
          </w:r>
        </w:p>
        <w:p>
          <w:pPr>
            <w:pStyle w:val="TOC2"/>
            <w:tabs>
              <w:tab w:val="clear" w:pos="720"/>
              <w:tab w:val="right" w:pos="9359" w:leader="dot"/>
            </w:tabs>
            <w:rPr/>
          </w:pPr>
          <w:r>
            <w:rPr/>
            <w:t>1.3 Inventario de Instancias y Bases de Datos</w:t>
            <w:tab/>
            <w:t>4</w:t>
          </w:r>
        </w:p>
        <w:p>
          <w:pPr>
            <w:pStyle w:val="TOC1"/>
            <w:tabs>
              <w:tab w:val="clear" w:pos="720"/>
              <w:tab w:val="right" w:pos="9359" w:leader="dot"/>
            </w:tabs>
            <w:rPr/>
          </w:pPr>
          <w:r>
            <w:rPr/>
            <w:t>2. Resumen Ejecutivo de Hallazgos</w:t>
            <w:tab/>
            <w:t>5</w:t>
          </w:r>
        </w:p>
        <w:p>
          <w:pPr>
            <w:pStyle w:val="TOC1"/>
            <w:tabs>
              <w:tab w:val="clear" w:pos="720"/>
              <w:tab w:val="right" w:pos="9359" w:leader="dot"/>
            </w:tabs>
            <w:rPr/>
          </w:pPr>
          <w:r>
            <w:rPr/>
            <w:t>3. Hallazgos Detallados y Recomendaciones</w:t>
            <w:tab/>
            <w:t>7</w:t>
          </w:r>
        </w:p>
        <w:p>
          <w:pPr>
            <w:pStyle w:val="TOC2"/>
            <w:tabs>
              <w:tab w:val="clear" w:pos="720"/>
              <w:tab w:val="right" w:pos="9359" w:leader="dot"/>
            </w:tabs>
            <w:rPr/>
          </w:pPr>
          <w:r>
            <w:rPr/>
            <w:t>3.1 Hallazgo 1 - Backup de Transaction Log Ausente (Modelo FULL)</w:t>
            <w:tab/>
            <w:t>7</w:t>
          </w:r>
        </w:p>
        <w:p>
          <w:pPr>
            <w:pStyle w:val="TOC3"/>
            <w:tabs>
              <w:tab w:val="clear" w:pos="720"/>
              <w:tab w:val="right" w:pos="9359" w:leader="dot"/>
            </w:tabs>
            <w:rPr/>
          </w:pPr>
          <w:r>
            <w:rPr/>
            <w:t>Descripción del parámetro</w:t>
            <w:tab/>
            <w:t>7</w:t>
          </w:r>
        </w:p>
        <w:p>
          <w:pPr>
            <w:pStyle w:val="TOC3"/>
            <w:tabs>
              <w:tab w:val="clear" w:pos="720"/>
              <w:tab w:val="right" w:pos="9359" w:leader="dot"/>
            </w:tabs>
            <w:rPr/>
          </w:pPr>
          <w:r>
            <w:rPr/>
            <w:t>Por que es importante</w:t>
            <w:tab/>
            <w:t>7</w:t>
          </w:r>
        </w:p>
        <w:p>
          <w:pPr>
            <w:pStyle w:val="TOC3"/>
            <w:tabs>
              <w:tab w:val="clear" w:pos="720"/>
              <w:tab w:val="right" w:pos="9359" w:leader="dot"/>
            </w:tabs>
            <w:rPr/>
          </w:pPr>
          <w:r>
            <w:rPr/>
            <w:t>Evidencia del diagnostico</w:t>
            <w:tab/>
            <w:t>7</w:t>
          </w:r>
        </w:p>
        <w:p>
          <w:pPr>
            <w:pStyle w:val="TOC3"/>
            <w:tabs>
              <w:tab w:val="clear" w:pos="720"/>
              <w:tab w:val="right" w:pos="9359" w:leader="dot"/>
            </w:tabs>
            <w:rPr/>
          </w:pPr>
          <w:r>
            <w:rPr/>
            <w:t>Recomendación</w:t>
            <w:tab/>
            <w:t>7</w:t>
          </w:r>
        </w:p>
        <w:p>
          <w:pPr>
            <w:pStyle w:val="TOC2"/>
            <w:tabs>
              <w:tab w:val="clear" w:pos="720"/>
              <w:tab w:val="right" w:pos="9359" w:leader="dot"/>
            </w:tabs>
            <w:rPr/>
          </w:pPr>
          <w:r>
            <w:rPr/>
            <w:t>3.2 Hallazgo 2 - Espacio en Disco Critico en VISTALOYALTY</w:t>
            <w:tab/>
            <w:t>8</w:t>
          </w:r>
        </w:p>
        <w:p>
          <w:pPr>
            <w:pStyle w:val="TOC3"/>
            <w:tabs>
              <w:tab w:val="clear" w:pos="720"/>
              <w:tab w:val="right" w:pos="9359" w:leader="dot"/>
            </w:tabs>
            <w:rPr/>
          </w:pPr>
          <w:r>
            <w:rPr/>
            <w:t>Descripción del parámetro</w:t>
            <w:tab/>
            <w:t>8</w:t>
          </w:r>
        </w:p>
        <w:p>
          <w:pPr>
            <w:pStyle w:val="TOC3"/>
            <w:tabs>
              <w:tab w:val="clear" w:pos="720"/>
              <w:tab w:val="right" w:pos="9359" w:leader="dot"/>
            </w:tabs>
            <w:rPr/>
          </w:pPr>
          <w:r>
            <w:rPr/>
            <w:t>Por que es importante</w:t>
            <w:tab/>
            <w:t>8</w:t>
          </w:r>
        </w:p>
        <w:p>
          <w:pPr>
            <w:pStyle w:val="TOC3"/>
            <w:tabs>
              <w:tab w:val="clear" w:pos="720"/>
              <w:tab w:val="right" w:pos="9359" w:leader="dot"/>
            </w:tabs>
            <w:rPr/>
          </w:pPr>
          <w:r>
            <w:rPr/>
            <w:t>Evidencia del diagnostico</w:t>
            <w:tab/>
            <w:t>8</w:t>
          </w:r>
        </w:p>
        <w:p>
          <w:pPr>
            <w:pStyle w:val="TOC3"/>
            <w:tabs>
              <w:tab w:val="clear" w:pos="720"/>
              <w:tab w:val="right" w:pos="9359" w:leader="dot"/>
            </w:tabs>
            <w:rPr/>
          </w:pPr>
          <w:r>
            <w:rPr/>
            <w:t>Recomendación</w:t>
            <w:tab/>
            <w:t>8</w:t>
          </w:r>
        </w:p>
        <w:p>
          <w:pPr>
            <w:pStyle w:val="TOC2"/>
            <w:tabs>
              <w:tab w:val="clear" w:pos="720"/>
              <w:tab w:val="right" w:pos="9359" w:leader="dot"/>
            </w:tabs>
            <w:rPr/>
          </w:pPr>
          <w:r>
            <w:rPr/>
            <w:t>3.3 Hallazgo 3 - Fragmentación Severa de Indices</w:t>
            <w:tab/>
            <w:t>9</w:t>
          </w:r>
        </w:p>
        <w:p>
          <w:pPr>
            <w:pStyle w:val="TOC3"/>
            <w:tabs>
              <w:tab w:val="clear" w:pos="720"/>
              <w:tab w:val="right" w:pos="9359" w:leader="dot"/>
            </w:tabs>
            <w:rPr/>
          </w:pPr>
          <w:r>
            <w:rPr/>
            <w:t>Descripción del parámetro</w:t>
            <w:tab/>
            <w:t>9</w:t>
          </w:r>
        </w:p>
        <w:p>
          <w:pPr>
            <w:pStyle w:val="TOC3"/>
            <w:tabs>
              <w:tab w:val="clear" w:pos="720"/>
              <w:tab w:val="right" w:pos="9359" w:leader="dot"/>
            </w:tabs>
            <w:rPr/>
          </w:pPr>
          <w:r>
            <w:rPr/>
            <w:t>Evidencia del diagnostico</w:t>
            <w:tab/>
            <w:t>9</w:t>
          </w:r>
        </w:p>
        <w:p>
          <w:pPr>
            <w:pStyle w:val="TOC3"/>
            <w:tabs>
              <w:tab w:val="clear" w:pos="720"/>
              <w:tab w:val="right" w:pos="9359" w:leader="dot"/>
            </w:tabs>
            <w:rPr/>
          </w:pPr>
          <w:r>
            <w:rPr/>
            <w:t>Recomendación</w:t>
            <w:tab/>
            <w:t>10</w:t>
          </w:r>
        </w:p>
        <w:p>
          <w:pPr>
            <w:pStyle w:val="TOC2"/>
            <w:tabs>
              <w:tab w:val="clear" w:pos="720"/>
              <w:tab w:val="right" w:pos="9359" w:leader="dot"/>
            </w:tabs>
            <w:rPr/>
          </w:pPr>
          <w:r>
            <w:rPr/>
            <w:t>3.4 Hallazgo 4 - Estadísticas de Indices Nunca Actualizadas</w:t>
            <w:tab/>
            <w:t>10</w:t>
          </w:r>
        </w:p>
        <w:p>
          <w:pPr>
            <w:pStyle w:val="TOC3"/>
            <w:tabs>
              <w:tab w:val="clear" w:pos="720"/>
              <w:tab w:val="right" w:pos="9359" w:leader="dot"/>
            </w:tabs>
            <w:rPr/>
          </w:pPr>
          <w:r>
            <w:rPr/>
            <w:t>Descripción del parámetro</w:t>
            <w:tab/>
            <w:t>10</w:t>
          </w:r>
        </w:p>
        <w:p>
          <w:pPr>
            <w:pStyle w:val="TOC3"/>
            <w:tabs>
              <w:tab w:val="clear" w:pos="720"/>
              <w:tab w:val="right" w:pos="9359" w:leader="dot"/>
            </w:tabs>
            <w:rPr/>
          </w:pPr>
          <w:r>
            <w:rPr/>
            <w:t>Evidencia del diagnostico</w:t>
            <w:tab/>
            <w:t>10</w:t>
          </w:r>
        </w:p>
        <w:p>
          <w:pPr>
            <w:pStyle w:val="TOC3"/>
            <w:tabs>
              <w:tab w:val="clear" w:pos="720"/>
              <w:tab w:val="right" w:pos="9359" w:leader="dot"/>
            </w:tabs>
            <w:rPr/>
          </w:pPr>
          <w:r>
            <w:rPr/>
            <w:t>Recomendación</w:t>
            <w:tab/>
            <w:t>11</w:t>
          </w:r>
        </w:p>
        <w:p>
          <w:pPr>
            <w:pStyle w:val="TOC2"/>
            <w:tabs>
              <w:tab w:val="clear" w:pos="720"/>
              <w:tab w:val="right" w:pos="9359" w:leader="dot"/>
            </w:tabs>
            <w:rPr/>
          </w:pPr>
          <w:r>
            <w:rPr/>
            <w:t>3.5 Hallazgo 5 - Configuración de Paralelismo No Ajustada</w:t>
            <w:tab/>
            <w:t>11</w:t>
          </w:r>
        </w:p>
        <w:p>
          <w:pPr>
            <w:pStyle w:val="TOC3"/>
            <w:tabs>
              <w:tab w:val="clear" w:pos="720"/>
              <w:tab w:val="right" w:pos="9359" w:leader="dot"/>
            </w:tabs>
            <w:rPr/>
          </w:pPr>
          <w:r>
            <w:rPr/>
            <w:t>Descripción del parámetro</w:t>
            <w:tab/>
            <w:t>11</w:t>
          </w:r>
        </w:p>
        <w:p>
          <w:pPr>
            <w:pStyle w:val="TOC3"/>
            <w:tabs>
              <w:tab w:val="clear" w:pos="720"/>
              <w:tab w:val="right" w:pos="9359" w:leader="dot"/>
            </w:tabs>
            <w:rPr/>
          </w:pPr>
          <w:r>
            <w:rPr/>
            <w:t>Evidencia del diagnostico</w:t>
            <w:tab/>
            <w:t>11</w:t>
          </w:r>
        </w:p>
        <w:p>
          <w:pPr>
            <w:pStyle w:val="TOC3"/>
            <w:tabs>
              <w:tab w:val="clear" w:pos="720"/>
              <w:tab w:val="right" w:pos="9359" w:leader="dot"/>
            </w:tabs>
            <w:rPr/>
          </w:pPr>
          <w:r>
            <w:rPr/>
            <w:t>Recomendación</w:t>
            <w:tab/>
            <w:t>12</w:t>
          </w:r>
        </w:p>
        <w:p>
          <w:pPr>
            <w:pStyle w:val="TOC2"/>
            <w:tabs>
              <w:tab w:val="clear" w:pos="720"/>
              <w:tab w:val="right" w:pos="9359" w:leader="dot"/>
            </w:tabs>
            <w:rPr/>
          </w:pPr>
          <w:r>
            <w:rPr/>
            <w:t>3.6 Hallazgo 6 - Optimize for Ad Hoc Workloads Desactivado</w:t>
            <w:tab/>
            <w:t>12</w:t>
          </w:r>
        </w:p>
        <w:p>
          <w:pPr>
            <w:pStyle w:val="TOC3"/>
            <w:tabs>
              <w:tab w:val="clear" w:pos="720"/>
              <w:tab w:val="right" w:pos="9359" w:leader="dot"/>
            </w:tabs>
            <w:rPr/>
          </w:pPr>
          <w:r>
            <w:rPr/>
            <w:t>Descripción del parámetro</w:t>
            <w:tab/>
            <w:t>12</w:t>
          </w:r>
        </w:p>
        <w:p>
          <w:pPr>
            <w:pStyle w:val="TOC3"/>
            <w:tabs>
              <w:tab w:val="clear" w:pos="720"/>
              <w:tab w:val="right" w:pos="9359" w:leader="dot"/>
            </w:tabs>
            <w:rPr/>
          </w:pPr>
          <w:r>
            <w:rPr/>
            <w:t>Evidencia del diagnostico</w:t>
            <w:tab/>
            <w:t>12</w:t>
          </w:r>
        </w:p>
        <w:p>
          <w:pPr>
            <w:pStyle w:val="TOC3"/>
            <w:tabs>
              <w:tab w:val="clear" w:pos="720"/>
              <w:tab w:val="right" w:pos="9359" w:leader="dot"/>
            </w:tabs>
            <w:rPr/>
          </w:pPr>
          <w:r>
            <w:rPr/>
            <w:t>Recomendación</w:t>
            <w:tab/>
            <w:t>13</w:t>
          </w:r>
        </w:p>
        <w:p>
          <w:pPr>
            <w:pStyle w:val="TOC2"/>
            <w:tabs>
              <w:tab w:val="clear" w:pos="720"/>
              <w:tab w:val="right" w:pos="9359" w:leader="dot"/>
            </w:tabs>
            <w:rPr/>
          </w:pPr>
          <w:r>
            <w:rPr/>
            <w:t>3.7 Hallazgo 7 - RCSI Desactivado</w:t>
            <w:tab/>
            <w:t>13</w:t>
          </w:r>
        </w:p>
        <w:p>
          <w:pPr>
            <w:pStyle w:val="TOC3"/>
            <w:tabs>
              <w:tab w:val="clear" w:pos="720"/>
              <w:tab w:val="right" w:pos="9359" w:leader="dot"/>
            </w:tabs>
            <w:rPr/>
          </w:pPr>
          <w:r>
            <w:rPr/>
            <w:t>Descripción del parámetro</w:t>
            <w:tab/>
            <w:t>13</w:t>
          </w:r>
        </w:p>
        <w:p>
          <w:pPr>
            <w:pStyle w:val="TOC3"/>
            <w:tabs>
              <w:tab w:val="clear" w:pos="720"/>
              <w:tab w:val="right" w:pos="9359" w:leader="dot"/>
            </w:tabs>
            <w:rPr/>
          </w:pPr>
          <w:r>
            <w:rPr/>
            <w:t>Evidencia del diagnostico</w:t>
            <w:tab/>
            <w:t>13</w:t>
          </w:r>
        </w:p>
        <w:p>
          <w:pPr>
            <w:pStyle w:val="TOC3"/>
            <w:tabs>
              <w:tab w:val="clear" w:pos="720"/>
              <w:tab w:val="right" w:pos="9359" w:leader="dot"/>
            </w:tabs>
            <w:rPr/>
          </w:pPr>
          <w:r>
            <w:rPr/>
            <w:t>Por que es importante</w:t>
            <w:tab/>
            <w:t>13</w:t>
          </w:r>
        </w:p>
        <w:p>
          <w:pPr>
            <w:pStyle w:val="TOC3"/>
            <w:tabs>
              <w:tab w:val="clear" w:pos="720"/>
              <w:tab w:val="right" w:pos="9359" w:leader="dot"/>
            </w:tabs>
            <w:rPr/>
          </w:pPr>
          <w:r>
            <w:rPr/>
            <w:t>Recomendación</w:t>
            <w:tab/>
            <w:t>14</w:t>
          </w:r>
        </w:p>
        <w:p>
          <w:pPr>
            <w:pStyle w:val="TOC2"/>
            <w:tabs>
              <w:tab w:val="clear" w:pos="720"/>
              <w:tab w:val="right" w:pos="9359" w:leader="dot"/>
            </w:tabs>
            <w:rPr/>
          </w:pPr>
          <w:r>
            <w:rPr/>
            <w:t>3.8 Hallazgo 8 - Indices con Costo DML Sin Uso en Lecturas</w:t>
            <w:tab/>
            <w:t>14</w:t>
          </w:r>
        </w:p>
        <w:p>
          <w:pPr>
            <w:pStyle w:val="TOC3"/>
            <w:tabs>
              <w:tab w:val="clear" w:pos="720"/>
              <w:tab w:val="right" w:pos="9359" w:leader="dot"/>
            </w:tabs>
            <w:rPr/>
          </w:pPr>
          <w:r>
            <w:rPr/>
            <w:t>Descripción del parámetro</w:t>
            <w:tab/>
            <w:t>14</w:t>
          </w:r>
        </w:p>
        <w:p>
          <w:pPr>
            <w:pStyle w:val="TOC3"/>
            <w:tabs>
              <w:tab w:val="clear" w:pos="720"/>
              <w:tab w:val="right" w:pos="9359" w:leader="dot"/>
            </w:tabs>
            <w:rPr/>
          </w:pPr>
          <w:r>
            <w:rPr/>
            <w:t>Evidencia del diagnostico</w:t>
            <w:tab/>
            <w:t>14</w:t>
          </w:r>
        </w:p>
        <w:p>
          <w:pPr>
            <w:pStyle w:val="TOC3"/>
            <w:tabs>
              <w:tab w:val="clear" w:pos="720"/>
              <w:tab w:val="right" w:pos="9359" w:leader="dot"/>
            </w:tabs>
            <w:rPr/>
          </w:pPr>
          <w:r>
            <w:rPr/>
            <w:t>Recomendación</w:t>
            <w:tab/>
            <w:t>15</w:t>
          </w:r>
        </w:p>
        <w:p>
          <w:pPr>
            <w:pStyle w:val="TOC2"/>
            <w:tabs>
              <w:tab w:val="clear" w:pos="720"/>
              <w:tab w:val="right" w:pos="9359" w:leader="dot"/>
            </w:tabs>
            <w:rPr/>
          </w:pPr>
          <w:r>
            <w:rPr/>
            <w:t>3.9 Hallazgo 9 - Indices Faltantes de Alto Impacto</w:t>
            <w:tab/>
            <w:t>15</w:t>
          </w:r>
        </w:p>
        <w:p>
          <w:pPr>
            <w:pStyle w:val="TOC3"/>
            <w:tabs>
              <w:tab w:val="clear" w:pos="720"/>
              <w:tab w:val="right" w:pos="9359" w:leader="dot"/>
            </w:tabs>
            <w:rPr/>
          </w:pPr>
          <w:r>
            <w:rPr/>
            <w:t>Descripción del parámetro</w:t>
            <w:tab/>
            <w:t>15</w:t>
          </w:r>
        </w:p>
        <w:p>
          <w:pPr>
            <w:pStyle w:val="TOC3"/>
            <w:tabs>
              <w:tab w:val="clear" w:pos="720"/>
              <w:tab w:val="right" w:pos="9359" w:leader="dot"/>
            </w:tabs>
            <w:rPr/>
          </w:pPr>
          <w:r>
            <w:rPr/>
            <w:t>Evidencia del diagnostico</w:t>
            <w:tab/>
            <w:t>15</w:t>
          </w:r>
        </w:p>
        <w:p>
          <w:pPr>
            <w:pStyle w:val="TOC3"/>
            <w:tabs>
              <w:tab w:val="clear" w:pos="720"/>
              <w:tab w:val="right" w:pos="9359" w:leader="dot"/>
            </w:tabs>
            <w:rPr/>
          </w:pPr>
          <w:r>
            <w:rPr/>
            <w:t>Recomendación</w:t>
            <w:tab/>
            <w:t>15</w:t>
          </w:r>
        </w:p>
        <w:p>
          <w:pPr>
            <w:pStyle w:val="TOC2"/>
            <w:tabs>
              <w:tab w:val="clear" w:pos="720"/>
              <w:tab w:val="right" w:pos="9359" w:leader="dot"/>
            </w:tabs>
            <w:rPr/>
          </w:pPr>
          <w:r>
            <w:rPr/>
            <w:t>3.10 Hallazgo 10 - Tablas de Alto Volumen Sin Compresión</w:t>
            <w:tab/>
            <w:t>16</w:t>
          </w:r>
        </w:p>
        <w:p>
          <w:pPr>
            <w:pStyle w:val="TOC3"/>
            <w:tabs>
              <w:tab w:val="clear" w:pos="720"/>
              <w:tab w:val="right" w:pos="9359" w:leader="dot"/>
            </w:tabs>
            <w:rPr/>
          </w:pPr>
          <w:r>
            <w:rPr/>
            <w:t>Descripción del parámetro</w:t>
            <w:tab/>
            <w:t>16</w:t>
          </w:r>
        </w:p>
        <w:p>
          <w:pPr>
            <w:pStyle w:val="TOC3"/>
            <w:tabs>
              <w:tab w:val="clear" w:pos="720"/>
              <w:tab w:val="right" w:pos="9359" w:leader="dot"/>
            </w:tabs>
            <w:rPr/>
          </w:pPr>
          <w:r>
            <w:rPr/>
            <w:t>Evidencia del diagnostico</w:t>
            <w:tab/>
            <w:t>16</w:t>
          </w:r>
        </w:p>
        <w:p>
          <w:pPr>
            <w:pStyle w:val="TOC3"/>
            <w:tabs>
              <w:tab w:val="clear" w:pos="720"/>
              <w:tab w:val="right" w:pos="9359" w:leader="dot"/>
            </w:tabs>
            <w:rPr/>
          </w:pPr>
          <w:r>
            <w:rPr/>
            <w:t>Recomendación</w:t>
            <w:tab/>
            <w:t>16</w:t>
          </w:r>
        </w:p>
        <w:p>
          <w:pPr>
            <w:pStyle w:val="TOC2"/>
            <w:tabs>
              <w:tab w:val="clear" w:pos="720"/>
              <w:tab w:val="right" w:pos="9359" w:leader="dot"/>
            </w:tabs>
            <w:rPr/>
          </w:pPr>
          <w:r>
            <w:rPr/>
            <w:t>3.11 Hallazgo 11 - Autogrowth del Transaction Log Insuficiente</w:t>
            <w:tab/>
            <w:t>17</w:t>
          </w:r>
        </w:p>
        <w:p>
          <w:pPr>
            <w:pStyle w:val="TOC3"/>
            <w:tabs>
              <w:tab w:val="clear" w:pos="720"/>
              <w:tab w:val="right" w:pos="9359" w:leader="dot"/>
            </w:tabs>
            <w:rPr/>
          </w:pPr>
          <w:r>
            <w:rPr/>
            <w:t>Descripción del parámetro</w:t>
            <w:tab/>
            <w:t>17</w:t>
          </w:r>
        </w:p>
        <w:p>
          <w:pPr>
            <w:pStyle w:val="TOC3"/>
            <w:tabs>
              <w:tab w:val="clear" w:pos="720"/>
              <w:tab w:val="right" w:pos="9359" w:leader="dot"/>
            </w:tabs>
            <w:rPr/>
          </w:pPr>
          <w:r>
            <w:rPr/>
            <w:t>Evidencia del diagnostico</w:t>
            <w:tab/>
            <w:t>17</w:t>
          </w:r>
        </w:p>
        <w:p>
          <w:pPr>
            <w:pStyle w:val="TOC3"/>
            <w:tabs>
              <w:tab w:val="clear" w:pos="720"/>
              <w:tab w:val="right" w:pos="9359" w:leader="dot"/>
            </w:tabs>
            <w:rPr/>
          </w:pPr>
          <w:r>
            <w:rPr/>
            <w:t>Recomendación</w:t>
            <w:tab/>
            <w:t>17</w:t>
          </w:r>
        </w:p>
        <w:p>
          <w:pPr>
            <w:pStyle w:val="TOC2"/>
            <w:tabs>
              <w:tab w:val="clear" w:pos="720"/>
              <w:tab w:val="right" w:pos="9359" w:leader="dot"/>
            </w:tabs>
            <w:rPr/>
          </w:pPr>
          <w:r>
            <w:rPr/>
            <w:t>3.12 Hallazgo 12 - Tablas HEAP en VISTA</w:t>
            <w:tab/>
            <w:t>17</w:t>
          </w:r>
        </w:p>
        <w:p>
          <w:pPr>
            <w:pStyle w:val="TOC3"/>
            <w:tabs>
              <w:tab w:val="clear" w:pos="720"/>
              <w:tab w:val="right" w:pos="9359" w:leader="dot"/>
            </w:tabs>
            <w:rPr/>
          </w:pPr>
          <w:r>
            <w:rPr/>
            <w:t>Descripción del parámetro</w:t>
            <w:tab/>
            <w:t>17</w:t>
          </w:r>
        </w:p>
        <w:p>
          <w:pPr>
            <w:pStyle w:val="TOC3"/>
            <w:tabs>
              <w:tab w:val="clear" w:pos="720"/>
              <w:tab w:val="right" w:pos="9359" w:leader="dot"/>
            </w:tabs>
            <w:rPr/>
          </w:pPr>
          <w:r>
            <w:rPr/>
            <w:t>Evidencia del diagnostico</w:t>
            <w:tab/>
            <w:t>17</w:t>
          </w:r>
        </w:p>
        <w:p>
          <w:pPr>
            <w:pStyle w:val="TOC3"/>
            <w:tabs>
              <w:tab w:val="clear" w:pos="720"/>
              <w:tab w:val="right" w:pos="9359" w:leader="dot"/>
            </w:tabs>
            <w:rPr/>
          </w:pPr>
          <w:r>
            <w:rPr/>
            <w:t>Recomendación</w:t>
            <w:tab/>
            <w:t>18</w:t>
          </w:r>
        </w:p>
        <w:p>
          <w:pPr>
            <w:pStyle w:val="TOC1"/>
            <w:tabs>
              <w:tab w:val="clear" w:pos="720"/>
              <w:tab w:val="right" w:pos="9359" w:leader="dot"/>
            </w:tabs>
            <w:rPr/>
          </w:pPr>
          <w:r>
            <w:rPr/>
            <w:t>4. Plan de Implementación por Fases</w:t>
            <w:tab/>
            <w:t>18</w:t>
          </w:r>
        </w:p>
        <w:p>
          <w:pPr>
            <w:pStyle w:val="TOC1"/>
            <w:tabs>
              <w:tab w:val="clear" w:pos="720"/>
              <w:tab w:val="right" w:pos="9359" w:leader="dot"/>
            </w:tabs>
            <w:rPr/>
          </w:pPr>
          <w:r>
            <w:rPr/>
            <w:t>5. Recomendaciones Adicionales</w:t>
            <w:tab/>
            <w:t>20</w:t>
          </w:r>
        </w:p>
        <w:p>
          <w:pPr>
            <w:pStyle w:val="TOC1"/>
            <w:tabs>
              <w:tab w:val="clear" w:pos="720"/>
              <w:tab w:val="right" w:pos="9359" w:leader="dot"/>
            </w:tabs>
            <w:rPr/>
          </w:pPr>
          <w:r>
            <w:rPr/>
            <w:t>6. Referencias Oficiales Microsoft</w:t>
            <w:tab/>
            <w:t>21</w:t>
          </w:r>
        </w:p>
        <w:p>
          <w:pPr>
            <w:pStyle w:val="TOC1"/>
            <w:tabs>
              <w:tab w:val="clear" w:pos="720"/>
              <w:tab w:val="right" w:pos="9359" w:leader="dot"/>
            </w:tabs>
            <w:spacing w:before="0" w:after="0"/>
            <w:rPr/>
          </w:pPr>
          <w:r>
            <w:rPr/>
            <w:t>7. Glosario</w:t>
            <w:tab/>
            <w:t>23</w:t>
          </w:r>
          <w:r>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pPr>
          <w:r>
            <w:br w:type="page"/>
          </w:r>
        </w:p>
      </w:sdtContent>
    </w:sdt>
    <w:p>
      <w:pPr>
        <w:pStyle w:val="heading10"/>
        <w:pBdr>
          <w:bottom w:val="single" w:sz="6" w:space="1" w:color="2E75B6"/>
        </w:pBdr>
        <w:spacing w:before="0" w:after="120"/>
        <w:rPr>
          <w:lang w:val="es-EC"/>
        </w:rPr>
      </w:pPr>
      <w:bookmarkStart w:id="2" w:name="__RefHeading___Toc12372_3037558313"/>
      <w:bookmarkStart w:id="3" w:name="_Toc225746704"/>
      <w:bookmarkEnd w:id="2"/>
      <w:r>
        <w:rPr>
          <w:lang w:val="es-EC"/>
        </w:rPr>
        <w:t>1. Introducción</w:t>
      </w:r>
      <w:bookmarkEnd w:id="3"/>
    </w:p>
    <w:p>
      <w:pPr>
        <w:pStyle w:val="heading20"/>
        <w:rPr>
          <w:lang w:val="es-EC"/>
        </w:rPr>
      </w:pPr>
      <w:bookmarkStart w:id="4" w:name="__RefHeading___Toc12374_3037558313"/>
      <w:bookmarkStart w:id="5" w:name="_Toc225746705"/>
      <w:bookmarkEnd w:id="4"/>
      <w:r>
        <w:rPr>
          <w:lang w:val="es-EC"/>
        </w:rPr>
        <w:t>1.1 Propósito del Documento</w:t>
      </w:r>
      <w:bookmarkEnd w:id="5"/>
    </w:p>
    <w:p>
      <w:pPr>
        <w:pStyle w:val="Normal"/>
        <w:spacing w:before="0" w:after="100"/>
        <w:rPr>
          <w:lang w:val="es-EC"/>
        </w:rPr>
      </w:pPr>
      <w:r>
        <w:rPr>
          <w:color w:val="000000"/>
          <w:lang w:val="es-EC"/>
        </w:rPr>
        <w:t>Este documento constituye el Documento de Definición de Arquitectura para el análisis de rendimiento y estado de las bases de datos SQL Server 2016 que soportan los servicios VISTA API Connect de Multicines. Su objetivo es proporcionar al equipo técnico y a la gerencia una evaluación estructurada del estado actual de las tres bases de datos analizadas, identificando hallazgos críticos y recomendaciones priorizadas con sustento en documentación oficial de Microsoft.</w:t>
      </w:r>
    </w:p>
    <w:p>
      <w:pPr>
        <w:pStyle w:val="Normal"/>
        <w:spacing w:before="0" w:after="100"/>
        <w:rPr>
          <w:lang w:val="es-EC"/>
        </w:rPr>
      </w:pPr>
      <w:r>
        <w:rPr>
          <w:color w:val="000000"/>
          <w:lang w:val="es-EC"/>
        </w:rPr>
        <w:t>El análisis se ejecuto mediante un procedimiento de diagnostico integral que evalúa configuración del motor, fragmentación de indices, estadísticas, consultas costosas, wait statistics, estado de backups y uso del espacio.</w:t>
      </w:r>
    </w:p>
    <w:p>
      <w:pPr>
        <w:pStyle w:val="heading20"/>
        <w:rPr>
          <w:lang w:val="es-EC"/>
        </w:rPr>
      </w:pPr>
      <w:bookmarkStart w:id="6" w:name="__RefHeading___Toc12376_3037558313"/>
      <w:bookmarkStart w:id="7" w:name="_Toc225746706"/>
      <w:bookmarkEnd w:id="6"/>
      <w:r>
        <w:rPr>
          <w:lang w:val="es-EC"/>
        </w:rPr>
        <w:t>1.2 Contexto y Descripción del Entorno</w:t>
      </w:r>
      <w:bookmarkEnd w:id="7"/>
    </w:p>
    <w:p>
      <w:pPr>
        <w:pStyle w:val="Normal"/>
        <w:spacing w:before="0" w:after="100"/>
        <w:rPr>
          <w:lang w:val="es-EC"/>
        </w:rPr>
      </w:pPr>
      <w:r>
        <w:rPr>
          <w:color w:val="000000"/>
          <w:lang w:val="es-EC"/>
        </w:rPr>
        <w:t>El sistema de Multicines integra el sistema de gestión TRADE con VISTA API Connect mediante servicios expuestos sobre IIS 10. Las bases de datos analizadas corresponden a tres instancias de SQL Server 2016 que alojan diferentes módulos funcionales del sistema:</w:t>
      </w:r>
    </w:p>
    <w:p>
      <w:pPr>
        <w:pStyle w:val="ListParagraph"/>
        <w:numPr>
          <w:ilvl w:val="0"/>
          <w:numId w:val="6"/>
        </w:numPr>
        <w:spacing w:before="0" w:after="60"/>
        <w:rPr>
          <w:lang w:val="es-EC"/>
        </w:rPr>
      </w:pPr>
      <w:r>
        <w:rPr>
          <w:color w:val="000000"/>
          <w:lang w:val="es-EC"/>
        </w:rPr>
        <w:t>VISTAIT (instancia SRV-API): base de datos del modulo de API Connect e integración, incluyendo gestión de ordenes, precios, paquetes y sistema de loyalty por clave-valor.</w:t>
      </w:r>
    </w:p>
    <w:p>
      <w:pPr>
        <w:pStyle w:val="ListParagraph"/>
        <w:numPr>
          <w:ilvl w:val="0"/>
          <w:numId w:val="4"/>
        </w:numPr>
        <w:spacing w:before="0" w:after="60"/>
        <w:rPr>
          <w:lang w:val="es-EC"/>
        </w:rPr>
      </w:pPr>
      <w:r>
        <w:rPr>
          <w:color w:val="000000"/>
          <w:lang w:val="es-EC"/>
        </w:rPr>
        <w:t>VISTA (instancia VISTACON): base de datos principal del sistema de cine, incluyendo sesiones, transacciones de boletera, facturación electrónica y eventos.</w:t>
      </w:r>
    </w:p>
    <w:p>
      <w:pPr>
        <w:pStyle w:val="ListParagraph"/>
        <w:numPr>
          <w:ilvl w:val="0"/>
          <w:numId w:val="4"/>
        </w:numPr>
        <w:spacing w:before="0" w:after="60"/>
        <w:rPr>
          <w:lang w:val="es-EC"/>
        </w:rPr>
      </w:pPr>
      <w:r>
        <w:rPr>
          <w:color w:val="000000"/>
          <w:lang w:val="es-EC"/>
        </w:rPr>
        <w:t>VISTALOYALTY (instancia SRVLOY): base de datos del programa de fidelización, incluyendo miembros, campanas de reconocimiento, transacciones de puntos y balances.</w:t>
      </w:r>
    </w:p>
    <w:p>
      <w:pPr>
        <w:pStyle w:val="Normal"/>
        <w:spacing w:before="0" w:after="120"/>
        <w:rPr>
          <w:lang w:val="es-EC"/>
        </w:rPr>
      </w:pPr>
      <w:r>
        <w:rPr>
          <w:lang w:val="es-EC"/>
        </w:rPr>
      </w:r>
    </w:p>
    <w:p>
      <w:pPr>
        <w:pStyle w:val="heading20"/>
        <w:rPr>
          <w:lang w:val="es-EC"/>
        </w:rPr>
      </w:pPr>
      <w:bookmarkStart w:id="8" w:name="__RefHeading___Toc12378_3037558313"/>
      <w:bookmarkStart w:id="9" w:name="_Toc225746707"/>
      <w:bookmarkEnd w:id="8"/>
      <w:r>
        <w:rPr>
          <w:lang w:val="es-EC"/>
        </w:rPr>
        <w:t>1.3 Inventario de Instancias y Bases de Datos</w:t>
      </w:r>
      <w:bookmarkEnd w:id="9"/>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319"/>
        <w:gridCol w:w="1580"/>
        <w:gridCol w:w="2657"/>
        <w:gridCol w:w="1203"/>
        <w:gridCol w:w="992"/>
        <w:gridCol w:w="1609"/>
      </w:tblGrid>
      <w:tr>
        <w:trPr>
          <w:tblHeader w:val="true"/>
        </w:trPr>
        <w:tc>
          <w:tcPr>
            <w:tcW w:w="1319"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Instancia</w:t>
            </w:r>
          </w:p>
        </w:tc>
        <w:tc>
          <w:tcPr>
            <w:tcW w:w="158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2657"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Version SQL Server</w:t>
            </w:r>
          </w:p>
        </w:tc>
        <w:tc>
          <w:tcPr>
            <w:tcW w:w="1203"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Tamano Datos</w:t>
            </w:r>
          </w:p>
        </w:tc>
        <w:tc>
          <w:tcPr>
            <w:tcW w:w="992"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Tamano Log</w:t>
            </w:r>
          </w:p>
        </w:tc>
        <w:tc>
          <w:tcPr>
            <w:tcW w:w="1609"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Espacio Libre Datos</w:t>
            </w:r>
          </w:p>
        </w:tc>
      </w:tr>
      <w:tr>
        <w:trPr/>
        <w:tc>
          <w:tcPr>
            <w:tcW w:w="1319"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SRV-API</w:t>
            </w:r>
          </w:p>
        </w:tc>
        <w:tc>
          <w:tcPr>
            <w:tcW w:w="158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VISTAIT</w:t>
            </w:r>
          </w:p>
        </w:tc>
        <w:tc>
          <w:tcPr>
            <w:tcW w:w="265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SQL Server 2016 SP3-GDR (13.0.6475.1)</w:t>
            </w:r>
          </w:p>
        </w:tc>
        <w:tc>
          <w:tcPr>
            <w:tcW w:w="120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17,981 MB</w:t>
            </w:r>
          </w:p>
        </w:tc>
        <w:tc>
          <w:tcPr>
            <w:tcW w:w="99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259.94 MB</w:t>
            </w:r>
          </w:p>
        </w:tc>
        <w:tc>
          <w:tcPr>
            <w:tcW w:w="1609"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3,496 MB (19.4%)</w:t>
            </w:r>
          </w:p>
        </w:tc>
      </w:tr>
      <w:tr>
        <w:trPr/>
        <w:tc>
          <w:tcPr>
            <w:tcW w:w="1319"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VISTACON</w:t>
            </w:r>
          </w:p>
        </w:tc>
        <w:tc>
          <w:tcPr>
            <w:tcW w:w="158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w:t>
            </w:r>
          </w:p>
        </w:tc>
        <w:tc>
          <w:tcPr>
            <w:tcW w:w="265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SQL Server 2016 SP3-GDR (13.0.6475.1)</w:t>
            </w:r>
          </w:p>
        </w:tc>
        <w:tc>
          <w:tcPr>
            <w:tcW w:w="1203"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83,306 MB</w:t>
            </w:r>
          </w:p>
        </w:tc>
        <w:tc>
          <w:tcPr>
            <w:tcW w:w="99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67.94 MB</w:t>
            </w:r>
          </w:p>
        </w:tc>
        <w:tc>
          <w:tcPr>
            <w:tcW w:w="1609"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22,783 MB (27.3%)</w:t>
            </w:r>
          </w:p>
        </w:tc>
      </w:tr>
      <w:tr>
        <w:trPr/>
        <w:tc>
          <w:tcPr>
            <w:tcW w:w="1319"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SRVLOY</w:t>
            </w:r>
          </w:p>
        </w:tc>
        <w:tc>
          <w:tcPr>
            <w:tcW w:w="158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265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SQL Server 2016 SP3-GDR (13.0.6446.0)</w:t>
            </w:r>
          </w:p>
        </w:tc>
        <w:tc>
          <w:tcPr>
            <w:tcW w:w="120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130,322 MB</w:t>
            </w:r>
          </w:p>
        </w:tc>
        <w:tc>
          <w:tcPr>
            <w:tcW w:w="99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195.94 MB</w:t>
            </w:r>
          </w:p>
        </w:tc>
        <w:tc>
          <w:tcPr>
            <w:tcW w:w="1609"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764 MB (0.6%)</w:t>
            </w:r>
          </w:p>
        </w:tc>
      </w:tr>
    </w:tbl>
    <w:p>
      <w:pPr>
        <w:pStyle w:val="Normal"/>
        <w:spacing w:before="0" w:after="120"/>
        <w:rPr>
          <w:lang w:val="es-EC"/>
        </w:rPr>
      </w:pPr>
      <w:r>
        <w:rPr>
          <w:lang w:val="es-EC"/>
        </w:rPr>
      </w:r>
    </w:p>
    <w:p>
      <w:pPr>
        <w:pStyle w:val="Normal"/>
        <w:pBdr>
          <w:left w:val="single" w:sz="12" w:space="6" w:color="C00000"/>
        </w:pBdr>
        <w:spacing w:before="120" w:after="120"/>
        <w:rPr>
          <w:lang w:val="es-EC"/>
        </w:rPr>
      </w:pPr>
      <w:r>
        <w:rPr>
          <w:b/>
          <w:bCs/>
          <w:color w:val="C00000"/>
          <w:lang w:val="es-EC"/>
        </w:rPr>
        <w:t xml:space="preserve">Nota importante: </w:t>
      </w:r>
      <w:r>
        <w:rPr>
          <w:color w:val="000000"/>
          <w:lang w:val="es-EC"/>
        </w:rPr>
        <w:t>La base de datos VISTALOYALTY presenta un espacio libre de apenas 764 MB sobre un archivo de 130 GB, lo que representa un 0.6% de disponibilidad. Esta condición es critica y requiere atención inmediata independientemente del resto de hallazgos.</w:t>
      </w:r>
    </w:p>
    <w:p>
      <w:pPr>
        <w:pStyle w:val="Normal"/>
        <w:rPr>
          <w:lang w:val="es-EC"/>
        </w:rPr>
      </w:pPr>
      <w:r>
        <w:rPr>
          <w:lang w:val="es-EC"/>
        </w:rPr>
      </w:r>
      <w:r>
        <w:br w:type="page"/>
      </w:r>
    </w:p>
    <w:p>
      <w:pPr>
        <w:pStyle w:val="heading10"/>
        <w:pBdr>
          <w:bottom w:val="single" w:sz="6" w:space="1" w:color="2E75B6"/>
        </w:pBdr>
        <w:spacing w:before="0" w:after="120"/>
        <w:rPr>
          <w:lang w:val="es-EC"/>
        </w:rPr>
      </w:pPr>
      <w:bookmarkStart w:id="10" w:name="__RefHeading___Toc12380_3037558313"/>
      <w:bookmarkStart w:id="11" w:name="_Toc225746708"/>
      <w:bookmarkEnd w:id="10"/>
      <w:r>
        <w:rPr>
          <w:lang w:val="es-EC"/>
        </w:rPr>
        <w:t>2. Resumen Ejecutivo de Hallazgos</w:t>
      </w:r>
      <w:bookmarkEnd w:id="11"/>
    </w:p>
    <w:p>
      <w:pPr>
        <w:pStyle w:val="Normal"/>
        <w:spacing w:before="0" w:after="100"/>
        <w:rPr>
          <w:lang w:val="es-EC"/>
        </w:rPr>
      </w:pPr>
      <w:r>
        <w:rPr>
          <w:color w:val="000000"/>
          <w:lang w:val="es-EC"/>
        </w:rPr>
        <w:t>El análisis identifico 14 hallazgos distribuidos en seis áreas de evaluación. Los hallazgos 1 a 5 requieren atención inmediata por su impacto directo en la disponibilidad y recuperabilidad del sistema. Los hallazgos 6 a 14 tienen impacto en rendimiento y mantenibilidad y deben ser planificados en una fase posterior o en paralelo.</w:t>
      </w:r>
    </w:p>
    <w:p>
      <w:pPr>
        <w:pStyle w:val="Normal"/>
        <w:spacing w:before="0" w:after="80"/>
        <w:rPr>
          <w:lang w:val="es-EC"/>
        </w:rPr>
      </w:pPr>
      <w:r>
        <w:rPr>
          <w:lang w:val="es-EC"/>
        </w:rPr>
      </w:r>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598"/>
        <w:gridCol w:w="4330"/>
        <w:gridCol w:w="1642"/>
        <w:gridCol w:w="2790"/>
      </w:tblGrid>
      <w:tr>
        <w:trPr>
          <w:tblHeader w:val="true"/>
        </w:trPr>
        <w:tc>
          <w:tcPr>
            <w:tcW w:w="598" w:type="dxa"/>
            <w:tcBorders>
              <w:top w:val="single" w:sz="2" w:space="0" w:color="2E75B6"/>
              <w:start w:val="single" w:sz="2" w:space="0" w:color="2E75B6"/>
              <w:bottom w:val="single" w:sz="2" w:space="0" w:color="2E75B6"/>
              <w:end w:val="single" w:sz="2" w:space="0" w:color="2E75B6"/>
            </w:tcBorders>
            <w:shd w:color="auto" w:fill="1F3864" w:val="clear"/>
          </w:tcPr>
          <w:p>
            <w:pPr>
              <w:pStyle w:val="Normal"/>
              <w:rPr>
                <w:lang w:val="es-EC"/>
              </w:rPr>
            </w:pPr>
            <w:r>
              <w:rPr>
                <w:b/>
                <w:bCs/>
                <w:color w:val="FFFFFF"/>
                <w:sz w:val="20"/>
                <w:szCs w:val="20"/>
                <w:lang w:val="es-EC"/>
              </w:rPr>
              <w:t>#</w:t>
            </w:r>
          </w:p>
        </w:tc>
        <w:tc>
          <w:tcPr>
            <w:tcW w:w="4330" w:type="dxa"/>
            <w:tcBorders>
              <w:top w:val="single" w:sz="2" w:space="0" w:color="2E75B6"/>
              <w:start w:val="single" w:sz="2" w:space="0" w:color="2E75B6"/>
              <w:bottom w:val="single" w:sz="2" w:space="0" w:color="2E75B6"/>
              <w:end w:val="single" w:sz="2" w:space="0" w:color="2E75B6"/>
            </w:tcBorders>
            <w:shd w:color="auto" w:fill="1F3864" w:val="clear"/>
          </w:tcPr>
          <w:p>
            <w:pPr>
              <w:pStyle w:val="Normal"/>
              <w:rPr>
                <w:lang w:val="es-EC"/>
              </w:rPr>
            </w:pPr>
            <w:r>
              <w:rPr>
                <w:b/>
                <w:bCs/>
                <w:color w:val="FFFFFF"/>
                <w:sz w:val="20"/>
                <w:szCs w:val="20"/>
                <w:lang w:val="es-EC"/>
              </w:rPr>
              <w:t>Hallazgo</w:t>
            </w:r>
          </w:p>
        </w:tc>
        <w:tc>
          <w:tcPr>
            <w:tcW w:w="1642" w:type="dxa"/>
            <w:tcBorders>
              <w:top w:val="single" w:sz="2" w:space="0" w:color="2E75B6"/>
              <w:start w:val="single" w:sz="2" w:space="0" w:color="2E75B6"/>
              <w:bottom w:val="single" w:sz="2" w:space="0" w:color="2E75B6"/>
              <w:end w:val="single" w:sz="2" w:space="0" w:color="2E75B6"/>
            </w:tcBorders>
            <w:shd w:color="auto" w:fill="1F3864" w:val="clear"/>
          </w:tcPr>
          <w:p>
            <w:pPr>
              <w:pStyle w:val="Normal"/>
              <w:rPr>
                <w:lang w:val="es-EC"/>
              </w:rPr>
            </w:pPr>
            <w:r>
              <w:rPr>
                <w:b/>
                <w:bCs/>
                <w:color w:val="FFFFFF"/>
                <w:sz w:val="20"/>
                <w:szCs w:val="20"/>
                <w:lang w:val="es-EC"/>
              </w:rPr>
              <w:t>Severidad</w:t>
            </w:r>
          </w:p>
        </w:tc>
        <w:tc>
          <w:tcPr>
            <w:tcW w:w="2790" w:type="dxa"/>
            <w:tcBorders>
              <w:top w:val="single" w:sz="2" w:space="0" w:color="2E75B6"/>
              <w:start w:val="single" w:sz="2" w:space="0" w:color="2E75B6"/>
              <w:bottom w:val="single" w:sz="2" w:space="0" w:color="2E75B6"/>
              <w:end w:val="single" w:sz="2" w:space="0" w:color="2E75B6"/>
            </w:tcBorders>
            <w:shd w:color="auto" w:fill="1F3864" w:val="clear"/>
          </w:tcPr>
          <w:p>
            <w:pPr>
              <w:pStyle w:val="Normal"/>
              <w:rPr>
                <w:lang w:val="es-EC"/>
              </w:rPr>
            </w:pPr>
            <w:r>
              <w:rPr>
                <w:b/>
                <w:bCs/>
                <w:color w:val="FFFFFF"/>
                <w:sz w:val="20"/>
                <w:szCs w:val="20"/>
                <w:lang w:val="es-EC"/>
              </w:rPr>
              <w:t>Bases de Datos Afectadas</w:t>
            </w:r>
          </w:p>
        </w:tc>
      </w:tr>
      <w:tr>
        <w:trPr/>
        <w:tc>
          <w:tcPr>
            <w:tcW w:w="5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2E75B6"/>
                <w:sz w:val="20"/>
                <w:szCs w:val="20"/>
                <w:lang w:val="es-EC"/>
              </w:rPr>
              <w:t>1</w:t>
            </w:r>
          </w:p>
        </w:tc>
        <w:tc>
          <w:tcPr>
            <w:tcW w:w="433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Backup de transaction log ausente en las tres bases de datos (modelo FULL sin log backup)</w:t>
            </w:r>
          </w:p>
        </w:tc>
        <w:tc>
          <w:tcPr>
            <w:tcW w:w="1642" w:type="dxa"/>
            <w:tcBorders>
              <w:top w:val="single" w:sz="2" w:space="0" w:color="CCCCCC"/>
              <w:start w:val="single" w:sz="2" w:space="0" w:color="CCCCCC"/>
              <w:bottom w:val="single" w:sz="2" w:space="0" w:color="CCCCCC"/>
              <w:end w:val="single" w:sz="2" w:space="0" w:color="CCCCCC"/>
            </w:tcBorders>
            <w:shd w:color="auto" w:fill="FFDDD9" w:val="clear"/>
            <w:tcMar>
              <w:top w:w="50" w:type="dxa"/>
              <w:bottom w:w="50" w:type="dxa"/>
            </w:tcMar>
            <w:vAlign w:val="center"/>
          </w:tcPr>
          <w:p>
            <w:pPr>
              <w:pStyle w:val="Normal"/>
              <w:jc w:val="center"/>
              <w:rPr>
                <w:lang w:val="es-EC"/>
              </w:rPr>
            </w:pPr>
            <w:r>
              <w:rPr>
                <w:b/>
                <w:bCs/>
                <w:color w:val="C00000"/>
                <w:sz w:val="20"/>
                <w:szCs w:val="20"/>
                <w:lang w:val="es-EC"/>
              </w:rPr>
              <w:t>CRITICO</w:t>
            </w:r>
          </w:p>
        </w:tc>
        <w:tc>
          <w:tcPr>
            <w:tcW w:w="279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VISTAIT, VISTA, VISTALOYALTY</w:t>
            </w:r>
          </w:p>
        </w:tc>
      </w:tr>
      <w:tr>
        <w:trPr/>
        <w:tc>
          <w:tcPr>
            <w:tcW w:w="5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2E75B6"/>
                <w:sz w:val="20"/>
                <w:szCs w:val="20"/>
                <w:lang w:val="es-EC"/>
              </w:rPr>
              <w:t>2</w:t>
            </w:r>
          </w:p>
        </w:tc>
        <w:tc>
          <w:tcPr>
            <w:tcW w:w="433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Base de datos VISTA sin ningún backup registrado en el historial del sistema</w:t>
            </w:r>
          </w:p>
        </w:tc>
        <w:tc>
          <w:tcPr>
            <w:tcW w:w="1642" w:type="dxa"/>
            <w:tcBorders>
              <w:top w:val="single" w:sz="2" w:space="0" w:color="CCCCCC"/>
              <w:start w:val="single" w:sz="2" w:space="0" w:color="CCCCCC"/>
              <w:bottom w:val="single" w:sz="2" w:space="0" w:color="CCCCCC"/>
              <w:end w:val="single" w:sz="2" w:space="0" w:color="CCCCCC"/>
            </w:tcBorders>
            <w:shd w:color="auto" w:fill="FFDDD9" w:val="clear"/>
            <w:tcMar>
              <w:top w:w="50" w:type="dxa"/>
              <w:bottom w:w="50" w:type="dxa"/>
            </w:tcMar>
            <w:vAlign w:val="center"/>
          </w:tcPr>
          <w:p>
            <w:pPr>
              <w:pStyle w:val="Normal"/>
              <w:jc w:val="center"/>
              <w:rPr>
                <w:lang w:val="es-EC"/>
              </w:rPr>
            </w:pPr>
            <w:r>
              <w:rPr>
                <w:b/>
                <w:bCs/>
                <w:color w:val="C00000"/>
                <w:sz w:val="20"/>
                <w:szCs w:val="20"/>
                <w:lang w:val="es-EC"/>
              </w:rPr>
              <w:t>CRITICO</w:t>
            </w:r>
          </w:p>
        </w:tc>
        <w:tc>
          <w:tcPr>
            <w:tcW w:w="279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VISTA</w:t>
            </w:r>
          </w:p>
        </w:tc>
      </w:tr>
      <w:tr>
        <w:trPr/>
        <w:tc>
          <w:tcPr>
            <w:tcW w:w="5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2E75B6"/>
                <w:sz w:val="20"/>
                <w:szCs w:val="20"/>
                <w:lang w:val="es-EC"/>
              </w:rPr>
              <w:t>3</w:t>
            </w:r>
          </w:p>
        </w:tc>
        <w:tc>
          <w:tcPr>
            <w:tcW w:w="433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Espacio en disco critico: VISTALOYALTY con 0.6% de espacio libre (764 MB sobre 130 GB)</w:t>
            </w:r>
          </w:p>
        </w:tc>
        <w:tc>
          <w:tcPr>
            <w:tcW w:w="1642" w:type="dxa"/>
            <w:tcBorders>
              <w:top w:val="single" w:sz="2" w:space="0" w:color="CCCCCC"/>
              <w:start w:val="single" w:sz="2" w:space="0" w:color="CCCCCC"/>
              <w:bottom w:val="single" w:sz="2" w:space="0" w:color="CCCCCC"/>
              <w:end w:val="single" w:sz="2" w:space="0" w:color="CCCCCC"/>
            </w:tcBorders>
            <w:shd w:color="auto" w:fill="FFDDD9" w:val="clear"/>
            <w:tcMar>
              <w:top w:w="50" w:type="dxa"/>
              <w:bottom w:w="50" w:type="dxa"/>
            </w:tcMar>
            <w:vAlign w:val="center"/>
          </w:tcPr>
          <w:p>
            <w:pPr>
              <w:pStyle w:val="Normal"/>
              <w:jc w:val="center"/>
              <w:rPr>
                <w:lang w:val="es-EC"/>
              </w:rPr>
            </w:pPr>
            <w:r>
              <w:rPr>
                <w:b/>
                <w:bCs/>
                <w:color w:val="C00000"/>
                <w:sz w:val="20"/>
                <w:szCs w:val="20"/>
                <w:lang w:val="es-EC"/>
              </w:rPr>
              <w:t>CRITICO</w:t>
            </w:r>
          </w:p>
        </w:tc>
        <w:tc>
          <w:tcPr>
            <w:tcW w:w="279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VISTALOYALTY</w:t>
            </w:r>
          </w:p>
        </w:tc>
      </w:tr>
      <w:tr>
        <w:trPr/>
        <w:tc>
          <w:tcPr>
            <w:tcW w:w="5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2E75B6"/>
                <w:sz w:val="20"/>
                <w:szCs w:val="20"/>
                <w:lang w:val="es-EC"/>
              </w:rPr>
              <w:t>4</w:t>
            </w:r>
          </w:p>
        </w:tc>
        <w:tc>
          <w:tcPr>
            <w:tcW w:w="433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Fragmentación severa de indices: 327 indices con REBUILD requerido en las tres BDs</w:t>
            </w:r>
          </w:p>
        </w:tc>
        <w:tc>
          <w:tcPr>
            <w:tcW w:w="1642" w:type="dxa"/>
            <w:tcBorders>
              <w:top w:val="single" w:sz="2" w:space="0" w:color="CCCCCC"/>
              <w:start w:val="single" w:sz="2" w:space="0" w:color="CCCCCC"/>
              <w:bottom w:val="single" w:sz="2" w:space="0" w:color="CCCCCC"/>
              <w:end w:val="single" w:sz="2" w:space="0" w:color="CCCCCC"/>
            </w:tcBorders>
            <w:shd w:color="auto" w:fill="FFDDD9" w:val="clear"/>
            <w:tcMar>
              <w:top w:w="50" w:type="dxa"/>
              <w:bottom w:w="50" w:type="dxa"/>
            </w:tcMar>
            <w:vAlign w:val="center"/>
          </w:tcPr>
          <w:p>
            <w:pPr>
              <w:pStyle w:val="Normal"/>
              <w:jc w:val="center"/>
              <w:rPr>
                <w:lang w:val="es-EC"/>
              </w:rPr>
            </w:pPr>
            <w:r>
              <w:rPr>
                <w:b/>
                <w:bCs/>
                <w:color w:val="C00000"/>
                <w:sz w:val="20"/>
                <w:szCs w:val="20"/>
                <w:lang w:val="es-EC"/>
              </w:rPr>
              <w:t>CRITICO</w:t>
            </w:r>
          </w:p>
        </w:tc>
        <w:tc>
          <w:tcPr>
            <w:tcW w:w="279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VISTAIT, VISTA, VISTALOYALTY</w:t>
            </w:r>
          </w:p>
        </w:tc>
      </w:tr>
      <w:tr>
        <w:trPr/>
        <w:tc>
          <w:tcPr>
            <w:tcW w:w="5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2E75B6"/>
                <w:sz w:val="20"/>
                <w:szCs w:val="20"/>
                <w:lang w:val="es-EC"/>
              </w:rPr>
              <w:t>5</w:t>
            </w:r>
          </w:p>
        </w:tc>
        <w:tc>
          <w:tcPr>
            <w:tcW w:w="433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Estadísticas de indices nunca actualizadas: 917 objetos con estado nulo en las tres BDs</w:t>
            </w:r>
          </w:p>
        </w:tc>
        <w:tc>
          <w:tcPr>
            <w:tcW w:w="1642" w:type="dxa"/>
            <w:tcBorders>
              <w:top w:val="single" w:sz="2" w:space="0" w:color="CCCCCC"/>
              <w:start w:val="single" w:sz="2" w:space="0" w:color="CCCCCC"/>
              <w:bottom w:val="single" w:sz="2" w:space="0" w:color="CCCCCC"/>
              <w:end w:val="single" w:sz="2" w:space="0" w:color="CCCCCC"/>
            </w:tcBorders>
            <w:shd w:color="auto" w:fill="FFDDD9" w:val="clear"/>
            <w:tcMar>
              <w:top w:w="50" w:type="dxa"/>
              <w:bottom w:w="50" w:type="dxa"/>
            </w:tcMar>
            <w:vAlign w:val="center"/>
          </w:tcPr>
          <w:p>
            <w:pPr>
              <w:pStyle w:val="Normal"/>
              <w:jc w:val="center"/>
              <w:rPr>
                <w:lang w:val="es-EC"/>
              </w:rPr>
            </w:pPr>
            <w:r>
              <w:rPr>
                <w:b/>
                <w:bCs/>
                <w:color w:val="C00000"/>
                <w:sz w:val="20"/>
                <w:szCs w:val="20"/>
                <w:lang w:val="es-EC"/>
              </w:rPr>
              <w:t>CRITICO</w:t>
            </w:r>
          </w:p>
        </w:tc>
        <w:tc>
          <w:tcPr>
            <w:tcW w:w="279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VISTAIT, VISTA, VISTALOYALTY</w:t>
            </w:r>
          </w:p>
        </w:tc>
      </w:tr>
      <w:tr>
        <w:trPr/>
        <w:tc>
          <w:tcPr>
            <w:tcW w:w="5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2E75B6"/>
                <w:sz w:val="20"/>
                <w:szCs w:val="20"/>
                <w:lang w:val="es-EC"/>
              </w:rPr>
              <w:t>6</w:t>
            </w:r>
          </w:p>
        </w:tc>
        <w:tc>
          <w:tcPr>
            <w:tcW w:w="433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Configuración de paralelismo no ajustada: MAXDOP=0 y cost threshold=5 en las tres instancias</w:t>
            </w:r>
          </w:p>
        </w:tc>
        <w:tc>
          <w:tcPr>
            <w:tcW w:w="1642" w:type="dxa"/>
            <w:tcBorders>
              <w:top w:val="single" w:sz="2" w:space="0" w:color="CCCCCC"/>
              <w:start w:val="single" w:sz="2" w:space="0" w:color="CCCCCC"/>
              <w:bottom w:val="single" w:sz="2" w:space="0" w:color="CCCCCC"/>
              <w:end w:val="single" w:sz="2" w:space="0" w:color="CCCCCC"/>
            </w:tcBorders>
            <w:shd w:color="auto" w:fill="FCE4D6" w:val="clear"/>
            <w:tcMar>
              <w:top w:w="50" w:type="dxa"/>
              <w:bottom w:w="50" w:type="dxa"/>
            </w:tcMar>
            <w:vAlign w:val="center"/>
          </w:tcPr>
          <w:p>
            <w:pPr>
              <w:pStyle w:val="Normal"/>
              <w:jc w:val="center"/>
              <w:rPr>
                <w:lang w:val="es-EC"/>
              </w:rPr>
            </w:pPr>
            <w:r>
              <w:rPr>
                <w:b/>
                <w:bCs/>
                <w:color w:val="C55A11"/>
                <w:sz w:val="20"/>
                <w:szCs w:val="20"/>
                <w:lang w:val="es-EC"/>
              </w:rPr>
              <w:t>ADVERTENCIA</w:t>
            </w:r>
          </w:p>
        </w:tc>
        <w:tc>
          <w:tcPr>
            <w:tcW w:w="279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VISTAIT, VISTA, VISTALOYALTY</w:t>
            </w:r>
          </w:p>
        </w:tc>
      </w:tr>
      <w:tr>
        <w:trPr/>
        <w:tc>
          <w:tcPr>
            <w:tcW w:w="5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2E75B6"/>
                <w:sz w:val="20"/>
                <w:szCs w:val="20"/>
                <w:lang w:val="es-EC"/>
              </w:rPr>
              <w:t>7</w:t>
            </w:r>
          </w:p>
        </w:tc>
        <w:tc>
          <w:tcPr>
            <w:tcW w:w="433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Plan cache ineficiente: optimize for ad hoc workloads desactivado en las tres instancias</w:t>
            </w:r>
          </w:p>
        </w:tc>
        <w:tc>
          <w:tcPr>
            <w:tcW w:w="1642" w:type="dxa"/>
            <w:tcBorders>
              <w:top w:val="single" w:sz="2" w:space="0" w:color="CCCCCC"/>
              <w:start w:val="single" w:sz="2" w:space="0" w:color="CCCCCC"/>
              <w:bottom w:val="single" w:sz="2" w:space="0" w:color="CCCCCC"/>
              <w:end w:val="single" w:sz="2" w:space="0" w:color="CCCCCC"/>
            </w:tcBorders>
            <w:shd w:color="auto" w:fill="FCE4D6" w:val="clear"/>
            <w:tcMar>
              <w:top w:w="50" w:type="dxa"/>
              <w:bottom w:w="50" w:type="dxa"/>
            </w:tcMar>
            <w:vAlign w:val="center"/>
          </w:tcPr>
          <w:p>
            <w:pPr>
              <w:pStyle w:val="Normal"/>
              <w:jc w:val="center"/>
              <w:rPr>
                <w:lang w:val="es-EC"/>
              </w:rPr>
            </w:pPr>
            <w:r>
              <w:rPr>
                <w:b/>
                <w:bCs/>
                <w:color w:val="C55A11"/>
                <w:sz w:val="20"/>
                <w:szCs w:val="20"/>
                <w:lang w:val="es-EC"/>
              </w:rPr>
              <w:t>ADVERTENCIA</w:t>
            </w:r>
          </w:p>
        </w:tc>
        <w:tc>
          <w:tcPr>
            <w:tcW w:w="279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VISTAIT, VISTA, VISTALOYALTY</w:t>
            </w:r>
          </w:p>
        </w:tc>
      </w:tr>
      <w:tr>
        <w:trPr/>
        <w:tc>
          <w:tcPr>
            <w:tcW w:w="5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2E75B6"/>
                <w:sz w:val="20"/>
                <w:szCs w:val="20"/>
                <w:lang w:val="es-EC"/>
              </w:rPr>
              <w:t>8</w:t>
            </w:r>
          </w:p>
        </w:tc>
        <w:tc>
          <w:tcPr>
            <w:tcW w:w="433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RCSI desactivado: operaciones de lectura generan bloqueos sobre escrituras concurrentes</w:t>
            </w:r>
          </w:p>
        </w:tc>
        <w:tc>
          <w:tcPr>
            <w:tcW w:w="1642" w:type="dxa"/>
            <w:tcBorders>
              <w:top w:val="single" w:sz="2" w:space="0" w:color="CCCCCC"/>
              <w:start w:val="single" w:sz="2" w:space="0" w:color="CCCCCC"/>
              <w:bottom w:val="single" w:sz="2" w:space="0" w:color="CCCCCC"/>
              <w:end w:val="single" w:sz="2" w:space="0" w:color="CCCCCC"/>
            </w:tcBorders>
            <w:shd w:color="auto" w:fill="FCE4D6" w:val="clear"/>
            <w:tcMar>
              <w:top w:w="50" w:type="dxa"/>
              <w:bottom w:w="50" w:type="dxa"/>
            </w:tcMar>
            <w:vAlign w:val="center"/>
          </w:tcPr>
          <w:p>
            <w:pPr>
              <w:pStyle w:val="Normal"/>
              <w:jc w:val="center"/>
              <w:rPr>
                <w:lang w:val="es-EC"/>
              </w:rPr>
            </w:pPr>
            <w:r>
              <w:rPr>
                <w:b/>
                <w:bCs/>
                <w:color w:val="C55A11"/>
                <w:sz w:val="20"/>
                <w:szCs w:val="20"/>
                <w:lang w:val="es-EC"/>
              </w:rPr>
              <w:t>ADVERTENCIA</w:t>
            </w:r>
          </w:p>
        </w:tc>
        <w:tc>
          <w:tcPr>
            <w:tcW w:w="279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VISTAIT, VISTA, VISTALOYALTY</w:t>
            </w:r>
          </w:p>
        </w:tc>
      </w:tr>
      <w:tr>
        <w:trPr>
          <w:trHeight w:val="572" w:hRule="atLeast"/>
        </w:trPr>
        <w:tc>
          <w:tcPr>
            <w:tcW w:w="5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2E75B6"/>
                <w:sz w:val="20"/>
                <w:szCs w:val="20"/>
                <w:lang w:val="es-EC"/>
              </w:rPr>
              <w:t>9</w:t>
            </w:r>
          </w:p>
        </w:tc>
        <w:tc>
          <w:tcPr>
            <w:tcW w:w="433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Indices con costo DML sin uso en lecturas: 152 indices candidatos a revision en las tres BDs</w:t>
            </w:r>
          </w:p>
        </w:tc>
        <w:tc>
          <w:tcPr>
            <w:tcW w:w="1642" w:type="dxa"/>
            <w:tcBorders>
              <w:top w:val="single" w:sz="2" w:space="0" w:color="CCCCCC"/>
              <w:start w:val="single" w:sz="2" w:space="0" w:color="CCCCCC"/>
              <w:bottom w:val="single" w:sz="2" w:space="0" w:color="CCCCCC"/>
              <w:end w:val="single" w:sz="2" w:space="0" w:color="CCCCCC"/>
            </w:tcBorders>
            <w:shd w:color="auto" w:fill="FCE4D6" w:val="clear"/>
            <w:tcMar>
              <w:top w:w="50" w:type="dxa"/>
              <w:bottom w:w="50" w:type="dxa"/>
            </w:tcMar>
            <w:vAlign w:val="center"/>
          </w:tcPr>
          <w:p>
            <w:pPr>
              <w:pStyle w:val="Normal"/>
              <w:jc w:val="center"/>
              <w:rPr>
                <w:lang w:val="es-EC"/>
              </w:rPr>
            </w:pPr>
            <w:r>
              <w:rPr>
                <w:b/>
                <w:bCs/>
                <w:color w:val="C55A11"/>
                <w:sz w:val="20"/>
                <w:szCs w:val="20"/>
                <w:lang w:val="es-EC"/>
              </w:rPr>
              <w:t>ADVERTENCIA</w:t>
            </w:r>
          </w:p>
        </w:tc>
        <w:tc>
          <w:tcPr>
            <w:tcW w:w="279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VISTAIT, VISTA, VISTALOYALTY</w:t>
            </w:r>
          </w:p>
        </w:tc>
      </w:tr>
      <w:tr>
        <w:trPr/>
        <w:tc>
          <w:tcPr>
            <w:tcW w:w="5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2E75B6"/>
                <w:sz w:val="20"/>
                <w:szCs w:val="20"/>
                <w:lang w:val="es-EC"/>
              </w:rPr>
              <w:t>10</w:t>
            </w:r>
          </w:p>
        </w:tc>
        <w:tc>
          <w:tcPr>
            <w:tcW w:w="433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Indices faltantes de alto impacto detectados por el optimizador de consultas</w:t>
            </w:r>
          </w:p>
        </w:tc>
        <w:tc>
          <w:tcPr>
            <w:tcW w:w="1642" w:type="dxa"/>
            <w:tcBorders>
              <w:top w:val="single" w:sz="2" w:space="0" w:color="CCCCCC"/>
              <w:start w:val="single" w:sz="2" w:space="0" w:color="CCCCCC"/>
              <w:bottom w:val="single" w:sz="2" w:space="0" w:color="CCCCCC"/>
              <w:end w:val="single" w:sz="2" w:space="0" w:color="CCCCCC"/>
            </w:tcBorders>
            <w:shd w:color="auto" w:fill="FCE4D6" w:val="clear"/>
            <w:tcMar>
              <w:top w:w="50" w:type="dxa"/>
              <w:bottom w:w="50" w:type="dxa"/>
            </w:tcMar>
            <w:vAlign w:val="center"/>
          </w:tcPr>
          <w:p>
            <w:pPr>
              <w:pStyle w:val="Normal"/>
              <w:jc w:val="center"/>
              <w:rPr>
                <w:lang w:val="es-EC"/>
              </w:rPr>
            </w:pPr>
            <w:r>
              <w:rPr>
                <w:b/>
                <w:bCs/>
                <w:color w:val="C55A11"/>
                <w:sz w:val="20"/>
                <w:szCs w:val="20"/>
                <w:lang w:val="es-EC"/>
              </w:rPr>
              <w:t>ADVERTENCIA</w:t>
            </w:r>
          </w:p>
        </w:tc>
        <w:tc>
          <w:tcPr>
            <w:tcW w:w="279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VISTAIT, VISTA, VISTALOYALTY</w:t>
            </w:r>
          </w:p>
        </w:tc>
      </w:tr>
      <w:tr>
        <w:trPr/>
        <w:tc>
          <w:tcPr>
            <w:tcW w:w="5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2E75B6"/>
                <w:sz w:val="20"/>
                <w:szCs w:val="20"/>
                <w:lang w:val="es-EC"/>
              </w:rPr>
              <w:t>11</w:t>
            </w:r>
          </w:p>
        </w:tc>
        <w:tc>
          <w:tcPr>
            <w:tcW w:w="433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Tablas de alto volumen sin compresión de datos activada: 84 tablas en las tres BDs</w:t>
            </w:r>
          </w:p>
        </w:tc>
        <w:tc>
          <w:tcPr>
            <w:tcW w:w="1642" w:type="dxa"/>
            <w:tcBorders>
              <w:top w:val="single" w:sz="2" w:space="0" w:color="CCCCCC"/>
              <w:start w:val="single" w:sz="2" w:space="0" w:color="CCCCCC"/>
              <w:bottom w:val="single" w:sz="2" w:space="0" w:color="CCCCCC"/>
              <w:end w:val="single" w:sz="2" w:space="0" w:color="CCCCCC"/>
            </w:tcBorders>
            <w:shd w:color="auto" w:fill="FCE4D6" w:val="clear"/>
            <w:tcMar>
              <w:top w:w="50" w:type="dxa"/>
              <w:bottom w:w="50" w:type="dxa"/>
            </w:tcMar>
            <w:vAlign w:val="center"/>
          </w:tcPr>
          <w:p>
            <w:pPr>
              <w:pStyle w:val="Normal"/>
              <w:jc w:val="center"/>
              <w:rPr>
                <w:lang w:val="es-EC"/>
              </w:rPr>
            </w:pPr>
            <w:r>
              <w:rPr>
                <w:b/>
                <w:bCs/>
                <w:color w:val="C55A11"/>
                <w:sz w:val="20"/>
                <w:szCs w:val="20"/>
                <w:lang w:val="es-EC"/>
              </w:rPr>
              <w:t>ADVERTENCIA</w:t>
            </w:r>
          </w:p>
        </w:tc>
        <w:tc>
          <w:tcPr>
            <w:tcW w:w="279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VISTAIT, VISTA, VISTALOYALTY</w:t>
            </w:r>
          </w:p>
        </w:tc>
      </w:tr>
      <w:tr>
        <w:trPr/>
        <w:tc>
          <w:tcPr>
            <w:tcW w:w="5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2E75B6"/>
                <w:sz w:val="20"/>
                <w:szCs w:val="20"/>
                <w:lang w:val="es-EC"/>
              </w:rPr>
              <w:t>12</w:t>
            </w:r>
          </w:p>
        </w:tc>
        <w:tc>
          <w:tcPr>
            <w:tcW w:w="433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Autogrowth del transaction log configurado en 64 MB (insuficiente para entornos de producción)</w:t>
            </w:r>
          </w:p>
        </w:tc>
        <w:tc>
          <w:tcPr>
            <w:tcW w:w="1642" w:type="dxa"/>
            <w:tcBorders>
              <w:top w:val="single" w:sz="2" w:space="0" w:color="CCCCCC"/>
              <w:start w:val="single" w:sz="2" w:space="0" w:color="CCCCCC"/>
              <w:bottom w:val="single" w:sz="2" w:space="0" w:color="CCCCCC"/>
              <w:end w:val="single" w:sz="2" w:space="0" w:color="CCCCCC"/>
            </w:tcBorders>
            <w:shd w:color="auto" w:fill="FCE4D6" w:val="clear"/>
            <w:tcMar>
              <w:top w:w="50" w:type="dxa"/>
              <w:bottom w:w="50" w:type="dxa"/>
            </w:tcMar>
            <w:vAlign w:val="center"/>
          </w:tcPr>
          <w:p>
            <w:pPr>
              <w:pStyle w:val="Normal"/>
              <w:jc w:val="center"/>
              <w:rPr>
                <w:lang w:val="es-EC"/>
              </w:rPr>
            </w:pPr>
            <w:r>
              <w:rPr>
                <w:b/>
                <w:bCs/>
                <w:color w:val="C55A11"/>
                <w:sz w:val="20"/>
                <w:szCs w:val="20"/>
                <w:lang w:val="es-EC"/>
              </w:rPr>
              <w:t>ADVERTENCIA</w:t>
            </w:r>
          </w:p>
        </w:tc>
        <w:tc>
          <w:tcPr>
            <w:tcW w:w="279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VISTAIT, VISTA, VISTALOYALTY</w:t>
            </w:r>
          </w:p>
        </w:tc>
      </w:tr>
      <w:tr>
        <w:trPr/>
        <w:tc>
          <w:tcPr>
            <w:tcW w:w="5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2E75B6"/>
                <w:sz w:val="20"/>
                <w:szCs w:val="20"/>
                <w:lang w:val="es-EC"/>
              </w:rPr>
              <w:t>13</w:t>
            </w:r>
          </w:p>
        </w:tc>
        <w:tc>
          <w:tcPr>
            <w:tcW w:w="433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Tablas HEAP sin clustered index en VISTA: impacto en rendimiento de lecturas y actualizaciones</w:t>
            </w:r>
          </w:p>
        </w:tc>
        <w:tc>
          <w:tcPr>
            <w:tcW w:w="1642" w:type="dxa"/>
            <w:tcBorders>
              <w:top w:val="single" w:sz="2" w:space="0" w:color="CCCCCC"/>
              <w:start w:val="single" w:sz="2" w:space="0" w:color="CCCCCC"/>
              <w:bottom w:val="single" w:sz="2" w:space="0" w:color="CCCCCC"/>
              <w:end w:val="single" w:sz="2" w:space="0" w:color="CCCCCC"/>
            </w:tcBorders>
            <w:shd w:color="auto" w:fill="FCE4D6" w:val="clear"/>
            <w:tcMar>
              <w:top w:w="50" w:type="dxa"/>
              <w:bottom w:w="50" w:type="dxa"/>
            </w:tcMar>
            <w:vAlign w:val="center"/>
          </w:tcPr>
          <w:p>
            <w:pPr>
              <w:pStyle w:val="Normal"/>
              <w:jc w:val="center"/>
              <w:rPr>
                <w:lang w:val="es-EC"/>
              </w:rPr>
            </w:pPr>
            <w:r>
              <w:rPr>
                <w:b/>
                <w:bCs/>
                <w:color w:val="C55A11"/>
                <w:sz w:val="20"/>
                <w:szCs w:val="20"/>
                <w:lang w:val="es-EC"/>
              </w:rPr>
              <w:t>ADVERTENCIA</w:t>
            </w:r>
          </w:p>
        </w:tc>
        <w:tc>
          <w:tcPr>
            <w:tcW w:w="279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20"/>
                <w:szCs w:val="20"/>
                <w:lang w:val="es-EC"/>
              </w:rPr>
              <w:t>VISTA</w:t>
            </w:r>
          </w:p>
        </w:tc>
      </w:tr>
      <w:tr>
        <w:trPr/>
        <w:tc>
          <w:tcPr>
            <w:tcW w:w="5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2E75B6"/>
                <w:sz w:val="20"/>
                <w:szCs w:val="20"/>
                <w:lang w:val="es-EC"/>
              </w:rPr>
              <w:t>14</w:t>
            </w:r>
          </w:p>
        </w:tc>
        <w:tc>
          <w:tcPr>
            <w:tcW w:w="433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Paralelismo excesivo detectado en VISTA (CXPACKET 8.73%) y VISTALOYALTY (CXPACKET 4.96%)</w:t>
            </w:r>
          </w:p>
        </w:tc>
        <w:tc>
          <w:tcPr>
            <w:tcW w:w="1642" w:type="dxa"/>
            <w:tcBorders>
              <w:top w:val="single" w:sz="2" w:space="0" w:color="CCCCCC"/>
              <w:start w:val="single" w:sz="2" w:space="0" w:color="CCCCCC"/>
              <w:bottom w:val="single" w:sz="2" w:space="0" w:color="CCCCCC"/>
              <w:end w:val="single" w:sz="2" w:space="0" w:color="CCCCCC"/>
            </w:tcBorders>
            <w:shd w:color="auto" w:fill="FCE4D6" w:val="clear"/>
            <w:tcMar>
              <w:top w:w="50" w:type="dxa"/>
              <w:bottom w:w="50" w:type="dxa"/>
            </w:tcMar>
            <w:vAlign w:val="center"/>
          </w:tcPr>
          <w:p>
            <w:pPr>
              <w:pStyle w:val="Normal"/>
              <w:jc w:val="center"/>
              <w:rPr>
                <w:lang w:val="es-EC"/>
              </w:rPr>
            </w:pPr>
            <w:r>
              <w:rPr>
                <w:b/>
                <w:bCs/>
                <w:color w:val="C55A11"/>
                <w:sz w:val="20"/>
                <w:szCs w:val="20"/>
                <w:lang w:val="es-EC"/>
              </w:rPr>
              <w:t>ADVERTENCIA</w:t>
            </w:r>
          </w:p>
        </w:tc>
        <w:tc>
          <w:tcPr>
            <w:tcW w:w="279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20"/>
                <w:szCs w:val="20"/>
                <w:lang w:val="es-EC"/>
              </w:rPr>
              <w:t>VISTA, VISTALOYALTY</w:t>
            </w:r>
          </w:p>
        </w:tc>
      </w:tr>
    </w:tbl>
    <w:p>
      <w:pPr>
        <w:pStyle w:val="Normal"/>
        <w:spacing w:before="0" w:after="120"/>
        <w:rPr>
          <w:lang w:val="es-EC"/>
        </w:rPr>
      </w:pPr>
      <w:r>
        <w:rPr>
          <w:lang w:val="es-EC"/>
        </w:rPr>
      </w:r>
    </w:p>
    <w:p>
      <w:pPr>
        <w:pStyle w:val="Normal"/>
        <w:spacing w:before="0" w:after="100"/>
        <w:rPr>
          <w:lang w:val="es-EC"/>
        </w:rPr>
      </w:pPr>
      <w:r>
        <w:rPr>
          <w:color w:val="000000"/>
          <w:lang w:val="es-EC"/>
        </w:rPr>
        <w:t>Distribución de hallazgos por severidad:</w:t>
      </w:r>
    </w:p>
    <w:p>
      <w:pPr>
        <w:pStyle w:val="ListParagraph"/>
        <w:numPr>
          <w:ilvl w:val="0"/>
          <w:numId w:val="4"/>
        </w:numPr>
        <w:spacing w:before="0" w:after="60"/>
        <w:rPr>
          <w:lang w:val="es-EC"/>
        </w:rPr>
      </w:pPr>
      <w:r>
        <w:rPr>
          <w:color w:val="000000"/>
          <w:lang w:val="es-EC"/>
        </w:rPr>
        <w:t>CRITICO: 5 hallazgos que requieren atención inmediata. Los riesgos incluyen perdida de datos no recuperable (backup), indisponibilidad por falta de espacio (VISTALOYALTY) y degradación severa del rendimiento (fragmentación y estadísticas).</w:t>
      </w:r>
    </w:p>
    <w:p>
      <w:pPr>
        <w:pStyle w:val="ListParagraph"/>
        <w:numPr>
          <w:ilvl w:val="0"/>
          <w:numId w:val="4"/>
        </w:numPr>
        <w:spacing w:before="0" w:after="60"/>
        <w:rPr>
          <w:lang w:val="es-EC"/>
        </w:rPr>
      </w:pPr>
      <w:r>
        <w:rPr>
          <w:color w:val="000000"/>
          <w:lang w:val="es-EC"/>
        </w:rPr>
        <w:t>ADVERTENCIA: 9 hallazgos que impactan el rendimiento del sistema bajo carga. Su resolución es planificable en ventanas de mantenimiento.</w:t>
      </w:r>
    </w:p>
    <w:p>
      <w:pPr>
        <w:pStyle w:val="Normal"/>
        <w:rPr>
          <w:lang w:val="es-EC"/>
        </w:rPr>
      </w:pPr>
      <w:r>
        <w:rPr>
          <w:lang w:val="es-EC"/>
        </w:rPr>
      </w:r>
      <w:r>
        <w:br w:type="page"/>
      </w:r>
    </w:p>
    <w:p>
      <w:pPr>
        <w:pStyle w:val="heading10"/>
        <w:pBdr>
          <w:bottom w:val="single" w:sz="6" w:space="1" w:color="2E75B6"/>
        </w:pBdr>
        <w:spacing w:before="0" w:after="120"/>
        <w:rPr>
          <w:lang w:val="es-EC"/>
        </w:rPr>
      </w:pPr>
      <w:bookmarkStart w:id="12" w:name="__RefHeading___Toc12382_3037558313"/>
      <w:bookmarkStart w:id="13" w:name="_Toc225746709"/>
      <w:bookmarkEnd w:id="12"/>
      <w:r>
        <w:rPr>
          <w:lang w:val="es-EC"/>
        </w:rPr>
        <w:t>3. Hallazgos Detallados y Recomendaciones</w:t>
      </w:r>
      <w:bookmarkEnd w:id="13"/>
    </w:p>
    <w:p>
      <w:pPr>
        <w:pStyle w:val="Normal"/>
        <w:spacing w:before="0" w:after="100"/>
        <w:rPr>
          <w:lang w:val="es-EC"/>
        </w:rPr>
      </w:pPr>
      <w:r>
        <w:rPr>
          <w:color w:val="000000"/>
          <w:lang w:val="es-EC"/>
        </w:rPr>
        <w:t>Cada hallazgo incluye una descripción del parámetro o condición detectada, su impacto sobre el sistema, la evidencia extraída del diagnostico, y la recomendación de corrección con respaldo en documentación oficial de Microsoft.</w:t>
      </w:r>
    </w:p>
    <w:p>
      <w:pPr>
        <w:pStyle w:val="heading20"/>
        <w:rPr>
          <w:lang w:val="es-EC"/>
        </w:rPr>
      </w:pPr>
      <w:bookmarkStart w:id="14" w:name="__RefHeading___Toc12384_3037558313"/>
      <w:bookmarkStart w:id="15" w:name="_Toc225746710"/>
      <w:bookmarkEnd w:id="14"/>
      <w:r>
        <w:rPr>
          <w:lang w:val="es-EC"/>
        </w:rPr>
        <w:t>3.1 Hallazgo 1 - Backup de Transaction Log Ausente (Modelo FULL)</w:t>
      </w:r>
      <w:bookmarkEnd w:id="15"/>
    </w:p>
    <w:p>
      <w:pPr>
        <w:pStyle w:val="heading30"/>
        <w:rPr>
          <w:lang w:val="es-EC"/>
        </w:rPr>
      </w:pPr>
      <w:bookmarkStart w:id="16" w:name="__RefHeading___Toc12386_3037558313"/>
      <w:bookmarkStart w:id="17" w:name="_Toc225746711"/>
      <w:bookmarkEnd w:id="16"/>
      <w:r>
        <w:rPr>
          <w:lang w:val="es-EC"/>
        </w:rPr>
        <w:t>Descripción del parámetro</w:t>
      </w:r>
      <w:bookmarkEnd w:id="17"/>
    </w:p>
    <w:p>
      <w:pPr>
        <w:pStyle w:val="Normal"/>
        <w:spacing w:before="0" w:after="100"/>
        <w:rPr>
          <w:lang w:val="es-EC"/>
        </w:rPr>
      </w:pPr>
      <w:r>
        <w:rPr>
          <w:color w:val="000000"/>
          <w:lang w:val="es-EC"/>
        </w:rPr>
        <w:t>En SQL Server, el modelo de recuperación FULL implica que todos los cambios realizados en la base de datos se registran en el transaction log de forma permanente. A diferencia del modelo SIMPLE, donde SQL Server trunca automáticamente el log después de cada checkpoint, en el modelo FULL el log solo puede ser truncado después de que se realice un backup del transaction log.</w:t>
      </w:r>
    </w:p>
    <w:p>
      <w:pPr>
        <w:pStyle w:val="Normal"/>
        <w:spacing w:before="0" w:after="100"/>
        <w:rPr>
          <w:lang w:val="es-EC"/>
        </w:rPr>
      </w:pPr>
      <w:r>
        <w:rPr>
          <w:color w:val="000000"/>
          <w:lang w:val="es-EC"/>
        </w:rPr>
        <w:t>Según la documentación oficial de Microsoft (Transaction Log Backups - SQL Server, Microsoft Learn): "Log truncation deletes inactive virtual log files (VLFs) from the logical transaction log of a SQL Server database, freeing space in the logical log for reuse by the physical transaction log. If a transaction log is never truncated, it eventually fills all the disk space allocated to physical log files."</w:t>
      </w:r>
    </w:p>
    <w:p>
      <w:pPr>
        <w:pStyle w:val="heading30"/>
        <w:rPr>
          <w:lang w:val="es-EC"/>
        </w:rPr>
      </w:pPr>
      <w:bookmarkStart w:id="18" w:name="__RefHeading___Toc12388_3037558313"/>
      <w:bookmarkStart w:id="19" w:name="_Toc225746712"/>
      <w:bookmarkEnd w:id="18"/>
      <w:r>
        <w:rPr>
          <w:lang w:val="es-EC"/>
        </w:rPr>
        <w:t>Por que es importante</w:t>
      </w:r>
      <w:bookmarkEnd w:id="19"/>
    </w:p>
    <w:p>
      <w:pPr>
        <w:pStyle w:val="Normal"/>
        <w:spacing w:before="0" w:after="100"/>
        <w:rPr>
          <w:lang w:val="es-EC"/>
        </w:rPr>
      </w:pPr>
      <w:r>
        <w:rPr>
          <w:color w:val="000000"/>
          <w:lang w:val="es-EC"/>
        </w:rPr>
        <w:t>Sin backups de transaction log en un modelo FULL, ocurren dos consecuencias criticas:</w:t>
      </w:r>
    </w:p>
    <w:p>
      <w:pPr>
        <w:pStyle w:val="ListParagraph"/>
        <w:numPr>
          <w:ilvl w:val="0"/>
          <w:numId w:val="4"/>
        </w:numPr>
        <w:spacing w:before="0" w:after="60"/>
        <w:rPr>
          <w:lang w:val="es-EC"/>
        </w:rPr>
      </w:pPr>
      <w:r>
        <w:rPr>
          <w:color w:val="000000"/>
          <w:lang w:val="es-EC"/>
        </w:rPr>
        <w:t>El transaction log crece indefinidamente hasta consumir todo el espacio disponible en disco, causando que la base de datos deje de aceptar transacciones con el error 9002.</w:t>
      </w:r>
    </w:p>
    <w:p>
      <w:pPr>
        <w:pStyle w:val="ListParagraph"/>
        <w:numPr>
          <w:ilvl w:val="0"/>
          <w:numId w:val="4"/>
        </w:numPr>
        <w:spacing w:before="0" w:after="60"/>
        <w:rPr>
          <w:lang w:val="es-EC"/>
        </w:rPr>
      </w:pPr>
      <w:r>
        <w:rPr>
          <w:color w:val="000000"/>
          <w:lang w:val="es-EC"/>
        </w:rPr>
        <w:t>El punto de recuperación (RPO) queda limitado unicamente al ultimo backup FULL o diferencial. Cualquier transacción realizada entre ese backup y el momento de un fallo se pierde permanentemente, ya que sin backups de log no es posible un recuperación a un punto en el tiempo (Point-in-Time Recovery).</w:t>
      </w:r>
    </w:p>
    <w:p>
      <w:pPr>
        <w:pStyle w:val="heading30"/>
        <w:rPr>
          <w:lang w:val="es-EC"/>
        </w:rPr>
      </w:pPr>
      <w:bookmarkStart w:id="20" w:name="__RefHeading___Toc12390_3037558313"/>
      <w:bookmarkStart w:id="21" w:name="_Toc225746713"/>
      <w:bookmarkEnd w:id="20"/>
      <w:r>
        <w:rPr>
          <w:lang w:val="es-EC"/>
        </w:rPr>
        <w:t>Evidencia del diagnostico</w:t>
      </w:r>
      <w:bookmarkEnd w:id="21"/>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531"/>
        <w:gridCol w:w="1598"/>
        <w:gridCol w:w="2190"/>
        <w:gridCol w:w="2387"/>
        <w:gridCol w:w="1654"/>
      </w:tblGrid>
      <w:tr>
        <w:trPr>
          <w:tblHeader w:val="true"/>
        </w:trPr>
        <w:tc>
          <w:tcPr>
            <w:tcW w:w="153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1598"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Modelo Recuperacion</w:t>
            </w:r>
          </w:p>
        </w:tc>
        <w:tc>
          <w:tcPr>
            <w:tcW w:w="219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Ultimo Backup FULL</w:t>
            </w:r>
          </w:p>
        </w:tc>
        <w:tc>
          <w:tcPr>
            <w:tcW w:w="2387"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Ultimo Backup LOG</w:t>
            </w:r>
          </w:p>
        </w:tc>
        <w:tc>
          <w:tcPr>
            <w:tcW w:w="1654"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Estado</w:t>
            </w:r>
          </w:p>
        </w:tc>
      </w:tr>
      <w:tr>
        <w:trPr/>
        <w:tc>
          <w:tcPr>
            <w:tcW w:w="153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VISTAIT</w:t>
            </w:r>
          </w:p>
        </w:tc>
        <w:tc>
          <w:tcPr>
            <w:tcW w:w="15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FULL</w:t>
            </w:r>
          </w:p>
        </w:tc>
        <w:tc>
          <w:tcPr>
            <w:tcW w:w="219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2026-03-26 01:00:58</w:t>
            </w:r>
          </w:p>
        </w:tc>
        <w:tc>
          <w:tcPr>
            <w:tcW w:w="238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00000"/>
                <w:sz w:val="18"/>
                <w:szCs w:val="18"/>
                <w:lang w:val="es-EC"/>
              </w:rPr>
              <w:t>NULL - Sin backup de log</w:t>
            </w:r>
          </w:p>
        </w:tc>
        <w:tc>
          <w:tcPr>
            <w:tcW w:w="1654"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00000"/>
                <w:sz w:val="18"/>
                <w:szCs w:val="18"/>
                <w:lang w:val="es-EC"/>
              </w:rPr>
              <w:t>CRITICO</w:t>
            </w:r>
          </w:p>
        </w:tc>
      </w:tr>
      <w:tr>
        <w:trPr/>
        <w:tc>
          <w:tcPr>
            <w:tcW w:w="1531"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w:t>
            </w:r>
          </w:p>
        </w:tc>
        <w:tc>
          <w:tcPr>
            <w:tcW w:w="15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FULL</w:t>
            </w:r>
          </w:p>
        </w:tc>
        <w:tc>
          <w:tcPr>
            <w:tcW w:w="219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C00000"/>
                <w:sz w:val="18"/>
                <w:szCs w:val="18"/>
                <w:lang w:val="es-EC"/>
              </w:rPr>
              <w:t>NULL - Sin ningun backup</w:t>
            </w:r>
          </w:p>
        </w:tc>
        <w:tc>
          <w:tcPr>
            <w:tcW w:w="238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C00000"/>
                <w:sz w:val="18"/>
                <w:szCs w:val="18"/>
                <w:lang w:val="es-EC"/>
              </w:rPr>
              <w:t>NULL - Sin backup de log</w:t>
            </w:r>
          </w:p>
        </w:tc>
        <w:tc>
          <w:tcPr>
            <w:tcW w:w="1654"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C00000"/>
                <w:sz w:val="18"/>
                <w:szCs w:val="18"/>
                <w:lang w:val="es-EC"/>
              </w:rPr>
              <w:t>CRITICO</w:t>
            </w:r>
          </w:p>
        </w:tc>
      </w:tr>
      <w:tr>
        <w:trPr/>
        <w:tc>
          <w:tcPr>
            <w:tcW w:w="153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15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FULL</w:t>
            </w:r>
          </w:p>
        </w:tc>
        <w:tc>
          <w:tcPr>
            <w:tcW w:w="219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2026-03-24 03:07:24</w:t>
            </w:r>
          </w:p>
        </w:tc>
        <w:tc>
          <w:tcPr>
            <w:tcW w:w="238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00000"/>
                <w:sz w:val="18"/>
                <w:szCs w:val="18"/>
                <w:lang w:val="es-EC"/>
              </w:rPr>
              <w:t>NULL - Sin backup de log</w:t>
            </w:r>
          </w:p>
        </w:tc>
        <w:tc>
          <w:tcPr>
            <w:tcW w:w="1654"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00000"/>
                <w:sz w:val="18"/>
                <w:szCs w:val="18"/>
                <w:lang w:val="es-EC"/>
              </w:rPr>
              <w:t>CRITICO</w:t>
            </w:r>
          </w:p>
        </w:tc>
      </w:tr>
    </w:tbl>
    <w:p>
      <w:pPr>
        <w:pStyle w:val="Normal"/>
        <w:spacing w:before="0" w:after="80"/>
        <w:rPr>
          <w:lang w:val="es-EC"/>
        </w:rPr>
      </w:pPr>
      <w:r>
        <w:rPr>
          <w:lang w:val="es-EC"/>
        </w:rPr>
      </w:r>
    </w:p>
    <w:p>
      <w:pPr>
        <w:pStyle w:val="Normal"/>
        <w:spacing w:before="0" w:after="100"/>
        <w:rPr>
          <w:lang w:val="es-EC"/>
        </w:rPr>
      </w:pPr>
      <w:r>
        <w:rPr>
          <w:color w:val="000000"/>
          <w:lang w:val="es-EC"/>
        </w:rPr>
        <w:t>VISTA representa el caso mas grave: no existe ningún backup registrado en el historial del sistema (msdb.dbo.backupset), lo que indica que esta base de datos nunca ha tenido un proceso de backup configurado.</w:t>
      </w:r>
    </w:p>
    <w:p>
      <w:pPr>
        <w:pStyle w:val="heading30"/>
        <w:rPr>
          <w:lang w:val="es-EC"/>
        </w:rPr>
      </w:pPr>
      <w:bookmarkStart w:id="22" w:name="__RefHeading___Toc12392_3037558313"/>
      <w:bookmarkStart w:id="23" w:name="_Toc225746714"/>
      <w:bookmarkEnd w:id="22"/>
      <w:r>
        <w:rPr>
          <w:lang w:val="es-EC"/>
        </w:rPr>
        <w:t>Recomendación</w:t>
      </w:r>
      <w:bookmarkEnd w:id="23"/>
    </w:p>
    <w:p>
      <w:pPr>
        <w:pStyle w:val="Normal"/>
        <w:spacing w:before="0" w:after="100"/>
        <w:rPr>
          <w:lang w:val="es-EC"/>
        </w:rPr>
      </w:pPr>
      <w:r>
        <w:rPr>
          <w:color w:val="000000"/>
          <w:lang w:val="es-EC"/>
        </w:rPr>
        <w:t>Microsoft recomienda (Transaction Log Backups, Microsoft Learn): "Taking a log backup every 15 to 30 minutes might be enough. If your business requires that you minimize work-loss exposure, consider taking log backups more frequently."</w:t>
      </w:r>
    </w:p>
    <w:p>
      <w:pPr>
        <w:pStyle w:val="ListParagraph"/>
        <w:numPr>
          <w:ilvl w:val="0"/>
          <w:numId w:val="4"/>
        </w:numPr>
        <w:spacing w:before="0" w:after="60"/>
        <w:rPr>
          <w:lang w:val="es-EC"/>
        </w:rPr>
      </w:pPr>
      <w:r>
        <w:rPr>
          <w:color w:val="000000"/>
          <w:lang w:val="es-EC"/>
        </w:rPr>
        <w:t>Implementar backup FULL diario para las tres bases de datos con verificación de integridad (WITH CHECKSUM).</w:t>
      </w:r>
    </w:p>
    <w:p>
      <w:pPr>
        <w:pStyle w:val="ListParagraph"/>
        <w:numPr>
          <w:ilvl w:val="0"/>
          <w:numId w:val="4"/>
        </w:numPr>
        <w:spacing w:before="0" w:after="60"/>
        <w:rPr>
          <w:lang w:val="es-EC"/>
        </w:rPr>
      </w:pPr>
      <w:r>
        <w:rPr>
          <w:color w:val="000000"/>
          <w:lang w:val="es-EC"/>
        </w:rPr>
        <w:t>Implementar backup de transaction log cada 15 a 30 minutos para las tres bases de datos en modelo FULL.</w:t>
      </w:r>
    </w:p>
    <w:p>
      <w:pPr>
        <w:pStyle w:val="ListParagraph"/>
        <w:numPr>
          <w:ilvl w:val="0"/>
          <w:numId w:val="4"/>
        </w:numPr>
        <w:spacing w:before="0" w:after="60"/>
        <w:rPr>
          <w:lang w:val="es-EC"/>
        </w:rPr>
      </w:pPr>
      <w:r>
        <w:rPr>
          <w:color w:val="000000"/>
          <w:lang w:val="es-EC"/>
        </w:rPr>
        <w:t>Para VISTA: realizar un backup FULL inicial de forma urgente antes de cualquier otra intervención.</w:t>
      </w:r>
    </w:p>
    <w:p>
      <w:pPr>
        <w:pStyle w:val="ListParagraph"/>
        <w:numPr>
          <w:ilvl w:val="0"/>
          <w:numId w:val="4"/>
        </w:numPr>
        <w:spacing w:before="0" w:after="60"/>
        <w:rPr>
          <w:lang w:val="es-EC"/>
        </w:rPr>
      </w:pPr>
      <w:r>
        <w:rPr>
          <w:color w:val="000000"/>
          <w:lang w:val="es-EC"/>
        </w:rPr>
        <w:t>Verificar que los backups se estén almacenando en una ubicación distinta al servidor de base de datos.</w:t>
      </w:r>
    </w:p>
    <w:p>
      <w:pPr>
        <w:pStyle w:val="ListParagraph"/>
        <w:numPr>
          <w:ilvl w:val="0"/>
          <w:numId w:val="4"/>
        </w:numPr>
        <w:spacing w:before="0" w:after="60"/>
        <w:rPr>
          <w:lang w:val="es-EC"/>
        </w:rPr>
      </w:pPr>
      <w:r>
        <w:rPr>
          <w:color w:val="000000"/>
          <w:lang w:val="es-EC"/>
        </w:rPr>
        <w:t>Validar periódicamente la integridad de los backups mediante RESTORE VERIFYONLY.</w:t>
      </w:r>
    </w:p>
    <w:p>
      <w:pPr>
        <w:pStyle w:val="Normal"/>
        <w:spacing w:before="0" w:after="120"/>
        <w:rPr>
          <w:lang w:val="es-EC"/>
        </w:rPr>
      </w:pPr>
      <w:r>
        <w:rPr>
          <w:lang w:val="es-EC"/>
        </w:rPr>
      </w:r>
    </w:p>
    <w:p>
      <w:pPr>
        <w:pStyle w:val="heading20"/>
        <w:rPr>
          <w:lang w:val="es-EC"/>
        </w:rPr>
      </w:pPr>
      <w:bookmarkStart w:id="24" w:name="__RefHeading___Toc12394_3037558313"/>
      <w:bookmarkStart w:id="25" w:name="_Toc225746715"/>
      <w:bookmarkEnd w:id="24"/>
      <w:r>
        <w:rPr>
          <w:lang w:val="es-EC"/>
        </w:rPr>
        <w:t>3.2 Hallazgo 2 - Espacio en Disco Critico en VISTALOYALTY</w:t>
      </w:r>
      <w:bookmarkEnd w:id="25"/>
    </w:p>
    <w:p>
      <w:pPr>
        <w:pStyle w:val="heading30"/>
        <w:rPr>
          <w:lang w:val="es-EC"/>
        </w:rPr>
      </w:pPr>
      <w:bookmarkStart w:id="26" w:name="__RefHeading___Toc12396_3037558313"/>
      <w:bookmarkStart w:id="27" w:name="_Toc225746716"/>
      <w:bookmarkEnd w:id="26"/>
      <w:r>
        <w:rPr>
          <w:lang w:val="es-EC"/>
        </w:rPr>
        <w:t>Descripción del parámetro</w:t>
      </w:r>
      <w:bookmarkEnd w:id="27"/>
    </w:p>
    <w:p>
      <w:pPr>
        <w:pStyle w:val="Normal"/>
        <w:spacing w:before="0" w:after="100"/>
        <w:rPr>
          <w:lang w:val="es-EC"/>
        </w:rPr>
      </w:pPr>
      <w:r>
        <w:rPr>
          <w:color w:val="000000"/>
          <w:lang w:val="es-EC"/>
        </w:rPr>
        <w:t>El archivo de datos de VISTALOYALTY presenta un nivel de ocupación del 99.4%, con apenas 764 MB de espacio libre sobre un archivo de 130,322 MB (127 GB). El autogrowth esta configurado en incrementos fijos de 1,000 MB, lo que significa que cuando se active el siguiente evento de crecimiento automatico, el servidor deberá disponer de al menos 1 GB libre en disco para que la operación sea exitosa.</w:t>
      </w:r>
    </w:p>
    <w:p>
      <w:pPr>
        <w:pStyle w:val="heading30"/>
        <w:rPr>
          <w:lang w:val="es-EC"/>
        </w:rPr>
      </w:pPr>
      <w:bookmarkStart w:id="28" w:name="__RefHeading___Toc12398_3037558313"/>
      <w:bookmarkStart w:id="29" w:name="_Toc225746717"/>
      <w:bookmarkEnd w:id="28"/>
      <w:r>
        <w:rPr>
          <w:lang w:val="es-EC"/>
        </w:rPr>
        <w:t>Por que es importante</w:t>
      </w:r>
      <w:bookmarkEnd w:id="29"/>
    </w:p>
    <w:p>
      <w:pPr>
        <w:pStyle w:val="Normal"/>
        <w:spacing w:before="0" w:after="100"/>
        <w:rPr>
          <w:lang w:val="es-EC"/>
        </w:rPr>
      </w:pPr>
      <w:r>
        <w:rPr>
          <w:color w:val="000000"/>
          <w:lang w:val="es-EC"/>
        </w:rPr>
        <w:t>Cuando un archivo de datos de SQL Server no puede crecer por falta de espacio en disco, SQL Server genera el error 1101 o 1105 y rechaza las transacciones que necesitan espacio adicional. Esto puede causar la indisponibilidad completa de la base de datos para operaciones de escritura.</w:t>
      </w:r>
    </w:p>
    <w:p>
      <w:pPr>
        <w:pStyle w:val="Normal"/>
        <w:spacing w:before="0" w:after="100"/>
        <w:rPr>
          <w:lang w:val="es-EC"/>
        </w:rPr>
      </w:pPr>
      <w:r>
        <w:rPr>
          <w:color w:val="000000"/>
          <w:lang w:val="es-EC"/>
        </w:rPr>
        <w:t>Ademas, la tabla cognetic_members_membershipRecognition presenta 170,616,938 filas y 94,334 MB de tamaño, siendo la tabla mas grande del entorno analizado. Su crecimiento continuo es el principal consumidor de espacio.</w:t>
      </w:r>
    </w:p>
    <w:p>
      <w:pPr>
        <w:pStyle w:val="heading30"/>
        <w:rPr>
          <w:lang w:val="es-EC"/>
        </w:rPr>
      </w:pPr>
      <w:bookmarkStart w:id="30" w:name="__RefHeading___Toc12400_3037558313"/>
      <w:bookmarkStart w:id="31" w:name="_Toc225746718"/>
      <w:bookmarkEnd w:id="30"/>
      <w:r>
        <w:rPr>
          <w:lang w:val="es-EC"/>
        </w:rPr>
        <w:t>Evidencia del diagnostico</w:t>
      </w:r>
      <w:bookmarkEnd w:id="31"/>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872"/>
        <w:gridCol w:w="760"/>
        <w:gridCol w:w="1170"/>
        <w:gridCol w:w="1112"/>
        <w:gridCol w:w="1236"/>
        <w:gridCol w:w="1556"/>
        <w:gridCol w:w="1654"/>
      </w:tblGrid>
      <w:tr>
        <w:trPr>
          <w:tblHeader w:val="true"/>
        </w:trPr>
        <w:tc>
          <w:tcPr>
            <w:tcW w:w="1872"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Archivo</w:t>
            </w:r>
          </w:p>
        </w:tc>
        <w:tc>
          <w:tcPr>
            <w:tcW w:w="76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Tipo</w:t>
            </w:r>
          </w:p>
        </w:tc>
        <w:tc>
          <w:tcPr>
            <w:tcW w:w="117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Tamano Total</w:t>
            </w:r>
          </w:p>
        </w:tc>
        <w:tc>
          <w:tcPr>
            <w:tcW w:w="1112"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Espacio Libre</w:t>
            </w:r>
          </w:p>
        </w:tc>
        <w:tc>
          <w:tcPr>
            <w:tcW w:w="1236"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 Ocupacion</w:t>
            </w:r>
          </w:p>
        </w:tc>
        <w:tc>
          <w:tcPr>
            <w:tcW w:w="1556"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Autogrowth</w:t>
            </w:r>
          </w:p>
        </w:tc>
        <w:tc>
          <w:tcPr>
            <w:tcW w:w="1654"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Severidad</w:t>
            </w:r>
          </w:p>
        </w:tc>
      </w:tr>
      <w:tr>
        <w:trPr/>
        <w:tc>
          <w:tcPr>
            <w:tcW w:w="187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76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ROWS</w:t>
            </w:r>
          </w:p>
        </w:tc>
        <w:tc>
          <w:tcPr>
            <w:tcW w:w="117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130,322 MB</w:t>
            </w:r>
          </w:p>
        </w:tc>
        <w:tc>
          <w:tcPr>
            <w:tcW w:w="111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00000"/>
                <w:sz w:val="18"/>
                <w:szCs w:val="18"/>
                <w:lang w:val="es-EC"/>
              </w:rPr>
              <w:t>764 MB</w:t>
            </w:r>
          </w:p>
        </w:tc>
        <w:tc>
          <w:tcPr>
            <w:tcW w:w="1236"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00000"/>
                <w:sz w:val="18"/>
                <w:szCs w:val="18"/>
                <w:lang w:val="es-EC"/>
              </w:rPr>
              <w:t>99.4%</w:t>
            </w:r>
          </w:p>
        </w:tc>
        <w:tc>
          <w:tcPr>
            <w:tcW w:w="1556"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Fijo: 1,000 MB</w:t>
            </w:r>
          </w:p>
        </w:tc>
        <w:tc>
          <w:tcPr>
            <w:tcW w:w="1654"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00000"/>
                <w:sz w:val="18"/>
                <w:szCs w:val="18"/>
                <w:lang w:val="es-EC"/>
              </w:rPr>
              <w:t>CRITICO</w:t>
            </w:r>
          </w:p>
        </w:tc>
      </w:tr>
      <w:tr>
        <w:trPr/>
        <w:tc>
          <w:tcPr>
            <w:tcW w:w="187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VISTALOYALTY_log</w:t>
            </w:r>
          </w:p>
        </w:tc>
        <w:tc>
          <w:tcPr>
            <w:tcW w:w="76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LOG</w:t>
            </w:r>
          </w:p>
        </w:tc>
        <w:tc>
          <w:tcPr>
            <w:tcW w:w="117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195.94 MB</w:t>
            </w:r>
          </w:p>
        </w:tc>
        <w:tc>
          <w:tcPr>
            <w:tcW w:w="111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174.33 MB</w:t>
            </w:r>
          </w:p>
        </w:tc>
        <w:tc>
          <w:tcPr>
            <w:tcW w:w="1236"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11.0%</w:t>
            </w:r>
          </w:p>
        </w:tc>
        <w:tc>
          <w:tcPr>
            <w:tcW w:w="1556"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C55A11"/>
                <w:sz w:val="18"/>
                <w:szCs w:val="18"/>
                <w:lang w:val="es-EC"/>
              </w:rPr>
              <w:t>Fijo: 64 MB</w:t>
            </w:r>
          </w:p>
        </w:tc>
        <w:tc>
          <w:tcPr>
            <w:tcW w:w="1654"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C55A11"/>
                <w:sz w:val="18"/>
                <w:szCs w:val="18"/>
                <w:lang w:val="es-EC"/>
              </w:rPr>
              <w:t>ADVERTENCIA</w:t>
            </w:r>
          </w:p>
        </w:tc>
      </w:tr>
    </w:tbl>
    <w:p>
      <w:pPr>
        <w:pStyle w:val="Normal"/>
        <w:spacing w:before="0" w:after="80"/>
        <w:rPr>
          <w:lang w:val="es-EC"/>
        </w:rPr>
      </w:pPr>
      <w:r>
        <w:rPr>
          <w:lang w:val="es-EC"/>
        </w:rPr>
      </w:r>
    </w:p>
    <w:p>
      <w:pPr>
        <w:pStyle w:val="Normal"/>
        <w:spacing w:before="0" w:after="100"/>
        <w:rPr>
          <w:lang w:val="es-EC"/>
        </w:rPr>
      </w:pPr>
      <w:r>
        <w:rPr>
          <w:color w:val="000000"/>
          <w:lang w:val="es-EC"/>
        </w:rPr>
        <w:t>Tablas de mayor impacto en el consumo de espacio:</w:t>
      </w:r>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4500"/>
        <w:gridCol w:w="1800"/>
        <w:gridCol w:w="3060"/>
      </w:tblGrid>
      <w:tr>
        <w:trPr>
          <w:tblHeader w:val="true"/>
        </w:trPr>
        <w:tc>
          <w:tcPr>
            <w:tcW w:w="450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Tabla</w:t>
            </w:r>
          </w:p>
        </w:tc>
        <w:tc>
          <w:tcPr>
            <w:tcW w:w="180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Tamano (MB)</w:t>
            </w:r>
          </w:p>
        </w:tc>
        <w:tc>
          <w:tcPr>
            <w:tcW w:w="306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Filas</w:t>
            </w:r>
          </w:p>
        </w:tc>
      </w:tr>
      <w:tr>
        <w:trPr/>
        <w:tc>
          <w:tcPr>
            <w:tcW w:w="450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cognetic_members_membershipRecognition</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94,334</w:t>
            </w:r>
          </w:p>
        </w:tc>
        <w:tc>
          <w:tcPr>
            <w:tcW w:w="306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170,616,938</w:t>
            </w:r>
          </w:p>
        </w:tc>
      </w:tr>
      <w:tr>
        <w:trPr/>
        <w:tc>
          <w:tcPr>
            <w:tcW w:w="450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cognetic_data_transactionMembershipBalance</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10,807</w:t>
            </w:r>
          </w:p>
        </w:tc>
        <w:tc>
          <w:tcPr>
            <w:tcW w:w="306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42,664,839</w:t>
            </w:r>
          </w:p>
        </w:tc>
      </w:tr>
      <w:tr>
        <w:trPr/>
        <w:tc>
          <w:tcPr>
            <w:tcW w:w="450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cognetic_data_transaction</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4,999</w:t>
            </w:r>
          </w:p>
        </w:tc>
        <w:tc>
          <w:tcPr>
            <w:tcW w:w="306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10,494,540</w:t>
            </w:r>
          </w:p>
        </w:tc>
      </w:tr>
      <w:tr>
        <w:trPr/>
        <w:tc>
          <w:tcPr>
            <w:tcW w:w="450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cognetic_data_transactionItem</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3,563</w:t>
            </w:r>
          </w:p>
        </w:tc>
        <w:tc>
          <w:tcPr>
            <w:tcW w:w="306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20,531,496</w:t>
            </w:r>
          </w:p>
        </w:tc>
      </w:tr>
      <w:tr>
        <w:trPr/>
        <w:tc>
          <w:tcPr>
            <w:tcW w:w="450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cognetic_core_userLog</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3,308</w:t>
            </w:r>
          </w:p>
        </w:tc>
        <w:tc>
          <w:tcPr>
            <w:tcW w:w="306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11,014,930</w:t>
            </w:r>
          </w:p>
        </w:tc>
      </w:tr>
    </w:tbl>
    <w:p>
      <w:pPr>
        <w:pStyle w:val="Normal"/>
        <w:spacing w:before="0" w:after="80"/>
        <w:rPr>
          <w:lang w:val="es-EC"/>
        </w:rPr>
      </w:pPr>
      <w:r>
        <w:rPr>
          <w:lang w:val="es-EC"/>
        </w:rPr>
      </w:r>
    </w:p>
    <w:p>
      <w:pPr>
        <w:pStyle w:val="heading30"/>
        <w:rPr>
          <w:lang w:val="es-EC"/>
        </w:rPr>
      </w:pPr>
      <w:bookmarkStart w:id="32" w:name="__RefHeading___Toc12402_3037558313"/>
      <w:bookmarkStart w:id="33" w:name="_Toc225746719"/>
      <w:bookmarkEnd w:id="32"/>
      <w:r>
        <w:rPr>
          <w:lang w:val="es-EC"/>
        </w:rPr>
        <w:t>Recomendación</w:t>
      </w:r>
      <w:bookmarkEnd w:id="33"/>
    </w:p>
    <w:p>
      <w:pPr>
        <w:pStyle w:val="ListParagraph"/>
        <w:numPr>
          <w:ilvl w:val="0"/>
          <w:numId w:val="4"/>
        </w:numPr>
        <w:spacing w:before="0" w:after="60"/>
        <w:rPr>
          <w:lang w:val="es-EC"/>
        </w:rPr>
      </w:pPr>
      <w:r>
        <w:rPr>
          <w:color w:val="000000"/>
          <w:lang w:val="es-EC"/>
        </w:rPr>
        <w:t>Ampliar el espacio disponible en disco del servidor SRVLOY de forma urgente, preferentemente antes de la próxima ventana de alta actividad transaccional.</w:t>
      </w:r>
    </w:p>
    <w:p>
      <w:pPr>
        <w:pStyle w:val="ListParagraph"/>
        <w:numPr>
          <w:ilvl w:val="0"/>
          <w:numId w:val="4"/>
        </w:numPr>
        <w:spacing w:before="0" w:after="60"/>
        <w:rPr>
          <w:lang w:val="es-EC"/>
        </w:rPr>
      </w:pPr>
      <w:r>
        <w:rPr>
          <w:color w:val="000000"/>
          <w:lang w:val="es-EC"/>
        </w:rPr>
        <w:t>Evaluar la implementación de compresion PAGE en las tablas de alto volumen (detallado en Hallazgo 10) como medida para liberar espacio existente.</w:t>
      </w:r>
    </w:p>
    <w:p>
      <w:pPr>
        <w:pStyle w:val="ListParagraph"/>
        <w:numPr>
          <w:ilvl w:val="0"/>
          <w:numId w:val="4"/>
        </w:numPr>
        <w:spacing w:before="0" w:after="60"/>
        <w:rPr>
          <w:lang w:val="es-EC"/>
        </w:rPr>
      </w:pPr>
      <w:r>
        <w:rPr>
          <w:color w:val="000000"/>
          <w:lang w:val="es-EC"/>
        </w:rPr>
        <w:t>Evaluar políticas de retención de datos para tablas históricas como cognetic_core_userLog y cognetic_members_membershipRecognition si el negocio lo permite.</w:t>
      </w:r>
    </w:p>
    <w:p>
      <w:pPr>
        <w:pStyle w:val="ListParagraph"/>
        <w:numPr>
          <w:ilvl w:val="0"/>
          <w:numId w:val="4"/>
        </w:numPr>
        <w:spacing w:before="0" w:after="60"/>
        <w:rPr>
          <w:color w:val="000000"/>
          <w:lang w:val="es-EC"/>
        </w:rPr>
      </w:pPr>
      <w:r>
        <w:rPr>
          <w:color w:val="000000"/>
          <w:lang w:val="es-EC"/>
        </w:rPr>
        <w:t>Incrementar el autogrowth del log de VISTALOYALTY_log de 64 MB a 256 MB como mínimo.</w:t>
      </w:r>
    </w:p>
    <w:p>
      <w:pPr>
        <w:pStyle w:val="ListParagraph"/>
        <w:numPr>
          <w:ilvl w:val="0"/>
          <w:numId w:val="4"/>
        </w:numPr>
        <w:spacing w:before="0" w:after="60"/>
        <w:rPr>
          <w:lang w:val="es-EC"/>
        </w:rPr>
      </w:pPr>
      <w:r>
        <w:rPr>
          <w:lang w:val="es-EC"/>
        </w:rPr>
        <w:t>Incrementar el autogrowth del log de VISTALOYALTY de 1000 MB a 2000 MB como mínimo.</w:t>
      </w:r>
    </w:p>
    <w:p>
      <w:pPr>
        <w:pStyle w:val="Normal"/>
        <w:spacing w:before="0" w:after="120"/>
        <w:rPr>
          <w:lang w:val="es-EC"/>
        </w:rPr>
      </w:pPr>
      <w:r>
        <w:rPr>
          <w:lang w:val="es-EC"/>
        </w:rPr>
      </w:r>
    </w:p>
    <w:p>
      <w:pPr>
        <w:pStyle w:val="heading20"/>
        <w:rPr>
          <w:lang w:val="es-EC"/>
        </w:rPr>
      </w:pPr>
      <w:bookmarkStart w:id="34" w:name="__RefHeading___Toc12404_3037558313"/>
      <w:bookmarkStart w:id="35" w:name="_Toc225746720"/>
      <w:bookmarkEnd w:id="34"/>
      <w:r>
        <w:rPr>
          <w:lang w:val="es-EC"/>
        </w:rPr>
        <w:t>3.3 Hallazgo 3 - Fragmentación Severa de Indices</w:t>
      </w:r>
      <w:bookmarkEnd w:id="35"/>
    </w:p>
    <w:p>
      <w:pPr>
        <w:pStyle w:val="heading30"/>
        <w:rPr>
          <w:lang w:val="es-EC"/>
        </w:rPr>
      </w:pPr>
      <w:bookmarkStart w:id="36" w:name="__RefHeading___Toc12406_3037558313"/>
      <w:bookmarkStart w:id="37" w:name="_Toc225746721"/>
      <w:bookmarkEnd w:id="36"/>
      <w:r>
        <w:rPr>
          <w:lang w:val="es-EC"/>
        </w:rPr>
        <w:t>Descripción del parámetro</w:t>
      </w:r>
      <w:bookmarkEnd w:id="37"/>
    </w:p>
    <w:p>
      <w:pPr>
        <w:pStyle w:val="Normal"/>
        <w:spacing w:before="0" w:after="100"/>
        <w:rPr>
          <w:lang w:val="es-EC"/>
        </w:rPr>
      </w:pPr>
      <w:r>
        <w:rPr>
          <w:color w:val="000000"/>
          <w:lang w:val="es-EC"/>
        </w:rPr>
        <w:t xml:space="preserve">La fragmentación de indices en SQL Server ocurre cuando el orden lógico de las paginas de indice no coincide con el orden físico en disco. Esto se produce de forma natural con operaciones de INSERT, UPDATE y DELETE que no siguen el orden del indice. Cuando la fragmentación supera ciertos umbrales, </w:t>
      </w:r>
      <w:r>
        <w:rPr>
          <w:b/>
          <w:bCs/>
          <w:color w:val="000000"/>
          <w:lang w:val="es-EC"/>
        </w:rPr>
        <w:t>el motor debe realizar mas operaciones de I/O para leer la misma cantidad de datos</w:t>
      </w:r>
      <w:r>
        <w:rPr>
          <w:color w:val="000000"/>
          <w:lang w:val="es-EC"/>
        </w:rPr>
        <w:t>, ya que no puede realizar lecturas secuenciales eficientes.</w:t>
      </w:r>
    </w:p>
    <w:p>
      <w:pPr>
        <w:pStyle w:val="Normal"/>
        <w:spacing w:before="0" w:after="100"/>
        <w:rPr>
          <w:lang w:val="es-EC"/>
        </w:rPr>
      </w:pPr>
      <w:r>
        <w:rPr>
          <w:color w:val="000000"/>
          <w:lang w:val="es-EC"/>
        </w:rPr>
        <w:t>Según la documentación oficial de Microsoft (Maintaining Indexes Optimally - SQL Server, Microsoft Learn): La recomendación general establece que para fragmentación entre 5% y 30% se debe ejecutar REORGANIZE, y para fragmentación superior al 30% se debe ejecutar REBUILD. Si bien estos porcentajes son estándares se puede evaluar un REBUILD en todos los indices debido al estado general actual de la base de datos.</w:t>
      </w:r>
    </w:p>
    <w:p>
      <w:pPr>
        <w:pStyle w:val="heading30"/>
        <w:rPr>
          <w:lang w:val="es-EC"/>
        </w:rPr>
      </w:pPr>
      <w:bookmarkStart w:id="38" w:name="__RefHeading___Toc12408_3037558313"/>
      <w:bookmarkStart w:id="39" w:name="_Toc225746722"/>
      <w:bookmarkEnd w:id="38"/>
      <w:r>
        <w:rPr>
          <w:lang w:val="es-EC"/>
        </w:rPr>
        <w:t>Evidencia del diagnostico</w:t>
      </w:r>
      <w:bookmarkEnd w:id="39"/>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597"/>
        <w:gridCol w:w="1401"/>
        <w:gridCol w:w="2501"/>
        <w:gridCol w:w="2398"/>
        <w:gridCol w:w="1463"/>
      </w:tblGrid>
      <w:tr>
        <w:trPr>
          <w:tblHeader w:val="true"/>
        </w:trPr>
        <w:tc>
          <w:tcPr>
            <w:tcW w:w="1597"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140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themeColor="background1" w:val="FFFFFF"/>
                <w:sz w:val="20"/>
                <w:szCs w:val="20"/>
                <w:lang w:val="es-EC"/>
              </w:rPr>
              <w:t>Total Indices</w:t>
            </w:r>
          </w:p>
        </w:tc>
        <w:tc>
          <w:tcPr>
            <w:tcW w:w="250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REBUILD Requerido (&gt;30%)</w:t>
            </w:r>
          </w:p>
        </w:tc>
        <w:tc>
          <w:tcPr>
            <w:tcW w:w="2398"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REORGANIZE Recomendado (5-30%)</w:t>
            </w:r>
          </w:p>
        </w:tc>
        <w:tc>
          <w:tcPr>
            <w:tcW w:w="1463"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 Indices Afectados</w:t>
            </w:r>
          </w:p>
        </w:tc>
      </w:tr>
      <w:tr>
        <w:trPr/>
        <w:tc>
          <w:tcPr>
            <w:tcW w:w="15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VISTAIT</w:t>
            </w:r>
          </w:p>
        </w:tc>
        <w:tc>
          <w:tcPr>
            <w:tcW w:w="1401"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679</w:t>
            </w:r>
          </w:p>
        </w:tc>
        <w:tc>
          <w:tcPr>
            <w:tcW w:w="2501"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b/>
                <w:bCs/>
                <w:color w:val="C00000"/>
                <w:sz w:val="18"/>
                <w:szCs w:val="18"/>
                <w:lang w:val="es-EC"/>
              </w:rPr>
              <w:t>93</w:t>
            </w:r>
          </w:p>
        </w:tc>
        <w:tc>
          <w:tcPr>
            <w:tcW w:w="239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41</w:t>
            </w:r>
          </w:p>
        </w:tc>
        <w:tc>
          <w:tcPr>
            <w:tcW w:w="14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19.7%</w:t>
            </w:r>
          </w:p>
        </w:tc>
      </w:tr>
      <w:tr>
        <w:trPr/>
        <w:tc>
          <w:tcPr>
            <w:tcW w:w="15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VISTA</w:t>
            </w:r>
          </w:p>
        </w:tc>
        <w:tc>
          <w:tcPr>
            <w:tcW w:w="1401"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1,471</w:t>
            </w:r>
          </w:p>
        </w:tc>
        <w:tc>
          <w:tcPr>
            <w:tcW w:w="2501"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b/>
                <w:bCs/>
                <w:color w:val="C00000"/>
                <w:sz w:val="18"/>
                <w:szCs w:val="18"/>
                <w:lang w:val="es-EC"/>
              </w:rPr>
              <w:t>135</w:t>
            </w:r>
          </w:p>
        </w:tc>
        <w:tc>
          <w:tcPr>
            <w:tcW w:w="239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58</w:t>
            </w:r>
          </w:p>
        </w:tc>
        <w:tc>
          <w:tcPr>
            <w:tcW w:w="14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13.1%</w:t>
            </w:r>
          </w:p>
        </w:tc>
      </w:tr>
      <w:tr>
        <w:trPr/>
        <w:tc>
          <w:tcPr>
            <w:tcW w:w="15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VISTALOYALTY</w:t>
            </w:r>
          </w:p>
        </w:tc>
        <w:tc>
          <w:tcPr>
            <w:tcW w:w="1401"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575</w:t>
            </w:r>
          </w:p>
        </w:tc>
        <w:tc>
          <w:tcPr>
            <w:tcW w:w="2501"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b/>
                <w:bCs/>
                <w:color w:val="C00000"/>
                <w:sz w:val="18"/>
                <w:szCs w:val="18"/>
                <w:lang w:val="es-EC"/>
              </w:rPr>
              <w:t>99</w:t>
            </w:r>
          </w:p>
        </w:tc>
        <w:tc>
          <w:tcPr>
            <w:tcW w:w="239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27</w:t>
            </w:r>
          </w:p>
        </w:tc>
        <w:tc>
          <w:tcPr>
            <w:tcW w:w="14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21.9%</w:t>
            </w:r>
          </w:p>
        </w:tc>
      </w:tr>
      <w:tr>
        <w:trPr/>
        <w:tc>
          <w:tcPr>
            <w:tcW w:w="15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b/>
                <w:bCs/>
                <w:color w:val="000000"/>
                <w:sz w:val="18"/>
                <w:szCs w:val="18"/>
                <w:lang w:val="es-EC"/>
              </w:rPr>
              <w:t>TOTAL</w:t>
            </w:r>
          </w:p>
        </w:tc>
        <w:tc>
          <w:tcPr>
            <w:tcW w:w="1401"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b/>
                <w:bCs/>
                <w:color w:val="000000"/>
                <w:sz w:val="18"/>
                <w:szCs w:val="18"/>
                <w:lang w:val="es-EC"/>
              </w:rPr>
              <w:t>2,725</w:t>
            </w:r>
          </w:p>
        </w:tc>
        <w:tc>
          <w:tcPr>
            <w:tcW w:w="2501"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b/>
                <w:bCs/>
                <w:color w:val="C00000"/>
                <w:sz w:val="18"/>
                <w:szCs w:val="18"/>
                <w:lang w:val="es-EC"/>
              </w:rPr>
              <w:t>327</w:t>
            </w:r>
          </w:p>
        </w:tc>
        <w:tc>
          <w:tcPr>
            <w:tcW w:w="239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b/>
                <w:bCs/>
                <w:color w:val="000000"/>
                <w:sz w:val="18"/>
                <w:szCs w:val="18"/>
                <w:lang w:val="es-EC"/>
              </w:rPr>
              <w:t>126</w:t>
            </w:r>
          </w:p>
        </w:tc>
        <w:tc>
          <w:tcPr>
            <w:tcW w:w="14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b/>
                <w:bCs/>
                <w:color w:val="000000"/>
                <w:sz w:val="18"/>
                <w:szCs w:val="18"/>
                <w:lang w:val="es-EC"/>
              </w:rPr>
              <w:t>16.6%</w:t>
            </w:r>
          </w:p>
        </w:tc>
      </w:tr>
    </w:tbl>
    <w:p>
      <w:pPr>
        <w:pStyle w:val="Normal"/>
        <w:spacing w:before="0" w:after="80"/>
        <w:rPr>
          <w:lang w:val="es-EC"/>
        </w:rPr>
      </w:pPr>
      <w:r>
        <w:rPr>
          <w:lang w:val="es-EC"/>
        </w:rPr>
      </w:r>
    </w:p>
    <w:p>
      <w:pPr>
        <w:pStyle w:val="Normal"/>
        <w:spacing w:before="0" w:after="100"/>
        <w:rPr>
          <w:lang w:val="es-EC"/>
        </w:rPr>
      </w:pPr>
      <w:r>
        <w:rPr>
          <w:color w:val="000000"/>
          <w:lang w:val="es-EC"/>
        </w:rPr>
        <w:t>Indices críticos con mayor numero de paginas afectadas (mayor impacto en rendimiento):</w:t>
      </w:r>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194"/>
        <w:gridCol w:w="2933"/>
        <w:gridCol w:w="3201"/>
        <w:gridCol w:w="1275"/>
        <w:gridCol w:w="757"/>
      </w:tblGrid>
      <w:tr>
        <w:trPr>
          <w:tblHeader w:val="true"/>
        </w:trPr>
        <w:tc>
          <w:tcPr>
            <w:tcW w:w="1194"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2933"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Tabla</w:t>
            </w:r>
          </w:p>
        </w:tc>
        <w:tc>
          <w:tcPr>
            <w:tcW w:w="320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Indice</w:t>
            </w:r>
          </w:p>
        </w:tc>
        <w:tc>
          <w:tcPr>
            <w:tcW w:w="1275"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Fragmentación</w:t>
            </w:r>
          </w:p>
        </w:tc>
        <w:tc>
          <w:tcPr>
            <w:tcW w:w="757"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Paginas</w:t>
            </w:r>
          </w:p>
        </w:tc>
      </w:tr>
      <w:tr>
        <w:trPr/>
        <w:tc>
          <w:tcPr>
            <w:tcW w:w="1194"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293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cognetic_members_membershipRecognition</w:t>
            </w:r>
          </w:p>
        </w:tc>
        <w:tc>
          <w:tcPr>
            <w:tcW w:w="320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PK_cognetic_members_membershipRecognition</w:t>
            </w:r>
          </w:p>
        </w:tc>
        <w:tc>
          <w:tcPr>
            <w:tcW w:w="1275"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99.99%</w:t>
            </w:r>
          </w:p>
        </w:tc>
        <w:tc>
          <w:tcPr>
            <w:tcW w:w="75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38,040</w:t>
            </w:r>
          </w:p>
        </w:tc>
      </w:tr>
      <w:tr>
        <w:trPr/>
        <w:tc>
          <w:tcPr>
            <w:tcW w:w="1194"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VISTALOYALTY</w:t>
            </w:r>
          </w:p>
        </w:tc>
        <w:tc>
          <w:tcPr>
            <w:tcW w:w="2933"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cognetic_members_membershipRecognition</w:t>
            </w:r>
          </w:p>
        </w:tc>
        <w:tc>
          <w:tcPr>
            <w:tcW w:w="3201"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ind_...membershipRecognition_status</w:t>
            </w:r>
          </w:p>
        </w:tc>
        <w:tc>
          <w:tcPr>
            <w:tcW w:w="1275"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37.28%</w:t>
            </w:r>
          </w:p>
        </w:tc>
        <w:tc>
          <w:tcPr>
            <w:tcW w:w="75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25,453</w:t>
            </w:r>
          </w:p>
        </w:tc>
      </w:tr>
      <w:tr>
        <w:trPr/>
        <w:tc>
          <w:tcPr>
            <w:tcW w:w="1194"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293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cognetic_members_membershipRecognition</w:t>
            </w:r>
          </w:p>
        </w:tc>
        <w:tc>
          <w:tcPr>
            <w:tcW w:w="320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ind_...processRecognition_finalUpdate</w:t>
            </w:r>
          </w:p>
        </w:tc>
        <w:tc>
          <w:tcPr>
            <w:tcW w:w="1275"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32.87%</w:t>
            </w:r>
          </w:p>
        </w:tc>
        <w:tc>
          <w:tcPr>
            <w:tcW w:w="75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21,891</w:t>
            </w:r>
          </w:p>
        </w:tc>
      </w:tr>
      <w:tr>
        <w:trPr/>
        <w:tc>
          <w:tcPr>
            <w:tcW w:w="1194"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VISTALOYALTY</w:t>
            </w:r>
          </w:p>
        </w:tc>
        <w:tc>
          <w:tcPr>
            <w:tcW w:w="2933"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cognetic_members_membershipRecognition</w:t>
            </w:r>
          </w:p>
        </w:tc>
        <w:tc>
          <w:tcPr>
            <w:tcW w:w="3201"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ind_membershipRecognition_...randomNo</w:t>
            </w:r>
          </w:p>
        </w:tc>
        <w:tc>
          <w:tcPr>
            <w:tcW w:w="1275"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32.49%</w:t>
            </w:r>
          </w:p>
        </w:tc>
        <w:tc>
          <w:tcPr>
            <w:tcW w:w="75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16,412</w:t>
            </w:r>
          </w:p>
        </w:tc>
      </w:tr>
      <w:tr>
        <w:trPr/>
        <w:tc>
          <w:tcPr>
            <w:tcW w:w="1194"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293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cognetic_members_membershipRecognition</w:t>
            </w:r>
          </w:p>
        </w:tc>
        <w:tc>
          <w:tcPr>
            <w:tcW w:w="320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ind_...membershipRecognition_requestId</w:t>
            </w:r>
          </w:p>
        </w:tc>
        <w:tc>
          <w:tcPr>
            <w:tcW w:w="1275"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98.85%</w:t>
            </w:r>
          </w:p>
        </w:tc>
        <w:tc>
          <w:tcPr>
            <w:tcW w:w="75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14,039</w:t>
            </w:r>
          </w:p>
        </w:tc>
      </w:tr>
      <w:tr>
        <w:trPr/>
        <w:tc>
          <w:tcPr>
            <w:tcW w:w="1194"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w:t>
            </w:r>
          </w:p>
        </w:tc>
        <w:tc>
          <w:tcPr>
            <w:tcW w:w="2933"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tblFacturaElectronica</w:t>
            </w:r>
          </w:p>
        </w:tc>
        <w:tc>
          <w:tcPr>
            <w:tcW w:w="3201"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PK__tblFactu__208739EE0F6A1C01</w:t>
            </w:r>
          </w:p>
        </w:tc>
        <w:tc>
          <w:tcPr>
            <w:tcW w:w="1275"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87.53%</w:t>
            </w:r>
          </w:p>
        </w:tc>
        <w:tc>
          <w:tcPr>
            <w:tcW w:w="75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13,174</w:t>
            </w:r>
          </w:p>
        </w:tc>
      </w:tr>
      <w:tr>
        <w:trPr/>
        <w:tc>
          <w:tcPr>
            <w:tcW w:w="1194"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w:t>
            </w:r>
          </w:p>
        </w:tc>
        <w:tc>
          <w:tcPr>
            <w:tcW w:w="293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tblEventQueue</w:t>
            </w:r>
          </w:p>
        </w:tc>
        <w:tc>
          <w:tcPr>
            <w:tcW w:w="320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PK_tblEventQueue</w:t>
            </w:r>
          </w:p>
        </w:tc>
        <w:tc>
          <w:tcPr>
            <w:tcW w:w="1275"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71.53%</w:t>
            </w:r>
          </w:p>
        </w:tc>
        <w:tc>
          <w:tcPr>
            <w:tcW w:w="75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2,311</w:t>
            </w:r>
          </w:p>
        </w:tc>
      </w:tr>
      <w:tr>
        <w:trPr/>
        <w:tc>
          <w:tcPr>
            <w:tcW w:w="1194"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VISTAIT</w:t>
            </w:r>
          </w:p>
        </w:tc>
        <w:tc>
          <w:tcPr>
            <w:tcW w:w="2933"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tblPricePackages</w:t>
            </w:r>
          </w:p>
        </w:tc>
        <w:tc>
          <w:tcPr>
            <w:tcW w:w="3201"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ind_tblPricePackages_Cinema_strID</w:t>
            </w:r>
          </w:p>
        </w:tc>
        <w:tc>
          <w:tcPr>
            <w:tcW w:w="1275"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88.26%</w:t>
            </w:r>
          </w:p>
        </w:tc>
        <w:tc>
          <w:tcPr>
            <w:tcW w:w="75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1,218</w:t>
            </w:r>
          </w:p>
        </w:tc>
      </w:tr>
    </w:tbl>
    <w:p>
      <w:pPr>
        <w:pStyle w:val="Normal"/>
        <w:spacing w:before="0" w:after="80"/>
        <w:rPr>
          <w:lang w:val="es-EC"/>
        </w:rPr>
      </w:pPr>
      <w:r>
        <w:rPr>
          <w:lang w:val="es-EC"/>
        </w:rPr>
      </w:r>
    </w:p>
    <w:p>
      <w:pPr>
        <w:pStyle w:val="heading30"/>
        <w:rPr>
          <w:lang w:val="es-EC"/>
        </w:rPr>
      </w:pPr>
      <w:bookmarkStart w:id="40" w:name="__RefHeading___Toc12410_3037558313"/>
      <w:bookmarkStart w:id="41" w:name="_Toc225746723"/>
      <w:bookmarkEnd w:id="40"/>
      <w:r>
        <w:rPr>
          <w:lang w:val="es-EC"/>
        </w:rPr>
        <w:t>Recomendación</w:t>
      </w:r>
      <w:bookmarkEnd w:id="41"/>
    </w:p>
    <w:p>
      <w:pPr>
        <w:pStyle w:val="Normal"/>
        <w:spacing w:before="0" w:after="100"/>
        <w:rPr>
          <w:lang w:val="es-EC"/>
        </w:rPr>
      </w:pPr>
      <w:r>
        <w:rPr>
          <w:color w:val="000000"/>
          <w:lang w:val="es-EC"/>
        </w:rPr>
        <w:t>Microsoft clarifica que la decisión de hacer REBUILD vs REORGANIZE no debe basarse unicamente en el porcentaje de fragmentación, sino considerar también el numero de paginas y el patrón de carga. Para entornos de produccion:</w:t>
      </w:r>
    </w:p>
    <w:p>
      <w:pPr>
        <w:pStyle w:val="ListParagraph"/>
        <w:numPr>
          <w:ilvl w:val="0"/>
          <w:numId w:val="4"/>
        </w:numPr>
        <w:spacing w:before="0" w:after="60"/>
        <w:rPr>
          <w:lang w:val="es-EC"/>
        </w:rPr>
      </w:pPr>
      <w:r>
        <w:rPr>
          <w:color w:val="000000"/>
          <w:lang w:val="es-EC"/>
        </w:rPr>
        <w:t>Ejecutar REBUILD para los 327 indices con fragmentación superior al 30%, priorizando los que tienen mayor numero de paginas (mayor impacto en I/O).</w:t>
      </w:r>
    </w:p>
    <w:p>
      <w:pPr>
        <w:pStyle w:val="ListParagraph"/>
        <w:numPr>
          <w:ilvl w:val="0"/>
          <w:numId w:val="4"/>
        </w:numPr>
        <w:spacing w:before="0" w:after="60"/>
        <w:rPr>
          <w:lang w:val="es-EC"/>
        </w:rPr>
      </w:pPr>
      <w:r>
        <w:rPr>
          <w:color w:val="000000"/>
          <w:lang w:val="es-EC"/>
        </w:rPr>
        <w:t>Ejecutar REORGANIZE para los 126 indices con fragmentación entre 5% y 30%.</w:t>
      </w:r>
    </w:p>
    <w:p>
      <w:pPr>
        <w:pStyle w:val="ListParagraph"/>
        <w:numPr>
          <w:ilvl w:val="0"/>
          <w:numId w:val="4"/>
        </w:numPr>
        <w:spacing w:before="0" w:after="60"/>
        <w:rPr>
          <w:lang w:val="es-EC"/>
        </w:rPr>
      </w:pPr>
      <w:r>
        <w:rPr>
          <w:color w:val="000000"/>
          <w:lang w:val="es-EC"/>
        </w:rPr>
        <w:t>Establecer un proceso de mantenimiento periódico de indices (recomendación: semanal para tablas de alta actividad DML o idealmente a todos los indices).</w:t>
      </w:r>
    </w:p>
    <w:p>
      <w:pPr>
        <w:pStyle w:val="ListParagraph"/>
        <w:numPr>
          <w:ilvl w:val="0"/>
          <w:numId w:val="4"/>
        </w:numPr>
        <w:spacing w:before="0" w:after="60"/>
        <w:rPr>
          <w:lang w:val="es-EC"/>
        </w:rPr>
      </w:pPr>
      <w:r>
        <w:rPr>
          <w:color w:val="000000"/>
          <w:lang w:val="es-EC"/>
        </w:rPr>
        <w:t>Para la tabla cognetic_members_membershipRecognition en VISTALOYALTY, que concentra los casos mas severos, se recomienda ejecutar REBUILD con la opción ONLINE si la edición de SQL Server lo permite, para minimizar el impacto en disponibilidad.</w:t>
      </w:r>
    </w:p>
    <w:p>
      <w:pPr>
        <w:pStyle w:val="ListParagraph"/>
        <w:numPr>
          <w:ilvl w:val="0"/>
          <w:numId w:val="4"/>
        </w:numPr>
        <w:spacing w:before="0" w:after="60"/>
        <w:rPr>
          <w:lang w:val="es-EC"/>
        </w:rPr>
      </w:pPr>
      <w:r>
        <w:rPr>
          <w:color w:val="000000"/>
          <w:lang w:val="es-EC"/>
        </w:rPr>
        <w:t>La operación REBUILD actualiza automáticamente las estadísticas con FULLSCAN, por lo que resuelve de forma complementaria el hallazgo para los indices reconstruidos.</w:t>
      </w:r>
    </w:p>
    <w:p>
      <w:pPr>
        <w:pStyle w:val="Normal"/>
        <w:spacing w:before="0" w:after="120"/>
        <w:rPr>
          <w:lang w:val="es-EC"/>
        </w:rPr>
      </w:pPr>
      <w:r>
        <w:rPr>
          <w:lang w:val="es-EC"/>
        </w:rPr>
      </w:r>
    </w:p>
    <w:p>
      <w:pPr>
        <w:pStyle w:val="heading20"/>
        <w:rPr>
          <w:lang w:val="es-EC"/>
        </w:rPr>
      </w:pPr>
      <w:bookmarkStart w:id="42" w:name="__RefHeading___Toc12412_3037558313"/>
      <w:bookmarkStart w:id="43" w:name="_Toc225746724"/>
      <w:bookmarkEnd w:id="42"/>
      <w:r>
        <w:rPr>
          <w:lang w:val="es-EC"/>
        </w:rPr>
        <w:t>3.4 Hallazgo 4 - Estadísticas de Indices Nunca Actualizadas</w:t>
      </w:r>
      <w:bookmarkEnd w:id="43"/>
    </w:p>
    <w:p>
      <w:pPr>
        <w:pStyle w:val="heading30"/>
        <w:rPr>
          <w:lang w:val="es-EC"/>
        </w:rPr>
      </w:pPr>
      <w:bookmarkStart w:id="44" w:name="__RefHeading___Toc12414_3037558313"/>
      <w:bookmarkStart w:id="45" w:name="_Toc225746725"/>
      <w:bookmarkEnd w:id="44"/>
      <w:r>
        <w:rPr>
          <w:lang w:val="es-EC"/>
        </w:rPr>
        <w:t>Descripción del parámetro</w:t>
      </w:r>
      <w:bookmarkEnd w:id="45"/>
    </w:p>
    <w:p>
      <w:pPr>
        <w:pStyle w:val="Normal"/>
        <w:spacing w:before="0" w:after="100"/>
        <w:rPr>
          <w:lang w:val="es-EC"/>
        </w:rPr>
      </w:pPr>
      <w:r>
        <w:rPr>
          <w:color w:val="000000"/>
          <w:lang w:val="es-EC"/>
        </w:rPr>
        <w:t>Las estadísticas en SQL Server son objetos de metadatos que el optimizado de consultas utiliza para estimar la cardinalidad (numero de filas que cumplirán un predicado) de cada operación en un plan de ejecución. Cuando las estadísticas están desactualizadas, el optimizador genera estimaciones incorrectas, lo que puede derivar en la selección de planes suboptimos: por ejemplo, elegir un Index Scan (lectura de toda la tabla) cuando un Index Seek (acceso directo por clave) seria la opción correcta.</w:t>
      </w:r>
    </w:p>
    <w:p>
      <w:pPr>
        <w:pStyle w:val="Normal"/>
        <w:spacing w:before="0" w:after="100"/>
        <w:rPr>
          <w:lang w:val="es-EC"/>
        </w:rPr>
      </w:pPr>
      <w:r>
        <w:rPr>
          <w:color w:val="000000"/>
          <w:lang w:val="es-EC"/>
        </w:rPr>
        <w:t>Según la documentación oficial de Microsoft (Statistics - SQL Server, Microsoft Learn): "The Query Optimizer uses statistics to create query plans that improve query performance. For most queries, the Query Optimizer already generates the necessary statistics for a high-quality query plan; in some cases, you need to create extra statistics or modify the query design for best results"</w:t>
      </w:r>
    </w:p>
    <w:p>
      <w:pPr>
        <w:pStyle w:val="heading30"/>
        <w:rPr>
          <w:lang w:val="es-EC"/>
        </w:rPr>
      </w:pPr>
      <w:bookmarkStart w:id="46" w:name="__RefHeading___Toc12416_3037558313"/>
      <w:bookmarkStart w:id="47" w:name="_Toc225746726"/>
      <w:bookmarkEnd w:id="46"/>
      <w:r>
        <w:rPr>
          <w:lang w:val="es-EC"/>
        </w:rPr>
        <w:t>Evidencia del diagnostico</w:t>
      </w:r>
      <w:bookmarkEnd w:id="47"/>
    </w:p>
    <w:p>
      <w:pPr>
        <w:pStyle w:val="Normal"/>
        <w:spacing w:before="0" w:after="100"/>
        <w:rPr>
          <w:lang w:val="es-EC"/>
        </w:rPr>
      </w:pPr>
      <w:r>
        <w:rPr>
          <w:color w:val="000000"/>
          <w:lang w:val="es-EC"/>
        </w:rPr>
        <w:t>El diagnostico encontró 917 objetos de estadísticas en estado "Sin actualización registrada" en las tres bases de datos. Este estado indica que las estadísticas existen como objetos pero nunca han sido calculadas, lo que significa que el optimizador trabaja con histogramas vacíos o valores por defecto, generando planes de ejecución potencialmente incorrectos.</w:t>
      </w:r>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531"/>
        <w:gridCol w:w="2334"/>
        <w:gridCol w:w="2321"/>
        <w:gridCol w:w="1472"/>
        <w:gridCol w:w="1702"/>
      </w:tblGrid>
      <w:tr>
        <w:trPr>
          <w:tblHeader w:val="true"/>
        </w:trPr>
        <w:tc>
          <w:tcPr>
            <w:tcW w:w="153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2334"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Estadísticas CRITICO (&gt;30 días o nunca)</w:t>
            </w:r>
          </w:p>
        </w:tc>
        <w:tc>
          <w:tcPr>
            <w:tcW w:w="232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Estadísticas ADVERTENCIA (7-30 días)</w:t>
            </w:r>
          </w:p>
        </w:tc>
        <w:tc>
          <w:tcPr>
            <w:tcW w:w="1472"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Total Estadísticas</w:t>
            </w:r>
          </w:p>
        </w:tc>
        <w:tc>
          <w:tcPr>
            <w:tcW w:w="1702"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Sin Actualización</w:t>
            </w:r>
          </w:p>
        </w:tc>
      </w:tr>
      <w:tr>
        <w:trPr/>
        <w:tc>
          <w:tcPr>
            <w:tcW w:w="153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VISTAIT</w:t>
            </w:r>
          </w:p>
        </w:tc>
        <w:tc>
          <w:tcPr>
            <w:tcW w:w="2334"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00000"/>
                <w:sz w:val="18"/>
                <w:szCs w:val="18"/>
                <w:lang w:val="es-EC"/>
              </w:rPr>
              <w:t>179</w:t>
            </w:r>
          </w:p>
        </w:tc>
        <w:tc>
          <w:tcPr>
            <w:tcW w:w="232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41</w:t>
            </w:r>
          </w:p>
        </w:tc>
        <w:tc>
          <w:tcPr>
            <w:tcW w:w="147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908</w:t>
            </w:r>
          </w:p>
        </w:tc>
        <w:tc>
          <w:tcPr>
            <w:tcW w:w="170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00000"/>
                <w:sz w:val="18"/>
                <w:szCs w:val="18"/>
                <w:lang w:val="es-EC"/>
              </w:rPr>
              <w:t>179</w:t>
            </w:r>
          </w:p>
        </w:tc>
      </w:tr>
      <w:tr>
        <w:trPr/>
        <w:tc>
          <w:tcPr>
            <w:tcW w:w="1531"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w:t>
            </w:r>
          </w:p>
        </w:tc>
        <w:tc>
          <w:tcPr>
            <w:tcW w:w="2334"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C00000"/>
                <w:sz w:val="18"/>
                <w:szCs w:val="18"/>
                <w:lang w:val="es-EC"/>
              </w:rPr>
              <w:t>562</w:t>
            </w:r>
          </w:p>
        </w:tc>
        <w:tc>
          <w:tcPr>
            <w:tcW w:w="2321"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233</w:t>
            </w:r>
          </w:p>
        </w:tc>
        <w:tc>
          <w:tcPr>
            <w:tcW w:w="147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4,649</w:t>
            </w:r>
          </w:p>
        </w:tc>
        <w:tc>
          <w:tcPr>
            <w:tcW w:w="170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C00000"/>
                <w:sz w:val="18"/>
                <w:szCs w:val="18"/>
                <w:lang w:val="es-EC"/>
              </w:rPr>
              <w:t>562</w:t>
            </w:r>
          </w:p>
        </w:tc>
      </w:tr>
      <w:tr>
        <w:trPr/>
        <w:tc>
          <w:tcPr>
            <w:tcW w:w="153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2334"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00000"/>
                <w:sz w:val="18"/>
                <w:szCs w:val="18"/>
                <w:lang w:val="es-EC"/>
              </w:rPr>
              <w:t>176</w:t>
            </w:r>
          </w:p>
        </w:tc>
        <w:tc>
          <w:tcPr>
            <w:tcW w:w="232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0</w:t>
            </w:r>
          </w:p>
        </w:tc>
        <w:tc>
          <w:tcPr>
            <w:tcW w:w="147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1,082</w:t>
            </w:r>
          </w:p>
        </w:tc>
        <w:tc>
          <w:tcPr>
            <w:tcW w:w="170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00000"/>
                <w:sz w:val="18"/>
                <w:szCs w:val="18"/>
                <w:lang w:val="es-EC"/>
              </w:rPr>
              <w:t>176</w:t>
            </w:r>
          </w:p>
        </w:tc>
      </w:tr>
    </w:tbl>
    <w:p>
      <w:pPr>
        <w:pStyle w:val="Normal"/>
        <w:spacing w:before="0" w:after="80"/>
        <w:rPr>
          <w:lang w:val="es-EC"/>
        </w:rPr>
      </w:pPr>
      <w:r>
        <w:rPr>
          <w:lang w:val="es-EC"/>
        </w:rPr>
      </w:r>
    </w:p>
    <w:p>
      <w:pPr>
        <w:pStyle w:val="Normal"/>
        <w:spacing w:before="0" w:after="100"/>
        <w:rPr>
          <w:lang w:val="es-EC"/>
        </w:rPr>
      </w:pPr>
      <w:r>
        <w:rPr>
          <w:color w:val="000000"/>
          <w:lang w:val="es-EC"/>
        </w:rPr>
        <w:t xml:space="preserve">La condición "Sin actualización registrada" es especialmente preocupante en VISTA, donde 562 de las 4,649 estadísticas se encuentran en este estado. Esto correlaciona directamente con los waits de PAGEIOLATCH_SH (9.4%) detectados en esta instancia, que sugieren un </w:t>
      </w:r>
      <w:r>
        <w:rPr>
          <w:b/>
          <w:bCs/>
          <w:color w:val="000000"/>
          <w:lang w:val="es-EC"/>
        </w:rPr>
        <w:t>exceso de lecturas físicas de disco causadas por planes de ejecución suboptimos</w:t>
      </w:r>
      <w:r>
        <w:rPr>
          <w:color w:val="000000"/>
          <w:lang w:val="es-EC"/>
        </w:rPr>
        <w:t xml:space="preserve"> que ejecutan scans en lugar de seeks.</w:t>
      </w:r>
    </w:p>
    <w:p>
      <w:pPr>
        <w:pStyle w:val="heading30"/>
        <w:rPr>
          <w:lang w:val="es-EC"/>
        </w:rPr>
      </w:pPr>
      <w:bookmarkStart w:id="48" w:name="__RefHeading___Toc12418_3037558313"/>
      <w:bookmarkStart w:id="49" w:name="_Toc225746727"/>
      <w:bookmarkEnd w:id="48"/>
      <w:r>
        <w:rPr>
          <w:lang w:val="es-EC"/>
        </w:rPr>
        <w:t>Recomendación</w:t>
      </w:r>
      <w:bookmarkEnd w:id="49"/>
    </w:p>
    <w:p>
      <w:pPr>
        <w:pStyle w:val="Normal"/>
        <w:spacing w:before="0" w:after="100"/>
        <w:rPr>
          <w:lang w:val="es-EC"/>
        </w:rPr>
      </w:pPr>
      <w:r>
        <w:rPr>
          <w:color w:val="000000"/>
          <w:lang w:val="es-EC"/>
        </w:rPr>
        <w:t>Según la documentación de Microsoft (UPDATE STATISTICS - Transact-SQL, Microsoft Learn): UPDATE STATISTICS actualiza la información que el optimizador de consultas utiliza para determinar la mejor estrategia para procesar consultas.</w:t>
      </w:r>
    </w:p>
    <w:p>
      <w:pPr>
        <w:pStyle w:val="ListParagraph"/>
        <w:numPr>
          <w:ilvl w:val="0"/>
          <w:numId w:val="4"/>
        </w:numPr>
        <w:spacing w:before="0" w:after="60"/>
        <w:rPr>
          <w:lang w:val="es-EC"/>
        </w:rPr>
      </w:pPr>
      <w:r>
        <w:rPr>
          <w:color w:val="000000"/>
          <w:lang w:val="es-EC"/>
        </w:rPr>
        <w:t>Ejecutar UPDATE STATISTICS con FULLSCAN para todos los objetos en estado critico, priorizando las tablas de mayor actividad transaccional.</w:t>
      </w:r>
    </w:p>
    <w:p>
      <w:pPr>
        <w:pStyle w:val="ListParagraph"/>
        <w:numPr>
          <w:ilvl w:val="0"/>
          <w:numId w:val="4"/>
        </w:numPr>
        <w:spacing w:before="0" w:after="60"/>
        <w:rPr>
          <w:lang w:val="es-EC"/>
        </w:rPr>
      </w:pPr>
      <w:r>
        <w:rPr>
          <w:color w:val="000000"/>
          <w:lang w:val="es-EC"/>
        </w:rPr>
        <w:t>Verificar que AUTO_UPDATE_STATISTICS este habilitado en las tres bases de datos (la desactivación de esta opción puede ser la causa del estado "Sin actualización registrada").</w:t>
      </w:r>
    </w:p>
    <w:p>
      <w:pPr>
        <w:pStyle w:val="ListParagraph"/>
        <w:numPr>
          <w:ilvl w:val="0"/>
          <w:numId w:val="4"/>
        </w:numPr>
        <w:spacing w:before="0" w:after="60"/>
        <w:rPr>
          <w:lang w:val="es-EC"/>
        </w:rPr>
      </w:pPr>
      <w:r>
        <w:rPr>
          <w:color w:val="000000"/>
          <w:lang w:val="es-EC"/>
        </w:rPr>
        <w:t>Configurar un job de mantenimiento semanal que ejecute UPDATE STATISTICS en tablas de alta actividad DML.</w:t>
      </w:r>
    </w:p>
    <w:p>
      <w:pPr>
        <w:pStyle w:val="ListParagraph"/>
        <w:numPr>
          <w:ilvl w:val="0"/>
          <w:numId w:val="4"/>
        </w:numPr>
        <w:spacing w:before="0" w:after="60"/>
        <w:rPr>
          <w:lang w:val="es-EC"/>
        </w:rPr>
      </w:pPr>
      <w:r>
        <w:rPr>
          <w:color w:val="000000"/>
          <w:lang w:val="es-EC"/>
        </w:rPr>
        <w:t>Nota: los indices reconstruidos con REBUILD actualizan sus estadisticas automáticamente con FULLSCAN, por lo que el Hallazgo 3 y el Hallazgo 4 pueden resolverse de forma conjunta en la misma ventana de mantenimiento.</w:t>
      </w:r>
    </w:p>
    <w:p>
      <w:pPr>
        <w:pStyle w:val="Normal"/>
        <w:spacing w:before="0" w:after="120"/>
        <w:rPr>
          <w:lang w:val="es-EC"/>
        </w:rPr>
      </w:pPr>
      <w:r>
        <w:rPr>
          <w:lang w:val="es-EC"/>
        </w:rPr>
      </w:r>
    </w:p>
    <w:p>
      <w:pPr>
        <w:pStyle w:val="heading20"/>
        <w:rPr>
          <w:lang w:val="es-EC"/>
        </w:rPr>
      </w:pPr>
      <w:bookmarkStart w:id="50" w:name="__RefHeading___Toc12420_3037558313"/>
      <w:bookmarkStart w:id="51" w:name="_Toc225746728"/>
      <w:bookmarkEnd w:id="50"/>
      <w:r>
        <w:rPr>
          <w:lang w:val="es-EC"/>
        </w:rPr>
        <w:t>3.5 Hallazgo 5 - Configuración de Paralelismo No Ajustada</w:t>
      </w:r>
      <w:bookmarkEnd w:id="51"/>
    </w:p>
    <w:p>
      <w:pPr>
        <w:pStyle w:val="heading30"/>
        <w:rPr>
          <w:lang w:val="es-EC"/>
        </w:rPr>
      </w:pPr>
      <w:bookmarkStart w:id="52" w:name="__RefHeading___Toc12422_3037558313"/>
      <w:bookmarkStart w:id="53" w:name="_Toc225746729"/>
      <w:bookmarkEnd w:id="52"/>
      <w:r>
        <w:rPr>
          <w:lang w:val="es-EC"/>
        </w:rPr>
        <w:t>Descripción del parámetro</w:t>
      </w:r>
      <w:bookmarkEnd w:id="53"/>
    </w:p>
    <w:p>
      <w:pPr>
        <w:pStyle w:val="Normal"/>
        <w:spacing w:before="0" w:after="100"/>
        <w:rPr>
          <w:lang w:val="es-EC"/>
        </w:rPr>
      </w:pPr>
      <w:r>
        <w:rPr>
          <w:color w:val="000000"/>
          <w:lang w:val="es-EC"/>
        </w:rPr>
        <w:t>SQL Server gestiona el paralelismo de consultas mediante dos parámetros de nivel instancia: max degree of parallelism (MAXDOP) y cost threshold for parallelism (CTFP). MAXDOP controla el numero máximo de procesadores que puede utilizar una sola consulta. CTFP establece el umbral de costo estimado a partir del cual SQL Server evalúa si una consulta debe ejecutarse en paralelo.</w:t>
      </w:r>
    </w:p>
    <w:p>
      <w:pPr>
        <w:pStyle w:val="Normal"/>
        <w:spacing w:before="0" w:after="100"/>
        <w:rPr>
          <w:lang w:val="es-EC"/>
        </w:rPr>
      </w:pPr>
      <w:r>
        <w:rPr>
          <w:color w:val="000000"/>
          <w:lang w:val="es-EC"/>
        </w:rPr>
        <w:t>Las tres instancias presentan MAXDOP=0 (sin limite, utiliza todos los núcleos disponibles) y CTFP=5 (el valor por defecto de instalación). Segun Microsoft (Server configuration: cost threshold for parallelism, Microsoft Learn): "The default value of 5 is a starting point, not a recommendation."</w:t>
      </w:r>
    </w:p>
    <w:p>
      <w:pPr>
        <w:pStyle w:val="heading30"/>
        <w:rPr>
          <w:lang w:val="es-EC"/>
        </w:rPr>
      </w:pPr>
      <w:bookmarkStart w:id="54" w:name="__RefHeading___Toc12424_3037558313"/>
      <w:bookmarkStart w:id="55" w:name="_Toc225746730"/>
      <w:bookmarkEnd w:id="54"/>
      <w:r>
        <w:rPr>
          <w:lang w:val="es-EC"/>
        </w:rPr>
        <w:t>Evidencia del diagnostico</w:t>
      </w:r>
      <w:bookmarkEnd w:id="55"/>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2173"/>
        <w:gridCol w:w="1581"/>
        <w:gridCol w:w="1988"/>
        <w:gridCol w:w="2084"/>
        <w:gridCol w:w="1534"/>
      </w:tblGrid>
      <w:tr>
        <w:trPr>
          <w:tblHeader w:val="true"/>
        </w:trPr>
        <w:tc>
          <w:tcPr>
            <w:tcW w:w="2173"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Parámetro</w:t>
            </w:r>
          </w:p>
        </w:tc>
        <w:tc>
          <w:tcPr>
            <w:tcW w:w="158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Valor Actual</w:t>
            </w:r>
          </w:p>
        </w:tc>
        <w:tc>
          <w:tcPr>
            <w:tcW w:w="1988"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Valor Recomendado</w:t>
            </w:r>
          </w:p>
        </w:tc>
        <w:tc>
          <w:tcPr>
            <w:tcW w:w="2084"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Impacto</w:t>
            </w:r>
          </w:p>
        </w:tc>
        <w:tc>
          <w:tcPr>
            <w:tcW w:w="1534"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Afecta a</w:t>
            </w:r>
          </w:p>
        </w:tc>
      </w:tr>
      <w:tr>
        <w:trPr/>
        <w:tc>
          <w:tcPr>
            <w:tcW w:w="217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themeColor="text1" w:val="000000"/>
                <w:sz w:val="18"/>
                <w:szCs w:val="18"/>
                <w:lang w:val="es-EC"/>
              </w:rPr>
              <w:t>max degree of parallelism</w:t>
            </w:r>
          </w:p>
        </w:tc>
        <w:tc>
          <w:tcPr>
            <w:tcW w:w="1581"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C55A11"/>
                <w:sz w:val="18"/>
                <w:szCs w:val="18"/>
                <w:lang w:val="es-EC"/>
              </w:rPr>
              <w:t>0 (sin limite)</w:t>
            </w:r>
          </w:p>
        </w:tc>
        <w:tc>
          <w:tcPr>
            <w:tcW w:w="198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Segun nucleos por NUMA node</w:t>
            </w:r>
          </w:p>
        </w:tc>
        <w:tc>
          <w:tcPr>
            <w:tcW w:w="2084"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Uso excesivo de CPU en consultas paralelas</w:t>
            </w:r>
          </w:p>
        </w:tc>
        <w:tc>
          <w:tcPr>
            <w:tcW w:w="1534"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VISTAIT, VISTA, VISTALOYALTY</w:t>
            </w:r>
          </w:p>
        </w:tc>
      </w:tr>
      <w:tr>
        <w:trPr/>
        <w:tc>
          <w:tcPr>
            <w:tcW w:w="217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cost threshold for parallelism</w:t>
            </w:r>
          </w:p>
        </w:tc>
        <w:tc>
          <w:tcPr>
            <w:tcW w:w="1581"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C55A11"/>
                <w:sz w:val="18"/>
                <w:szCs w:val="18"/>
                <w:lang w:val="es-EC"/>
              </w:rPr>
              <w:t>5 (defecto)</w:t>
            </w:r>
          </w:p>
        </w:tc>
        <w:tc>
          <w:tcPr>
            <w:tcW w:w="198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25 - 50</w:t>
            </w:r>
          </w:p>
        </w:tc>
        <w:tc>
          <w:tcPr>
            <w:tcW w:w="2084"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Consultas simples se ejecutan en paralelo innecesariamente</w:t>
            </w:r>
          </w:p>
        </w:tc>
        <w:tc>
          <w:tcPr>
            <w:tcW w:w="1534"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VISTAIT, VISTA, VISTALOYALTY</w:t>
            </w:r>
          </w:p>
        </w:tc>
      </w:tr>
    </w:tbl>
    <w:p>
      <w:pPr>
        <w:pStyle w:val="Normal"/>
        <w:spacing w:before="0" w:after="80"/>
        <w:rPr>
          <w:lang w:val="es-EC"/>
        </w:rPr>
      </w:pPr>
      <w:r>
        <w:rPr>
          <w:lang w:val="es-EC"/>
        </w:rPr>
      </w:r>
    </w:p>
    <w:p>
      <w:pPr>
        <w:pStyle w:val="Normal"/>
        <w:spacing w:before="0" w:after="100"/>
        <w:rPr>
          <w:lang w:val="es-EC"/>
        </w:rPr>
      </w:pPr>
      <w:r>
        <w:rPr>
          <w:color w:val="000000"/>
          <w:lang w:val="es-EC"/>
        </w:rPr>
        <w:t>En VISTA se detectaron waits de CXPACKET al 8.73% del total y en VISTALOYALTY al 4.96%, lo que confirma que el paralelismo excesivo esta generando contención activa. CXPACKET es el wait type que SQL Server registra cuando los hilos paralelos de una consulta esperan a que el hilo de control los sincronice.</w:t>
      </w:r>
    </w:p>
    <w:p>
      <w:pPr>
        <w:pStyle w:val="heading30"/>
        <w:rPr>
          <w:lang w:val="es-EC"/>
        </w:rPr>
      </w:pPr>
      <w:bookmarkStart w:id="56" w:name="__RefHeading___Toc12426_3037558313"/>
      <w:bookmarkStart w:id="57" w:name="_Toc225746731"/>
      <w:bookmarkEnd w:id="56"/>
      <w:r>
        <w:rPr>
          <w:lang w:val="es-EC"/>
        </w:rPr>
        <w:t>Recomendación</w:t>
      </w:r>
      <w:bookmarkEnd w:id="57"/>
    </w:p>
    <w:p>
      <w:pPr>
        <w:pStyle w:val="Normal"/>
        <w:spacing w:before="0" w:after="100"/>
        <w:rPr>
          <w:lang w:val="es-EC"/>
        </w:rPr>
      </w:pPr>
      <w:r>
        <w:rPr>
          <w:color w:val="000000"/>
          <w:lang w:val="es-EC"/>
        </w:rPr>
        <w:t>Microsoft documenta la siguiente guía de configuración de MAXDOP (Server Configuration: max degree of parallelism, Microsoft Learn):</w:t>
      </w:r>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2500"/>
        <w:gridCol w:w="2000"/>
        <w:gridCol w:w="4860"/>
      </w:tblGrid>
      <w:tr>
        <w:trPr>
          <w:tblHeader w:val="true"/>
        </w:trPr>
        <w:tc>
          <w:tcPr>
            <w:tcW w:w="250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Configuracion del Servidor</w:t>
            </w:r>
          </w:p>
        </w:tc>
        <w:tc>
          <w:tcPr>
            <w:tcW w:w="200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Procesadores Logicos</w:t>
            </w:r>
          </w:p>
        </w:tc>
        <w:tc>
          <w:tcPr>
            <w:tcW w:w="486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MAXDOP Recomendado</w:t>
            </w:r>
          </w:p>
        </w:tc>
      </w:tr>
      <w:tr>
        <w:trPr/>
        <w:tc>
          <w:tcPr>
            <w:tcW w:w="25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NUMA unico</w:t>
            </w:r>
          </w:p>
        </w:tc>
        <w:tc>
          <w:tcPr>
            <w:tcW w:w="20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&lt;= 8 logicos</w:t>
            </w:r>
          </w:p>
        </w:tc>
        <w:tc>
          <w:tcPr>
            <w:tcW w:w="486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Igual o menor al numero de procesadores logicos</w:t>
            </w:r>
          </w:p>
        </w:tc>
      </w:tr>
      <w:tr>
        <w:trPr/>
        <w:tc>
          <w:tcPr>
            <w:tcW w:w="25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NUMA unico</w:t>
            </w:r>
          </w:p>
        </w:tc>
        <w:tc>
          <w:tcPr>
            <w:tcW w:w="20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&gt; 8 logicos</w:t>
            </w:r>
          </w:p>
        </w:tc>
        <w:tc>
          <w:tcPr>
            <w:tcW w:w="486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8</w:t>
            </w:r>
          </w:p>
        </w:tc>
      </w:tr>
      <w:tr>
        <w:trPr/>
        <w:tc>
          <w:tcPr>
            <w:tcW w:w="25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themeColor="text1" w:val="000000"/>
                <w:sz w:val="18"/>
                <w:szCs w:val="18"/>
                <w:lang w:val="es-EC"/>
              </w:rPr>
              <w:t>Multiples NUMA</w:t>
            </w:r>
          </w:p>
        </w:tc>
        <w:tc>
          <w:tcPr>
            <w:tcW w:w="20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&lt;= 16 por nodo</w:t>
            </w:r>
          </w:p>
        </w:tc>
        <w:tc>
          <w:tcPr>
            <w:tcW w:w="486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Igual o menor al numero de procesadores por nodo NUMA</w:t>
            </w:r>
          </w:p>
        </w:tc>
      </w:tr>
      <w:tr>
        <w:trPr/>
        <w:tc>
          <w:tcPr>
            <w:tcW w:w="25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Multiples NUMA</w:t>
            </w:r>
          </w:p>
        </w:tc>
        <w:tc>
          <w:tcPr>
            <w:tcW w:w="20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&gt; 16 por nodo</w:t>
            </w:r>
          </w:p>
        </w:tc>
        <w:tc>
          <w:tcPr>
            <w:tcW w:w="486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Mitad de procesadores por nodo, maximo 16</w:t>
            </w:r>
          </w:p>
        </w:tc>
      </w:tr>
    </w:tbl>
    <w:p>
      <w:pPr>
        <w:pStyle w:val="Normal"/>
        <w:spacing w:before="0" w:after="80"/>
        <w:rPr>
          <w:lang w:val="es-EC"/>
        </w:rPr>
      </w:pPr>
      <w:r>
        <w:rPr>
          <w:lang w:val="es-EC"/>
        </w:rPr>
      </w:r>
    </w:p>
    <w:p>
      <w:pPr>
        <w:pStyle w:val="ListParagraph"/>
        <w:numPr>
          <w:ilvl w:val="0"/>
          <w:numId w:val="4"/>
        </w:numPr>
        <w:spacing w:before="0" w:after="60"/>
        <w:rPr>
          <w:lang w:val="es-EC"/>
        </w:rPr>
      </w:pPr>
      <w:r>
        <w:rPr>
          <w:color w:val="000000"/>
          <w:lang w:val="es-EC"/>
        </w:rPr>
        <w:t>Determinar la topología de CPU de cada servidor (numero de sockets, nucleos por socket, hyperthreading) antes de establecer el valor de MAXDOP.</w:t>
      </w:r>
    </w:p>
    <w:p>
      <w:pPr>
        <w:pStyle w:val="ListParagraph"/>
        <w:numPr>
          <w:ilvl w:val="0"/>
          <w:numId w:val="4"/>
        </w:numPr>
        <w:spacing w:before="0" w:after="60"/>
        <w:rPr>
          <w:lang w:val="es-EC"/>
        </w:rPr>
      </w:pPr>
      <w:r>
        <w:rPr>
          <w:color w:val="000000"/>
          <w:lang w:val="es-EC"/>
        </w:rPr>
        <w:t>Establecer cost threshold for parallelism en un valor entre 25 y 50 en las tres instancias. El valor 50 es ampliamente utilizado como punto de partida para cargas OLTP.</w:t>
      </w:r>
    </w:p>
    <w:p>
      <w:pPr>
        <w:pStyle w:val="ListParagraph"/>
        <w:numPr>
          <w:ilvl w:val="0"/>
          <w:numId w:val="4"/>
        </w:numPr>
        <w:spacing w:before="0" w:after="60"/>
        <w:rPr>
          <w:lang w:val="es-EC"/>
        </w:rPr>
      </w:pPr>
      <w:r>
        <w:rPr>
          <w:color w:val="000000"/>
          <w:lang w:val="es-EC"/>
        </w:rPr>
        <w:t>Ajustar MAXDOP y CTFP mediante sp_configure sin necesidad de reiniciar el servicio (opción dinámica).</w:t>
      </w:r>
    </w:p>
    <w:p>
      <w:pPr>
        <w:pStyle w:val="Normal"/>
        <w:spacing w:before="0" w:after="120"/>
        <w:rPr>
          <w:lang w:val="es-EC"/>
        </w:rPr>
      </w:pPr>
      <w:r>
        <w:rPr>
          <w:lang w:val="es-EC"/>
        </w:rPr>
      </w:r>
    </w:p>
    <w:p>
      <w:pPr>
        <w:pStyle w:val="heading20"/>
        <w:rPr>
          <w:lang w:val="es-EC"/>
        </w:rPr>
      </w:pPr>
      <w:bookmarkStart w:id="58" w:name="__RefHeading___Toc12428_3037558313"/>
      <w:bookmarkStart w:id="59" w:name="_Toc225746732"/>
      <w:bookmarkEnd w:id="58"/>
      <w:r>
        <w:rPr>
          <w:lang w:val="es-EC"/>
        </w:rPr>
        <w:t>3.6 Hallazgo 6 - Optimize for Ad Hoc Workloads Desactivado</w:t>
      </w:r>
      <w:bookmarkEnd w:id="59"/>
    </w:p>
    <w:p>
      <w:pPr>
        <w:pStyle w:val="heading30"/>
        <w:rPr>
          <w:lang w:val="es-EC"/>
        </w:rPr>
      </w:pPr>
      <w:bookmarkStart w:id="60" w:name="__RefHeading___Toc12430_3037558313"/>
      <w:bookmarkStart w:id="61" w:name="_Toc225746733"/>
      <w:bookmarkEnd w:id="60"/>
      <w:r>
        <w:rPr>
          <w:lang w:val="es-EC"/>
        </w:rPr>
        <w:t>Descripción del parámetro</w:t>
      </w:r>
      <w:bookmarkEnd w:id="61"/>
    </w:p>
    <w:p>
      <w:pPr>
        <w:pStyle w:val="Normal"/>
        <w:spacing w:before="0" w:after="100"/>
        <w:rPr>
          <w:lang w:val="es-EC"/>
        </w:rPr>
      </w:pPr>
      <w:r>
        <w:rPr>
          <w:color w:val="000000"/>
          <w:lang w:val="es-EC"/>
        </w:rPr>
        <w:t>El parámetro optimize for ad hoc workloads controla como SQL Server almacena los planes de ejecución en el plan cache para consultas ejecutadas una sola vez (consultas ad hoc). Cuando esta desactivado (valor 0), SQL Server almacena el plan compilado completo desde la primera ejecución, independientemente de si la consulta se volverá a ejecutar. Esto puede causar que el plan cache se llene con planes de un solo uso, consumiendo memoria de buffer pool que podría utilizarse para cachear paginas de datos.</w:t>
      </w:r>
    </w:p>
    <w:p>
      <w:pPr>
        <w:pStyle w:val="Normal"/>
        <w:spacing w:before="0" w:after="100"/>
        <w:rPr>
          <w:lang w:val="es-EC"/>
        </w:rPr>
      </w:pPr>
      <w:r>
        <w:rPr>
          <w:color w:val="000000"/>
          <w:lang w:val="es-EC"/>
        </w:rPr>
        <w:t>Según la documentación oficial de Microsoft (Server Configuration: optimize for ad hoc workloads, Microsoft Learn): "When this option is set to 1, the Database Engine stores a small compiled plan stub in the plan cache when a batch is compiled for the first time, instead of the full compiled plan."</w:t>
      </w:r>
    </w:p>
    <w:p>
      <w:pPr>
        <w:pStyle w:val="heading30"/>
        <w:rPr>
          <w:lang w:val="es-EC"/>
        </w:rPr>
      </w:pPr>
      <w:bookmarkStart w:id="62" w:name="__RefHeading___Toc12432_3037558313"/>
      <w:bookmarkStart w:id="63" w:name="_Toc225746734"/>
      <w:bookmarkEnd w:id="62"/>
      <w:r>
        <w:rPr>
          <w:lang w:val="es-EC"/>
        </w:rPr>
        <w:t>Evidencia del diagnostico</w:t>
      </w:r>
      <w:bookmarkEnd w:id="63"/>
    </w:p>
    <w:p>
      <w:pPr>
        <w:pStyle w:val="Normal"/>
        <w:spacing w:before="0" w:after="100"/>
        <w:rPr>
          <w:lang w:val="es-EC"/>
        </w:rPr>
      </w:pPr>
      <w:r>
        <w:rPr>
          <w:color w:val="000000"/>
          <w:lang w:val="es-EC"/>
        </w:rPr>
        <w:t>Las tres instancias tienen este parámetro en valor 0 (desactivado). El diagnostico de top queries muestra un alto numero de consultas ad hoc en el plan cache de las tres bases de datos, lo que sugiere que este parámetro esta contribuyendo al consumo innecesario de memoria de plan cache.</w:t>
      </w:r>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2998"/>
        <w:gridCol w:w="1799"/>
        <w:gridCol w:w="2003"/>
        <w:gridCol w:w="2560"/>
      </w:tblGrid>
      <w:tr>
        <w:trPr>
          <w:tblHeader w:val="true"/>
        </w:trPr>
        <w:tc>
          <w:tcPr>
            <w:tcW w:w="2998"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Parametro</w:t>
            </w:r>
          </w:p>
        </w:tc>
        <w:tc>
          <w:tcPr>
            <w:tcW w:w="1799"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Valor Actual</w:t>
            </w:r>
          </w:p>
        </w:tc>
        <w:tc>
          <w:tcPr>
            <w:tcW w:w="2003"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Valor Recomendado</w:t>
            </w:r>
          </w:p>
        </w:tc>
        <w:tc>
          <w:tcPr>
            <w:tcW w:w="256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Instancias Afectadas</w:t>
            </w:r>
          </w:p>
        </w:tc>
      </w:tr>
      <w:tr>
        <w:trPr/>
        <w:tc>
          <w:tcPr>
            <w:tcW w:w="29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optimize for ad hoc workloads</w:t>
            </w:r>
          </w:p>
        </w:tc>
        <w:tc>
          <w:tcPr>
            <w:tcW w:w="1799"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C55A11"/>
                <w:sz w:val="18"/>
                <w:szCs w:val="18"/>
                <w:lang w:val="es-EC"/>
              </w:rPr>
              <w:t>0 (desactivado)</w:t>
            </w:r>
          </w:p>
        </w:tc>
        <w:tc>
          <w:tcPr>
            <w:tcW w:w="200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 (activado)</w:t>
            </w:r>
          </w:p>
        </w:tc>
        <w:tc>
          <w:tcPr>
            <w:tcW w:w="256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SRV-API, VISTACON, SRVLOY</w:t>
            </w:r>
          </w:p>
        </w:tc>
      </w:tr>
    </w:tbl>
    <w:p>
      <w:pPr>
        <w:pStyle w:val="Normal"/>
        <w:spacing w:before="0" w:after="80"/>
        <w:rPr>
          <w:lang w:val="es-EC"/>
        </w:rPr>
      </w:pPr>
      <w:r>
        <w:rPr>
          <w:lang w:val="es-EC"/>
        </w:rPr>
      </w:r>
    </w:p>
    <w:p>
      <w:pPr>
        <w:pStyle w:val="heading30"/>
        <w:rPr>
          <w:lang w:val="es-EC"/>
        </w:rPr>
      </w:pPr>
      <w:bookmarkStart w:id="64" w:name="__RefHeading___Toc12434_3037558313"/>
      <w:bookmarkStart w:id="65" w:name="_Toc225746735"/>
      <w:bookmarkEnd w:id="64"/>
      <w:r>
        <w:rPr>
          <w:lang w:val="es-EC"/>
        </w:rPr>
        <w:t>Recomendación</w:t>
      </w:r>
      <w:bookmarkEnd w:id="65"/>
    </w:p>
    <w:p>
      <w:pPr>
        <w:pStyle w:val="ListParagraph"/>
        <w:numPr>
          <w:ilvl w:val="0"/>
          <w:numId w:val="4"/>
        </w:numPr>
        <w:spacing w:before="0" w:after="60"/>
        <w:rPr>
          <w:lang w:val="es-EC"/>
        </w:rPr>
      </w:pPr>
      <w:r>
        <w:rPr>
          <w:color w:val="000000"/>
          <w:lang w:val="es-EC"/>
        </w:rPr>
        <w:t>Activar este parámetro (valor 1) en las tres instancias mediante sp_configure. El cambio es dinámico y no requiere reinicio del servicio de SQL Server.</w:t>
      </w:r>
    </w:p>
    <w:p>
      <w:pPr>
        <w:pStyle w:val="ListParagraph"/>
        <w:numPr>
          <w:ilvl w:val="0"/>
          <w:numId w:val="4"/>
        </w:numPr>
        <w:spacing w:before="0" w:after="60"/>
        <w:rPr>
          <w:lang w:val="es-EC"/>
        </w:rPr>
      </w:pPr>
      <w:r>
        <w:rPr>
          <w:color w:val="000000"/>
          <w:lang w:val="es-EC"/>
        </w:rPr>
        <w:t>Esta configuración es recomendada por Microsoft para todos los servidores OLTP con carga de consultas ad hoc significativa y no tiene contra indicaciones conocidas.</w:t>
      </w:r>
    </w:p>
    <w:p>
      <w:pPr>
        <w:pStyle w:val="Normal"/>
        <w:spacing w:before="0" w:after="120"/>
        <w:rPr>
          <w:lang w:val="es-EC"/>
        </w:rPr>
      </w:pPr>
      <w:r>
        <w:rPr>
          <w:lang w:val="es-EC"/>
        </w:rPr>
      </w:r>
    </w:p>
    <w:p>
      <w:pPr>
        <w:pStyle w:val="heading20"/>
        <w:rPr>
          <w:lang w:val="es-EC"/>
        </w:rPr>
      </w:pPr>
      <w:bookmarkStart w:id="66" w:name="__RefHeading___Toc12436_3037558313"/>
      <w:bookmarkStart w:id="67" w:name="_Toc225746736"/>
      <w:bookmarkEnd w:id="66"/>
      <w:r>
        <w:rPr>
          <w:lang w:val="es-EC"/>
        </w:rPr>
        <w:t>3.7 Hallazgo 7 - RCSI Desactivado</w:t>
      </w:r>
      <w:bookmarkEnd w:id="67"/>
    </w:p>
    <w:p>
      <w:pPr>
        <w:pStyle w:val="heading30"/>
        <w:rPr>
          <w:lang w:val="es-EC"/>
        </w:rPr>
      </w:pPr>
      <w:bookmarkStart w:id="68" w:name="__RefHeading___Toc12438_3037558313"/>
      <w:bookmarkStart w:id="69" w:name="_Toc225746737"/>
      <w:bookmarkEnd w:id="68"/>
      <w:r>
        <w:rPr>
          <w:lang w:val="es-EC"/>
        </w:rPr>
        <w:t>Descripción del parámetro</w:t>
      </w:r>
      <w:bookmarkEnd w:id="69"/>
    </w:p>
    <w:p>
      <w:pPr>
        <w:pStyle w:val="Normal"/>
        <w:spacing w:before="0" w:after="100"/>
        <w:rPr>
          <w:lang w:val="es-EC"/>
        </w:rPr>
      </w:pPr>
      <w:r>
        <w:rPr>
          <w:color w:val="000000"/>
          <w:lang w:val="es-EC"/>
        </w:rPr>
        <w:t>Read-Committed Snapshot Isolation (RCSI) es un mecanismo de control de concurrencia basado en versionado de filas que modifica el comportamiento del nivel de aislamiento READ COMMITTED (el nivel por defecto en SQL Server). Cuando RCSI esta desactivado, las operaciones de lectura adquieren shared locks (S) sobre las filas y paginas leídas, lo que puede causar bloqueos con transacciones de escritura.</w:t>
      </w:r>
    </w:p>
    <w:p>
      <w:pPr>
        <w:pStyle w:val="Normal"/>
        <w:spacing w:before="0" w:after="100"/>
        <w:rPr>
          <w:lang w:val="es-EC"/>
        </w:rPr>
      </w:pPr>
      <w:r>
        <w:rPr>
          <w:color w:val="000000"/>
          <w:lang w:val="es-EC"/>
        </w:rPr>
        <w:t>Según la documentación oficial de Microsoft (Transaction Locking and Row Versioning Guide, Microsoft Learn): "When the READ_COMMITTED_SNAPSHOT database option is set ON, which is the default setting in Azure SQL Database, the READ COMMITTED isolation level uses row versioning to provide statement-level read consistency. Read operations require only the schema stability (Sch-S) table level locks and no page or row locks. That is, the Database Engine uses row versioning to present each statement with a transactionally consistent snapshot of the data as it existed at the start of the statement. Locks aren't used to protect the data from updates by other transactions."</w:t>
      </w:r>
    </w:p>
    <w:p>
      <w:pPr>
        <w:pStyle w:val="heading30"/>
        <w:rPr>
          <w:lang w:val="es-EC"/>
        </w:rPr>
      </w:pPr>
      <w:bookmarkStart w:id="70" w:name="__RefHeading___Toc12440_3037558313"/>
      <w:bookmarkStart w:id="71" w:name="_Toc225746738"/>
      <w:bookmarkEnd w:id="70"/>
      <w:r>
        <w:rPr>
          <w:lang w:val="es-EC"/>
        </w:rPr>
        <w:t>Evidencia del diagnostico</w:t>
      </w:r>
      <w:bookmarkEnd w:id="71"/>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597"/>
        <w:gridCol w:w="1300"/>
        <w:gridCol w:w="2203"/>
        <w:gridCol w:w="2197"/>
        <w:gridCol w:w="2063"/>
      </w:tblGrid>
      <w:tr>
        <w:trPr>
          <w:tblHeader w:val="true"/>
        </w:trPr>
        <w:tc>
          <w:tcPr>
            <w:tcW w:w="1597"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130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RCSI Activo</w:t>
            </w:r>
          </w:p>
        </w:tc>
        <w:tc>
          <w:tcPr>
            <w:tcW w:w="2203"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Nivel Compatibilidad</w:t>
            </w:r>
          </w:p>
        </w:tc>
        <w:tc>
          <w:tcPr>
            <w:tcW w:w="2197"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Modelo Recuperación</w:t>
            </w:r>
          </w:p>
        </w:tc>
        <w:tc>
          <w:tcPr>
            <w:tcW w:w="2063"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Severidad</w:t>
            </w:r>
          </w:p>
        </w:tc>
      </w:tr>
      <w:tr>
        <w:trPr/>
        <w:tc>
          <w:tcPr>
            <w:tcW w:w="159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VISTAIT</w:t>
            </w:r>
          </w:p>
        </w:tc>
        <w:tc>
          <w:tcPr>
            <w:tcW w:w="130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55A11"/>
                <w:sz w:val="18"/>
                <w:szCs w:val="18"/>
                <w:lang w:val="es-EC"/>
              </w:rPr>
              <w:t>NO</w:t>
            </w:r>
          </w:p>
        </w:tc>
        <w:tc>
          <w:tcPr>
            <w:tcW w:w="220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130</w:t>
            </w:r>
          </w:p>
        </w:tc>
        <w:tc>
          <w:tcPr>
            <w:tcW w:w="219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FULL</w:t>
            </w:r>
          </w:p>
        </w:tc>
        <w:tc>
          <w:tcPr>
            <w:tcW w:w="206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2E75B6"/>
                <w:sz w:val="18"/>
                <w:szCs w:val="18"/>
                <w:lang w:val="es-EC"/>
              </w:rPr>
              <w:t>INFO</w:t>
            </w:r>
          </w:p>
        </w:tc>
      </w:tr>
      <w:tr>
        <w:trPr/>
        <w:tc>
          <w:tcPr>
            <w:tcW w:w="159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w:t>
            </w:r>
          </w:p>
        </w:tc>
        <w:tc>
          <w:tcPr>
            <w:tcW w:w="130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C55A11"/>
                <w:sz w:val="18"/>
                <w:szCs w:val="18"/>
                <w:lang w:val="es-EC"/>
              </w:rPr>
              <w:t>NO</w:t>
            </w:r>
          </w:p>
        </w:tc>
        <w:tc>
          <w:tcPr>
            <w:tcW w:w="2203"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130</w:t>
            </w:r>
          </w:p>
        </w:tc>
        <w:tc>
          <w:tcPr>
            <w:tcW w:w="219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FULL</w:t>
            </w:r>
          </w:p>
        </w:tc>
        <w:tc>
          <w:tcPr>
            <w:tcW w:w="2063"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2E75B6"/>
                <w:sz w:val="18"/>
                <w:szCs w:val="18"/>
                <w:lang w:val="es-EC"/>
              </w:rPr>
              <w:t>INFO</w:t>
            </w:r>
          </w:p>
        </w:tc>
      </w:tr>
      <w:tr>
        <w:trPr/>
        <w:tc>
          <w:tcPr>
            <w:tcW w:w="159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130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b/>
                <w:bCs/>
                <w:color w:val="C55A11"/>
                <w:sz w:val="18"/>
                <w:szCs w:val="18"/>
                <w:lang w:val="es-EC"/>
              </w:rPr>
              <w:t>NO</w:t>
            </w:r>
          </w:p>
        </w:tc>
        <w:tc>
          <w:tcPr>
            <w:tcW w:w="220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130</w:t>
            </w:r>
          </w:p>
        </w:tc>
        <w:tc>
          <w:tcPr>
            <w:tcW w:w="219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FULL</w:t>
            </w:r>
          </w:p>
        </w:tc>
        <w:tc>
          <w:tcPr>
            <w:tcW w:w="206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2E75B6"/>
                <w:sz w:val="18"/>
                <w:szCs w:val="18"/>
                <w:lang w:val="es-EC"/>
              </w:rPr>
              <w:t>INFO</w:t>
            </w:r>
          </w:p>
        </w:tc>
      </w:tr>
    </w:tbl>
    <w:p>
      <w:pPr>
        <w:pStyle w:val="Normal"/>
        <w:spacing w:before="0" w:after="80"/>
        <w:rPr>
          <w:lang w:val="es-EC"/>
        </w:rPr>
      </w:pPr>
      <w:r>
        <w:rPr>
          <w:lang w:val="es-EC"/>
        </w:rPr>
      </w:r>
    </w:p>
    <w:p>
      <w:pPr>
        <w:pStyle w:val="heading30"/>
        <w:rPr>
          <w:lang w:val="es-EC"/>
        </w:rPr>
      </w:pPr>
      <w:bookmarkStart w:id="72" w:name="__RefHeading___Toc12442_3037558313"/>
      <w:bookmarkStart w:id="73" w:name="_Toc225746739"/>
      <w:bookmarkEnd w:id="72"/>
      <w:r>
        <w:rPr>
          <w:lang w:val="es-EC"/>
        </w:rPr>
        <w:t>Por que es importante</w:t>
      </w:r>
      <w:bookmarkEnd w:id="73"/>
    </w:p>
    <w:p>
      <w:pPr>
        <w:pStyle w:val="Normal"/>
        <w:spacing w:before="0" w:after="100"/>
        <w:rPr>
          <w:lang w:val="es-EC"/>
        </w:rPr>
      </w:pPr>
      <w:r>
        <w:rPr>
          <w:color w:val="000000"/>
          <w:lang w:val="es-EC"/>
        </w:rPr>
        <w:t>En un sistema de alta concurrencia como VISTA API Connect, donde múltiples conexiones de TRADE realizan lecturas y escrituras simultaneas sobre las mismas tablas, la ausencia de RCSI puede causar:</w:t>
      </w:r>
    </w:p>
    <w:p>
      <w:pPr>
        <w:pStyle w:val="ListParagraph"/>
        <w:numPr>
          <w:ilvl w:val="0"/>
          <w:numId w:val="4"/>
        </w:numPr>
        <w:spacing w:before="0" w:after="60"/>
        <w:rPr>
          <w:lang w:val="es-EC"/>
        </w:rPr>
      </w:pPr>
      <w:r>
        <w:rPr>
          <w:color w:val="000000"/>
          <w:lang w:val="es-EC"/>
        </w:rPr>
        <w:t>Bloqueos (blocking) donde lecturas esperan a que escrituras completen su transacción.</w:t>
      </w:r>
    </w:p>
    <w:p>
      <w:pPr>
        <w:pStyle w:val="ListParagraph"/>
        <w:numPr>
          <w:ilvl w:val="0"/>
          <w:numId w:val="4"/>
        </w:numPr>
        <w:spacing w:before="0" w:after="60"/>
        <w:rPr>
          <w:lang w:val="es-EC"/>
        </w:rPr>
      </w:pPr>
      <w:r>
        <w:rPr>
          <w:color w:val="000000"/>
          <w:lang w:val="es-EC"/>
        </w:rPr>
        <w:t>Tiempos de respuesta variables e impredecibles bajo carga.</w:t>
      </w:r>
    </w:p>
    <w:p>
      <w:pPr>
        <w:pStyle w:val="ListParagraph"/>
        <w:numPr>
          <w:ilvl w:val="0"/>
          <w:numId w:val="4"/>
        </w:numPr>
        <w:spacing w:before="0" w:after="60"/>
        <w:rPr>
          <w:lang w:val="es-EC"/>
        </w:rPr>
      </w:pPr>
      <w:r>
        <w:rPr>
          <w:color w:val="000000"/>
          <w:lang w:val="es-EC"/>
        </w:rPr>
        <w:t>Deadlocks en escenarios donde múltiples transacciones se bloquean mutuamente.</w:t>
      </w:r>
    </w:p>
    <w:p>
      <w:pPr>
        <w:pStyle w:val="heading30"/>
        <w:rPr>
          <w:lang w:val="es-EC"/>
        </w:rPr>
      </w:pPr>
      <w:bookmarkStart w:id="74" w:name="__RefHeading___Toc12444_3037558313"/>
      <w:bookmarkStart w:id="75" w:name="_Toc225746740"/>
      <w:bookmarkEnd w:id="74"/>
      <w:r>
        <w:rPr>
          <w:lang w:val="es-EC"/>
        </w:rPr>
        <w:t>Recomendación</w:t>
      </w:r>
      <w:bookmarkEnd w:id="75"/>
    </w:p>
    <w:p>
      <w:pPr>
        <w:pStyle w:val="Normal"/>
        <w:spacing w:before="0" w:after="100"/>
        <w:rPr>
          <w:lang w:val="es-EC"/>
        </w:rPr>
      </w:pPr>
      <w:r>
        <w:rPr>
          <w:color w:val="000000"/>
          <w:lang w:val="es-EC"/>
        </w:rPr>
        <w:t>La habilitación de RCSI requiere que temporalmente solo la conexión que ejecuta el comando ALTER DATABASE este activa en la base de datos (no afecta a otras bases de datos del servidor).</w:t>
      </w:r>
    </w:p>
    <w:p>
      <w:pPr>
        <w:pStyle w:val="ListParagraph"/>
        <w:numPr>
          <w:ilvl w:val="0"/>
          <w:numId w:val="4"/>
        </w:numPr>
        <w:spacing w:before="0" w:after="60"/>
        <w:rPr>
          <w:lang w:val="es-EC"/>
        </w:rPr>
      </w:pPr>
      <w:r>
        <w:rPr>
          <w:color w:val="000000"/>
          <w:lang w:val="es-EC"/>
        </w:rPr>
        <w:t>Evaluar el impacto en tempdb antes de habilitar RCSI ya que el version store se almacena aquí. En entornos con alta actividad transaccional, tempdb puede crecer significativamente.</w:t>
      </w:r>
    </w:p>
    <w:p>
      <w:pPr>
        <w:pStyle w:val="ListParagraph"/>
        <w:numPr>
          <w:ilvl w:val="0"/>
          <w:numId w:val="4"/>
        </w:numPr>
        <w:spacing w:before="0" w:after="60"/>
        <w:rPr>
          <w:lang w:val="es-EC"/>
        </w:rPr>
      </w:pPr>
      <w:r>
        <w:rPr>
          <w:color w:val="000000"/>
          <w:lang w:val="es-EC"/>
        </w:rPr>
        <w:t>Planificar la habilitación en una ventana de mantenimiento donde se pueda controlar la reconexión de aplicaciones.</w:t>
      </w:r>
    </w:p>
    <w:p>
      <w:pPr>
        <w:pStyle w:val="ListParagraph"/>
        <w:numPr>
          <w:ilvl w:val="0"/>
          <w:numId w:val="4"/>
        </w:numPr>
        <w:spacing w:before="0" w:after="60"/>
        <w:rPr>
          <w:lang w:val="es-EC"/>
        </w:rPr>
      </w:pPr>
      <w:r>
        <w:rPr>
          <w:color w:val="000000"/>
          <w:lang w:val="es-EC"/>
        </w:rPr>
        <w:t>Habilitar el RCSI.</w:t>
      </w:r>
    </w:p>
    <w:p>
      <w:pPr>
        <w:pStyle w:val="Normal"/>
        <w:spacing w:before="0" w:after="120"/>
        <w:rPr>
          <w:lang w:val="es-EC"/>
        </w:rPr>
      </w:pPr>
      <w:r>
        <w:rPr>
          <w:lang w:val="es-EC"/>
        </w:rPr>
      </w:r>
    </w:p>
    <w:p>
      <w:pPr>
        <w:pStyle w:val="heading20"/>
        <w:rPr>
          <w:lang w:val="es-EC"/>
        </w:rPr>
      </w:pPr>
      <w:bookmarkStart w:id="76" w:name="__RefHeading___Toc12446_3037558313"/>
      <w:bookmarkStart w:id="77" w:name="_Toc225746741"/>
      <w:bookmarkEnd w:id="76"/>
      <w:r>
        <w:rPr>
          <w:lang w:val="es-EC"/>
        </w:rPr>
        <w:t>3.8 Hallazgo 8 - Indices con Costo DML Sin Uso en Lecturas</w:t>
      </w:r>
      <w:bookmarkEnd w:id="77"/>
    </w:p>
    <w:p>
      <w:pPr>
        <w:pStyle w:val="heading30"/>
        <w:rPr>
          <w:lang w:val="es-EC"/>
        </w:rPr>
      </w:pPr>
      <w:bookmarkStart w:id="78" w:name="__RefHeading___Toc12448_3037558313"/>
      <w:bookmarkStart w:id="79" w:name="_Toc225746742"/>
      <w:bookmarkEnd w:id="78"/>
      <w:r>
        <w:rPr>
          <w:lang w:val="es-EC"/>
        </w:rPr>
        <w:t>Descripción del parámetro</w:t>
      </w:r>
      <w:bookmarkEnd w:id="79"/>
    </w:p>
    <w:p>
      <w:pPr>
        <w:pStyle w:val="Normal"/>
        <w:spacing w:before="0" w:after="100"/>
        <w:rPr>
          <w:lang w:val="es-EC"/>
        </w:rPr>
      </w:pPr>
      <w:r>
        <w:rPr>
          <w:color w:val="000000"/>
          <w:lang w:val="es-EC"/>
        </w:rPr>
        <w:t>SQL Server registra el uso de cada indice en la DMV sys.dm_db_index_usage_stats desde el ultimo inicio del servicio. Un indice que muestra user_updates &gt; 0 pero user_seeks = 0, user_scans = 0 y user_lookups = 0 es un indice que genera costo en todas las operaciones INSERT, UPDATE y DELETE de la tabla subyacente, pero que el optimizador de consultas nunca ha utilizado para resolver ninguna lectura.</w:t>
      </w:r>
    </w:p>
    <w:p>
      <w:pPr>
        <w:pStyle w:val="Normal"/>
        <w:spacing w:before="0" w:after="100"/>
        <w:rPr>
          <w:lang w:val="es-EC"/>
        </w:rPr>
      </w:pPr>
      <w:r>
        <w:rPr>
          <w:color w:val="000000"/>
          <w:lang w:val="es-EC"/>
        </w:rPr>
        <w:t>Según la documentación de Microsoft (sys.dm_db_index_usage_stats, Microsoft Learn): "You may want to consider dropping indexes that incur maintenance overhead, but are not used for queries, or are only infrequently used for queries."</w:t>
      </w:r>
    </w:p>
    <w:p>
      <w:pPr>
        <w:pStyle w:val="heading30"/>
        <w:rPr>
          <w:lang w:val="es-EC"/>
        </w:rPr>
      </w:pPr>
      <w:bookmarkStart w:id="80" w:name="__RefHeading___Toc12450_3037558313"/>
      <w:bookmarkStart w:id="81" w:name="_Toc225746743"/>
      <w:bookmarkEnd w:id="80"/>
      <w:r>
        <w:rPr>
          <w:lang w:val="es-EC"/>
        </w:rPr>
        <w:t>Evidencia del diagnostico</w:t>
      </w:r>
      <w:bookmarkEnd w:id="81"/>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798"/>
        <w:gridCol w:w="2802"/>
        <w:gridCol w:w="2497"/>
        <w:gridCol w:w="2263"/>
      </w:tblGrid>
      <w:tr>
        <w:trPr>
          <w:tblHeader w:val="true"/>
        </w:trPr>
        <w:tc>
          <w:tcPr>
            <w:tcW w:w="1798"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2802"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Indices ADVERTENCIA (costo DML sin uso)</w:t>
            </w:r>
          </w:p>
        </w:tc>
        <w:tc>
          <w:tcPr>
            <w:tcW w:w="2497"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Indices INFO (sin estadísticas)</w:t>
            </w:r>
          </w:p>
        </w:tc>
        <w:tc>
          <w:tcPr>
            <w:tcW w:w="2263"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Total Candidatos a Revisión</w:t>
            </w:r>
          </w:p>
        </w:tc>
      </w:tr>
      <w:tr>
        <w:trPr/>
        <w:tc>
          <w:tcPr>
            <w:tcW w:w="17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VISTAIT</w:t>
            </w:r>
          </w:p>
        </w:tc>
        <w:tc>
          <w:tcPr>
            <w:tcW w:w="280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68</w:t>
            </w:r>
          </w:p>
        </w:tc>
        <w:tc>
          <w:tcPr>
            <w:tcW w:w="249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43</w:t>
            </w:r>
          </w:p>
        </w:tc>
        <w:tc>
          <w:tcPr>
            <w:tcW w:w="226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111</w:t>
            </w:r>
          </w:p>
        </w:tc>
      </w:tr>
      <w:tr>
        <w:trPr/>
        <w:tc>
          <w:tcPr>
            <w:tcW w:w="17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w:t>
            </w:r>
          </w:p>
        </w:tc>
        <w:tc>
          <w:tcPr>
            <w:tcW w:w="280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52</w:t>
            </w:r>
          </w:p>
        </w:tc>
        <w:tc>
          <w:tcPr>
            <w:tcW w:w="249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59</w:t>
            </w:r>
          </w:p>
        </w:tc>
        <w:tc>
          <w:tcPr>
            <w:tcW w:w="2263"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111</w:t>
            </w:r>
          </w:p>
        </w:tc>
      </w:tr>
      <w:tr>
        <w:trPr/>
        <w:tc>
          <w:tcPr>
            <w:tcW w:w="179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280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32</w:t>
            </w:r>
          </w:p>
        </w:tc>
        <w:tc>
          <w:tcPr>
            <w:tcW w:w="249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33</w:t>
            </w:r>
          </w:p>
        </w:tc>
        <w:tc>
          <w:tcPr>
            <w:tcW w:w="2263"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65</w:t>
            </w:r>
          </w:p>
        </w:tc>
      </w:tr>
      <w:tr>
        <w:trPr/>
        <w:tc>
          <w:tcPr>
            <w:tcW w:w="179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000000"/>
                <w:sz w:val="18"/>
                <w:szCs w:val="18"/>
                <w:lang w:val="es-EC"/>
              </w:rPr>
              <w:t>TOTAL</w:t>
            </w:r>
          </w:p>
        </w:tc>
        <w:tc>
          <w:tcPr>
            <w:tcW w:w="280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000000"/>
                <w:sz w:val="18"/>
                <w:szCs w:val="18"/>
                <w:lang w:val="es-EC"/>
              </w:rPr>
              <w:t>152</w:t>
            </w:r>
          </w:p>
        </w:tc>
        <w:tc>
          <w:tcPr>
            <w:tcW w:w="249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000000"/>
                <w:sz w:val="18"/>
                <w:szCs w:val="18"/>
                <w:lang w:val="es-EC"/>
              </w:rPr>
              <w:t>135</w:t>
            </w:r>
          </w:p>
        </w:tc>
        <w:tc>
          <w:tcPr>
            <w:tcW w:w="2263"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b/>
                <w:bCs/>
                <w:color w:val="000000"/>
                <w:sz w:val="18"/>
                <w:szCs w:val="18"/>
                <w:lang w:val="es-EC"/>
              </w:rPr>
              <w:t>287</w:t>
            </w:r>
          </w:p>
        </w:tc>
      </w:tr>
    </w:tbl>
    <w:p>
      <w:pPr>
        <w:pStyle w:val="Normal"/>
        <w:spacing w:before="0" w:after="80"/>
        <w:rPr>
          <w:lang w:val="es-EC"/>
        </w:rPr>
      </w:pPr>
      <w:r>
        <w:rPr>
          <w:lang w:val="es-EC"/>
        </w:rPr>
      </w:r>
    </w:p>
    <w:p>
      <w:pPr>
        <w:pStyle w:val="Normal"/>
        <w:spacing w:before="0" w:after="100"/>
        <w:rPr>
          <w:lang w:val="es-EC"/>
        </w:rPr>
      </w:pPr>
      <w:r>
        <w:rPr>
          <w:color w:val="000000"/>
          <w:lang w:val="es-EC"/>
        </w:rPr>
        <w:t>Indices con mayor overhead DML sin ninguna lectura registrada:</w:t>
      </w:r>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185"/>
        <w:gridCol w:w="3058"/>
        <w:gridCol w:w="4341"/>
        <w:gridCol w:w="776"/>
      </w:tblGrid>
      <w:tr>
        <w:trPr>
          <w:tblHeader w:val="true"/>
        </w:trPr>
        <w:tc>
          <w:tcPr>
            <w:tcW w:w="1185"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3058"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Tabla</w:t>
            </w:r>
          </w:p>
        </w:tc>
        <w:tc>
          <w:tcPr>
            <w:tcW w:w="434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Indice</w:t>
            </w:r>
          </w:p>
        </w:tc>
        <w:tc>
          <w:tcPr>
            <w:tcW w:w="776"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themeColor="background1" w:val="FFFFFF"/>
                <w:sz w:val="20"/>
                <w:szCs w:val="20"/>
                <w:lang w:val="es-EC"/>
              </w:rPr>
              <w:t>Updates DML</w:t>
            </w:r>
          </w:p>
        </w:tc>
      </w:tr>
      <w:tr>
        <w:trPr/>
        <w:tc>
          <w:tcPr>
            <w:tcW w:w="1185"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VISTAIT</w:t>
            </w:r>
          </w:p>
        </w:tc>
        <w:tc>
          <w:tcPr>
            <w:tcW w:w="305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tblKeyValueStoreLoyaltyMember</w:t>
            </w:r>
          </w:p>
        </w:tc>
        <w:tc>
          <w:tcPr>
            <w:tcW w:w="4341"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indKeyValueStoreLoyalty_CollectionLastUpdated</w:t>
            </w:r>
          </w:p>
        </w:tc>
        <w:tc>
          <w:tcPr>
            <w:tcW w:w="776"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3,238,180</w:t>
            </w:r>
          </w:p>
        </w:tc>
      </w:tr>
      <w:tr>
        <w:trPr/>
        <w:tc>
          <w:tcPr>
            <w:tcW w:w="1185"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VISTAIT</w:t>
            </w:r>
          </w:p>
        </w:tc>
        <w:tc>
          <w:tcPr>
            <w:tcW w:w="305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tblKeyValueStore</w:t>
            </w:r>
          </w:p>
        </w:tc>
        <w:tc>
          <w:tcPr>
            <w:tcW w:w="4341"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indKeyValueStore_ExpiryUtc</w:t>
            </w:r>
          </w:p>
        </w:tc>
        <w:tc>
          <w:tcPr>
            <w:tcW w:w="776"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248,137</w:t>
            </w:r>
          </w:p>
        </w:tc>
      </w:tr>
      <w:tr>
        <w:trPr/>
        <w:tc>
          <w:tcPr>
            <w:tcW w:w="1185"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VISTALOYALTY</w:t>
            </w:r>
          </w:p>
        </w:tc>
        <w:tc>
          <w:tcPr>
            <w:tcW w:w="305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cognetic_data_transactionMembershipBalance</w:t>
            </w:r>
          </w:p>
        </w:tc>
        <w:tc>
          <w:tcPr>
            <w:tcW w:w="4341"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cognetic_data_transactionMembershipBalance_transaction_pointID</w:t>
            </w:r>
          </w:p>
        </w:tc>
        <w:tc>
          <w:tcPr>
            <w:tcW w:w="776"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319,972</w:t>
            </w:r>
          </w:p>
        </w:tc>
      </w:tr>
      <w:tr>
        <w:trPr/>
        <w:tc>
          <w:tcPr>
            <w:tcW w:w="1185"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VISTALOYALTY</w:t>
            </w:r>
          </w:p>
        </w:tc>
        <w:tc>
          <w:tcPr>
            <w:tcW w:w="305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cognetic_data_transaction</w:t>
            </w:r>
          </w:p>
        </w:tc>
        <w:tc>
          <w:tcPr>
            <w:tcW w:w="4341"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ind_transaction_exported</w:t>
            </w:r>
          </w:p>
        </w:tc>
        <w:tc>
          <w:tcPr>
            <w:tcW w:w="776"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266,946</w:t>
            </w:r>
          </w:p>
        </w:tc>
      </w:tr>
      <w:tr>
        <w:trPr/>
        <w:tc>
          <w:tcPr>
            <w:tcW w:w="1185"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VISTA</w:t>
            </w:r>
          </w:p>
        </w:tc>
        <w:tc>
          <w:tcPr>
            <w:tcW w:w="305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tblEventQueue</w:t>
            </w:r>
          </w:p>
        </w:tc>
        <w:tc>
          <w:tcPr>
            <w:tcW w:w="4341"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ind_tblEventQueue_TimestampUTC</w:t>
            </w:r>
          </w:p>
        </w:tc>
        <w:tc>
          <w:tcPr>
            <w:tcW w:w="776"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149,761</w:t>
            </w:r>
          </w:p>
        </w:tc>
      </w:tr>
    </w:tbl>
    <w:p>
      <w:pPr>
        <w:pStyle w:val="Normal"/>
        <w:spacing w:before="0" w:after="80"/>
        <w:rPr>
          <w:lang w:val="es-EC"/>
        </w:rPr>
      </w:pPr>
      <w:r>
        <w:rPr>
          <w:lang w:val="es-EC"/>
        </w:rPr>
      </w:r>
    </w:p>
    <w:p>
      <w:pPr>
        <w:pStyle w:val="heading30"/>
        <w:rPr>
          <w:lang w:val="es-EC"/>
        </w:rPr>
      </w:pPr>
      <w:bookmarkStart w:id="82" w:name="__RefHeading___Toc12452_3037558313"/>
      <w:bookmarkStart w:id="83" w:name="_Toc225746744"/>
      <w:bookmarkEnd w:id="82"/>
      <w:r>
        <w:rPr>
          <w:lang w:val="es-EC"/>
        </w:rPr>
        <w:t>Recomendación</w:t>
      </w:r>
      <w:bookmarkEnd w:id="83"/>
    </w:p>
    <w:p>
      <w:pPr>
        <w:pStyle w:val="Normal"/>
        <w:spacing w:before="0" w:after="100"/>
        <w:rPr>
          <w:lang w:val="es-EC"/>
        </w:rPr>
      </w:pPr>
      <w:r>
        <w:rPr>
          <w:color w:val="000000"/>
          <w:lang w:val="es-EC"/>
        </w:rPr>
        <w:t>Antes de eliminar cualquier indice, se deben realizar las siguientes validaciones:</w:t>
      </w:r>
    </w:p>
    <w:p>
      <w:pPr>
        <w:pStyle w:val="ListParagraph"/>
        <w:numPr>
          <w:ilvl w:val="0"/>
          <w:numId w:val="4"/>
        </w:numPr>
        <w:spacing w:before="0" w:after="60"/>
        <w:rPr>
          <w:lang w:val="es-EC"/>
        </w:rPr>
      </w:pPr>
      <w:r>
        <w:rPr>
          <w:color w:val="000000"/>
          <w:lang w:val="es-EC"/>
        </w:rPr>
        <w:t>Verificar si el indice es una restricción UNIQUE (implica garantía de integridad de datos que no puede eliminarse sin análisis de negocio).</w:t>
      </w:r>
    </w:p>
    <w:p>
      <w:pPr>
        <w:pStyle w:val="ListParagraph"/>
        <w:numPr>
          <w:ilvl w:val="0"/>
          <w:numId w:val="4"/>
        </w:numPr>
        <w:spacing w:before="0" w:after="60"/>
        <w:rPr>
          <w:lang w:val="es-EC"/>
        </w:rPr>
      </w:pPr>
      <w:r>
        <w:rPr>
          <w:color w:val="000000"/>
          <w:lang w:val="es-EC"/>
        </w:rPr>
        <w:t>Verificar si existen foreign keys que referencien las columnas del indice.</w:t>
      </w:r>
    </w:p>
    <w:p>
      <w:pPr>
        <w:pStyle w:val="ListParagraph"/>
        <w:numPr>
          <w:ilvl w:val="0"/>
          <w:numId w:val="4"/>
        </w:numPr>
        <w:spacing w:before="0" w:after="60"/>
        <w:rPr>
          <w:lang w:val="es-EC"/>
        </w:rPr>
      </w:pPr>
      <w:r>
        <w:rPr>
          <w:color w:val="000000"/>
          <w:lang w:val="es-EC"/>
        </w:rPr>
        <w:t>Considerar que los contadores se reinician con cada inicio del servicio. Si el servicio se reinicio recientemente, los indices pueden tener uso real que no se refleja aun.</w:t>
      </w:r>
    </w:p>
    <w:p>
      <w:pPr>
        <w:pStyle w:val="ListParagraph"/>
        <w:numPr>
          <w:ilvl w:val="0"/>
          <w:numId w:val="4"/>
        </w:numPr>
        <w:spacing w:before="0" w:after="60"/>
        <w:rPr>
          <w:lang w:val="es-EC"/>
        </w:rPr>
      </w:pPr>
      <w:r>
        <w:rPr>
          <w:color w:val="000000"/>
          <w:lang w:val="es-EC"/>
        </w:rPr>
        <w:t>Evaluar la carga de trabajo de los últimos 30 días antes de tomar decisiones de eliminación. Se recomienda realizar esta evaluación después de al menos 2 semanas de uptime continuo.</w:t>
      </w:r>
    </w:p>
    <w:p>
      <w:pPr>
        <w:pStyle w:val="Normal"/>
        <w:spacing w:before="0" w:after="120"/>
        <w:rPr>
          <w:lang w:val="es-EC"/>
        </w:rPr>
      </w:pPr>
      <w:r>
        <w:rPr>
          <w:lang w:val="es-EC"/>
        </w:rPr>
      </w:r>
    </w:p>
    <w:p>
      <w:pPr>
        <w:pStyle w:val="heading20"/>
        <w:rPr>
          <w:lang w:val="es-EC"/>
        </w:rPr>
      </w:pPr>
      <w:bookmarkStart w:id="84" w:name="__RefHeading___Toc12454_3037558313"/>
      <w:bookmarkStart w:id="85" w:name="_Toc225746745"/>
      <w:bookmarkEnd w:id="84"/>
      <w:r>
        <w:rPr>
          <w:lang w:val="es-EC"/>
        </w:rPr>
        <w:t>3.9 Hallazgo 9 - Indices Faltantes de Alto Impacto</w:t>
      </w:r>
      <w:bookmarkEnd w:id="85"/>
    </w:p>
    <w:p>
      <w:pPr>
        <w:pStyle w:val="heading30"/>
        <w:rPr>
          <w:lang w:val="es-EC"/>
        </w:rPr>
      </w:pPr>
      <w:bookmarkStart w:id="86" w:name="__RefHeading___Toc12456_3037558313"/>
      <w:bookmarkStart w:id="87" w:name="_Toc225746746"/>
      <w:bookmarkEnd w:id="86"/>
      <w:r>
        <w:rPr>
          <w:lang w:val="es-EC"/>
        </w:rPr>
        <w:t>Descripción del parámetro</w:t>
      </w:r>
      <w:bookmarkEnd w:id="87"/>
    </w:p>
    <w:p>
      <w:pPr>
        <w:pStyle w:val="Normal"/>
        <w:spacing w:before="0" w:after="100"/>
        <w:rPr>
          <w:lang w:val="es-EC"/>
        </w:rPr>
      </w:pPr>
      <w:r>
        <w:rPr>
          <w:color w:val="000000"/>
          <w:lang w:val="es-EC"/>
        </w:rPr>
        <w:t>SQL Server registra en la DMV sys.dm_db_missing_index_details los indices que el optimizador de consultas determino que hubieran mejorado el plan de ejecución durante la compilación de consultas reales. El score de prioridad se calcula multiplicando el impacto estimado de mejora por el numero de seeks estimados, siendo un indicador de la urgencia relativa de cada sugerencia.</w:t>
      </w:r>
    </w:p>
    <w:p>
      <w:pPr>
        <w:pStyle w:val="Normal"/>
        <w:spacing w:before="0" w:after="100"/>
        <w:rPr>
          <w:lang w:val="es-EC"/>
        </w:rPr>
      </w:pPr>
      <w:r>
        <w:rPr>
          <w:color w:val="000000"/>
          <w:lang w:val="es-EC"/>
        </w:rPr>
        <w:t>Según la documentación de Microsoft (Tune nonclustered indexes with missing index suggestions): "The missing indexes feature is a lightweight tool for finding missing indexes that might significantly improve query performance. This article describes how to use missing index suggestions to effectively tune indexes and improve query performance."</w:t>
      </w:r>
    </w:p>
    <w:p>
      <w:pPr>
        <w:pStyle w:val="heading30"/>
        <w:rPr>
          <w:lang w:val="es-EC"/>
        </w:rPr>
      </w:pPr>
      <w:bookmarkStart w:id="88" w:name="__RefHeading___Toc12458_3037558313"/>
      <w:bookmarkStart w:id="89" w:name="_Toc225746747"/>
      <w:bookmarkEnd w:id="88"/>
      <w:r>
        <w:rPr>
          <w:lang w:val="es-EC"/>
        </w:rPr>
        <w:t>Evidencia del diagnostico</w:t>
      </w:r>
      <w:bookmarkEnd w:id="89"/>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368"/>
        <w:gridCol w:w="2522"/>
        <w:gridCol w:w="2447"/>
        <w:gridCol w:w="975"/>
        <w:gridCol w:w="1082"/>
        <w:gridCol w:w="966"/>
      </w:tblGrid>
      <w:tr>
        <w:trPr>
          <w:tblHeader w:val="true"/>
        </w:trPr>
        <w:tc>
          <w:tcPr>
            <w:tcW w:w="1368"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2522"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Tabla</w:t>
            </w:r>
          </w:p>
        </w:tc>
        <w:tc>
          <w:tcPr>
            <w:tcW w:w="2447"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Columnas Igualdad (clave)</w:t>
            </w:r>
          </w:p>
        </w:tc>
        <w:tc>
          <w:tcPr>
            <w:tcW w:w="975"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Mejora Estimada</w:t>
            </w:r>
          </w:p>
        </w:tc>
        <w:tc>
          <w:tcPr>
            <w:tcW w:w="1082"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Seeks Estimados</w:t>
            </w:r>
          </w:p>
        </w:tc>
        <w:tc>
          <w:tcPr>
            <w:tcW w:w="966"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Score Prioridad</w:t>
            </w:r>
          </w:p>
        </w:tc>
      </w:tr>
      <w:tr>
        <w:trPr/>
        <w:tc>
          <w:tcPr>
            <w:tcW w:w="136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VISTAIT</w:t>
            </w:r>
          </w:p>
        </w:tc>
        <w:tc>
          <w:tcPr>
            <w:tcW w:w="252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tblPricesAll</w:t>
            </w:r>
          </w:p>
        </w:tc>
        <w:tc>
          <w:tcPr>
            <w:tcW w:w="244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[Cinema_strID], [Price_strTicket_Type_Code]</w:t>
            </w:r>
          </w:p>
        </w:tc>
        <w:tc>
          <w:tcPr>
            <w:tcW w:w="975"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78.22%</w:t>
            </w:r>
          </w:p>
        </w:tc>
        <w:tc>
          <w:tcPr>
            <w:tcW w:w="108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41,113</w:t>
            </w:r>
          </w:p>
        </w:tc>
        <w:tc>
          <w:tcPr>
            <w:tcW w:w="966"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3,215,858</w:t>
            </w:r>
          </w:p>
        </w:tc>
      </w:tr>
      <w:tr>
        <w:trPr/>
        <w:tc>
          <w:tcPr>
            <w:tcW w:w="136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VISTAIT</w:t>
            </w:r>
          </w:p>
        </w:tc>
        <w:tc>
          <w:tcPr>
            <w:tcW w:w="252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tblPricesAll</w:t>
            </w:r>
          </w:p>
        </w:tc>
        <w:tc>
          <w:tcPr>
            <w:tcW w:w="244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[Cinema_strID], [Price_strTicket_Type_Code]</w:t>
            </w:r>
          </w:p>
        </w:tc>
        <w:tc>
          <w:tcPr>
            <w:tcW w:w="975"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64.36%</w:t>
            </w:r>
          </w:p>
        </w:tc>
        <w:tc>
          <w:tcPr>
            <w:tcW w:w="108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42,844</w:t>
            </w:r>
          </w:p>
        </w:tc>
        <w:tc>
          <w:tcPr>
            <w:tcW w:w="966"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2,757,439</w:t>
            </w:r>
          </w:p>
        </w:tc>
      </w:tr>
      <w:tr>
        <w:trPr/>
        <w:tc>
          <w:tcPr>
            <w:tcW w:w="136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w:t>
            </w:r>
          </w:p>
        </w:tc>
        <w:tc>
          <w:tcPr>
            <w:tcW w:w="252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tblSession</w:t>
            </w:r>
          </w:p>
        </w:tc>
        <w:tc>
          <w:tcPr>
            <w:tcW w:w="244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[Session_strStatus], [Session_strSneakPreviewFlag]</w:t>
            </w:r>
          </w:p>
        </w:tc>
        <w:tc>
          <w:tcPr>
            <w:tcW w:w="975"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78.44%</w:t>
            </w:r>
          </w:p>
        </w:tc>
        <w:tc>
          <w:tcPr>
            <w:tcW w:w="108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40,411</w:t>
            </w:r>
          </w:p>
        </w:tc>
        <w:tc>
          <w:tcPr>
            <w:tcW w:w="966"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3,169,838</w:t>
            </w:r>
          </w:p>
        </w:tc>
      </w:tr>
      <w:tr>
        <w:trPr/>
        <w:tc>
          <w:tcPr>
            <w:tcW w:w="136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w:t>
            </w:r>
          </w:p>
        </w:tc>
        <w:tc>
          <w:tcPr>
            <w:tcW w:w="252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tblSession</w:t>
            </w:r>
          </w:p>
        </w:tc>
        <w:tc>
          <w:tcPr>
            <w:tcW w:w="244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[Session_strStatus]</w:t>
            </w:r>
          </w:p>
        </w:tc>
        <w:tc>
          <w:tcPr>
            <w:tcW w:w="975"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71.10%</w:t>
            </w:r>
          </w:p>
        </w:tc>
        <w:tc>
          <w:tcPr>
            <w:tcW w:w="108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40,472</w:t>
            </w:r>
          </w:p>
        </w:tc>
        <w:tc>
          <w:tcPr>
            <w:tcW w:w="966"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2,877,559</w:t>
            </w:r>
          </w:p>
        </w:tc>
      </w:tr>
      <w:tr>
        <w:trPr/>
        <w:tc>
          <w:tcPr>
            <w:tcW w:w="136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w:t>
            </w:r>
          </w:p>
        </w:tc>
        <w:tc>
          <w:tcPr>
            <w:tcW w:w="252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tblMediaData</w:t>
            </w:r>
          </w:p>
        </w:tc>
        <w:tc>
          <w:tcPr>
            <w:tcW w:w="244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[Media_strCode]</w:t>
            </w:r>
          </w:p>
        </w:tc>
        <w:tc>
          <w:tcPr>
            <w:tcW w:w="975"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92.02%</w:t>
            </w:r>
          </w:p>
        </w:tc>
        <w:tc>
          <w:tcPr>
            <w:tcW w:w="108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24,617</w:t>
            </w:r>
          </w:p>
        </w:tc>
        <w:tc>
          <w:tcPr>
            <w:tcW w:w="966"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2,265,256</w:t>
            </w:r>
          </w:p>
        </w:tc>
      </w:tr>
      <w:tr>
        <w:trPr/>
        <w:tc>
          <w:tcPr>
            <w:tcW w:w="1368"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VISTALOYALTY</w:t>
            </w:r>
          </w:p>
        </w:tc>
        <w:tc>
          <w:tcPr>
            <w:tcW w:w="252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cognetic_campaigns_recognition</w:t>
            </w:r>
          </w:p>
        </w:tc>
        <w:tc>
          <w:tcPr>
            <w:tcW w:w="244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[recognition_status]</w:t>
            </w:r>
          </w:p>
        </w:tc>
        <w:tc>
          <w:tcPr>
            <w:tcW w:w="975"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53.68%</w:t>
            </w:r>
          </w:p>
        </w:tc>
        <w:tc>
          <w:tcPr>
            <w:tcW w:w="108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51,568</w:t>
            </w:r>
          </w:p>
        </w:tc>
        <w:tc>
          <w:tcPr>
            <w:tcW w:w="966"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2,768,170</w:t>
            </w:r>
          </w:p>
        </w:tc>
      </w:tr>
      <w:tr>
        <w:trPr/>
        <w:tc>
          <w:tcPr>
            <w:tcW w:w="1368"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252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cognetic_setup_choice</w:t>
            </w:r>
          </w:p>
        </w:tc>
        <w:tc>
          <w:tcPr>
            <w:tcW w:w="244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[choice_nameInEnglish]</w:t>
            </w:r>
          </w:p>
        </w:tc>
        <w:tc>
          <w:tcPr>
            <w:tcW w:w="975"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88.25%</w:t>
            </w:r>
          </w:p>
        </w:tc>
        <w:tc>
          <w:tcPr>
            <w:tcW w:w="108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10,900</w:t>
            </w:r>
          </w:p>
        </w:tc>
        <w:tc>
          <w:tcPr>
            <w:tcW w:w="966"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961,925</w:t>
            </w:r>
          </w:p>
        </w:tc>
      </w:tr>
    </w:tbl>
    <w:p>
      <w:pPr>
        <w:pStyle w:val="Normal"/>
        <w:spacing w:before="0" w:after="80"/>
        <w:rPr>
          <w:lang w:val="es-EC"/>
        </w:rPr>
      </w:pPr>
      <w:r>
        <w:rPr>
          <w:lang w:val="es-EC"/>
        </w:rPr>
      </w:r>
    </w:p>
    <w:p>
      <w:pPr>
        <w:pStyle w:val="heading30"/>
        <w:rPr>
          <w:lang w:val="es-EC"/>
        </w:rPr>
      </w:pPr>
      <w:bookmarkStart w:id="90" w:name="__RefHeading___Toc12460_3037558313"/>
      <w:bookmarkStart w:id="91" w:name="_Toc225746748"/>
      <w:bookmarkEnd w:id="90"/>
      <w:r>
        <w:rPr>
          <w:lang w:val="es-EC"/>
        </w:rPr>
        <w:t>Recomendación</w:t>
      </w:r>
      <w:bookmarkEnd w:id="91"/>
    </w:p>
    <w:p>
      <w:pPr>
        <w:pStyle w:val="ListParagraph"/>
        <w:numPr>
          <w:ilvl w:val="0"/>
          <w:numId w:val="4"/>
        </w:numPr>
        <w:spacing w:before="0" w:after="60"/>
        <w:rPr>
          <w:lang w:val="es-EC"/>
        </w:rPr>
      </w:pPr>
      <w:r>
        <w:rPr>
          <w:color w:val="000000"/>
          <w:lang w:val="es-EC"/>
        </w:rPr>
        <w:t>Los indices con score superior a 1,000,000 deben evaluarse con prioridad, ya que representan el mayor potencial de mejora de rendimiento para las consultas actuales de la aplicación.</w:t>
      </w:r>
    </w:p>
    <w:p>
      <w:pPr>
        <w:pStyle w:val="ListParagraph"/>
        <w:numPr>
          <w:ilvl w:val="0"/>
          <w:numId w:val="4"/>
        </w:numPr>
        <w:spacing w:before="0" w:after="60"/>
        <w:rPr>
          <w:lang w:val="es-EC"/>
        </w:rPr>
      </w:pPr>
      <w:r>
        <w:rPr>
          <w:color w:val="000000"/>
          <w:lang w:val="es-EC"/>
        </w:rPr>
        <w:t>Antes de crear cualquier indice sugerido, validar que no exista un indice similar ya creado que pueda cubrir la necesidad con una pequeña modificación (esto puede identificarse consultando sys.indexes y comparando columnas clave).</w:t>
      </w:r>
    </w:p>
    <w:p>
      <w:pPr>
        <w:pStyle w:val="ListParagraph"/>
        <w:numPr>
          <w:ilvl w:val="0"/>
          <w:numId w:val="4"/>
        </w:numPr>
        <w:spacing w:before="0" w:after="60"/>
        <w:rPr>
          <w:lang w:val="es-EC"/>
        </w:rPr>
      </w:pPr>
      <w:r>
        <w:rPr>
          <w:color w:val="000000"/>
          <w:lang w:val="es-EC"/>
        </w:rPr>
        <w:t>Los múltiples scores para tblPricesAll en VISTAIT y tblSession en VISTA con columnas similares sugieren que un único indice bien diseñado puede cubrir varias de estas sugerencias simultáneamente.</w:t>
      </w:r>
    </w:p>
    <w:p>
      <w:pPr>
        <w:pStyle w:val="ListParagraph"/>
        <w:numPr>
          <w:ilvl w:val="0"/>
          <w:numId w:val="4"/>
        </w:numPr>
        <w:spacing w:before="0" w:after="60"/>
        <w:rPr>
          <w:lang w:val="es-EC"/>
        </w:rPr>
      </w:pPr>
      <w:r>
        <w:rPr>
          <w:color w:val="000000"/>
          <w:lang w:val="es-EC"/>
        </w:rPr>
        <w:t>Evaluar el impacto en operaciones DML antes de crear cada indice, especialmente en tablas con alta frecuencia de INSERT/UPDATE/DELETE.</w:t>
      </w:r>
    </w:p>
    <w:p>
      <w:pPr>
        <w:pStyle w:val="Normal"/>
        <w:spacing w:before="0" w:after="120"/>
        <w:rPr>
          <w:lang w:val="es-EC"/>
        </w:rPr>
      </w:pPr>
      <w:r>
        <w:rPr>
          <w:lang w:val="es-EC"/>
        </w:rPr>
      </w:r>
    </w:p>
    <w:p>
      <w:pPr>
        <w:pStyle w:val="heading20"/>
        <w:rPr>
          <w:lang w:val="es-EC"/>
        </w:rPr>
      </w:pPr>
      <w:bookmarkStart w:id="92" w:name="__RefHeading___Toc12462_3037558313"/>
      <w:bookmarkStart w:id="93" w:name="_Toc225746749"/>
      <w:bookmarkEnd w:id="92"/>
      <w:r>
        <w:rPr>
          <w:lang w:val="es-EC"/>
        </w:rPr>
        <w:t>3.10 Hallazgo 10 - Tablas de Alto Volumen Sin Compresión</w:t>
      </w:r>
      <w:bookmarkEnd w:id="93"/>
    </w:p>
    <w:p>
      <w:pPr>
        <w:pStyle w:val="heading30"/>
        <w:rPr>
          <w:lang w:val="es-EC"/>
        </w:rPr>
      </w:pPr>
      <w:bookmarkStart w:id="94" w:name="__RefHeading___Toc12464_3037558313"/>
      <w:bookmarkStart w:id="95" w:name="_Toc225746750"/>
      <w:bookmarkEnd w:id="94"/>
      <w:r>
        <w:rPr>
          <w:lang w:val="es-EC"/>
        </w:rPr>
        <w:t>Descripción del parámetro</w:t>
      </w:r>
      <w:bookmarkEnd w:id="95"/>
    </w:p>
    <w:p>
      <w:pPr>
        <w:pStyle w:val="Normal"/>
        <w:spacing w:before="0" w:after="100"/>
        <w:rPr>
          <w:lang w:val="es-EC"/>
        </w:rPr>
      </w:pPr>
      <w:r>
        <w:rPr>
          <w:color w:val="000000"/>
          <w:lang w:val="es-EC"/>
        </w:rPr>
        <w:t>SQL Server ofrece dos niveles de compresión de datos para tablas e indices: ROW compression y PAGE compression. ROW compression elimina el overhead de almacenamiento de tipos de datos de longitud fija al almacenarlos como longitud variable. PAGE compression aplica adicionalmente prefix compression y dictionary compression a nivel de pagina, logrando mayores ratios de compresion a costa de un mayor uso de CPU.</w:t>
      </w:r>
    </w:p>
    <w:p>
      <w:pPr>
        <w:pStyle w:val="Normal"/>
        <w:spacing w:before="0" w:after="100"/>
        <w:rPr>
          <w:lang w:val="es-EC"/>
        </w:rPr>
      </w:pPr>
      <w:r>
        <w:rPr>
          <w:color w:val="000000"/>
          <w:lang w:val="es-EC"/>
        </w:rPr>
        <w:t>Segun la documentacion de Microsoft (Data compression - SQL Server, Microsoft Learn): "In addition to saving space, data compression can help improve performance of I/O intensive workloads because the data is stored in fewer pages and queries need to read fewer pages from disk."</w:t>
      </w:r>
    </w:p>
    <w:p>
      <w:pPr>
        <w:pStyle w:val="heading30"/>
        <w:rPr>
          <w:lang w:val="es-EC"/>
        </w:rPr>
      </w:pPr>
      <w:bookmarkStart w:id="96" w:name="__RefHeading___Toc12466_3037558313"/>
      <w:bookmarkStart w:id="97" w:name="_Toc225746751"/>
      <w:bookmarkEnd w:id="96"/>
      <w:r>
        <w:rPr>
          <w:lang w:val="es-EC"/>
        </w:rPr>
        <w:t>Evidencia del diagnostico</w:t>
      </w:r>
      <w:bookmarkEnd w:id="97"/>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531"/>
        <w:gridCol w:w="2507"/>
        <w:gridCol w:w="1560"/>
        <w:gridCol w:w="3762"/>
      </w:tblGrid>
      <w:tr>
        <w:trPr>
          <w:tblHeader w:val="true"/>
        </w:trPr>
        <w:tc>
          <w:tcPr>
            <w:tcW w:w="153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2507"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Tablas ADVERTENCIA (&gt;100K filas sin compresión)</w:t>
            </w:r>
          </w:p>
        </w:tc>
        <w:tc>
          <w:tcPr>
            <w:tcW w:w="156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Tablas INFO (&gt;10K filas)</w:t>
            </w:r>
          </w:p>
        </w:tc>
        <w:tc>
          <w:tcPr>
            <w:tcW w:w="3762"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Tabla mas Grande Sin Compresión</w:t>
            </w:r>
          </w:p>
        </w:tc>
      </w:tr>
      <w:tr>
        <w:trPr/>
        <w:tc>
          <w:tcPr>
            <w:tcW w:w="153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VISTAIT</w:t>
            </w:r>
          </w:p>
        </w:tc>
        <w:tc>
          <w:tcPr>
            <w:tcW w:w="250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10</w:t>
            </w:r>
          </w:p>
        </w:tc>
        <w:tc>
          <w:tcPr>
            <w:tcW w:w="156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14</w:t>
            </w:r>
          </w:p>
        </w:tc>
        <w:tc>
          <w:tcPr>
            <w:tcW w:w="376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tblOrderTicketHistory (9,004,281 filas)</w:t>
            </w:r>
          </w:p>
        </w:tc>
      </w:tr>
      <w:tr>
        <w:trPr/>
        <w:tc>
          <w:tcPr>
            <w:tcW w:w="1531"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w:t>
            </w:r>
          </w:p>
        </w:tc>
        <w:tc>
          <w:tcPr>
            <w:tcW w:w="2507"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48</w:t>
            </w:r>
          </w:p>
        </w:tc>
        <w:tc>
          <w:tcPr>
            <w:tcW w:w="156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21</w:t>
            </w:r>
          </w:p>
        </w:tc>
        <w:tc>
          <w:tcPr>
            <w:tcW w:w="3762"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tblEventQueue (20,780,749 filas)</w:t>
            </w:r>
          </w:p>
        </w:tc>
      </w:tr>
      <w:tr>
        <w:trPr/>
        <w:tc>
          <w:tcPr>
            <w:tcW w:w="153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2507"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26</w:t>
            </w:r>
          </w:p>
        </w:tc>
        <w:tc>
          <w:tcPr>
            <w:tcW w:w="156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6</w:t>
            </w:r>
          </w:p>
        </w:tc>
        <w:tc>
          <w:tcPr>
            <w:tcW w:w="3762"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cognetic_members_membershipRecognition (170,616,938 filas)</w:t>
            </w:r>
          </w:p>
        </w:tc>
      </w:tr>
    </w:tbl>
    <w:p>
      <w:pPr>
        <w:pStyle w:val="Normal"/>
        <w:spacing w:before="0" w:after="80"/>
        <w:rPr>
          <w:lang w:val="es-EC"/>
        </w:rPr>
      </w:pPr>
      <w:r>
        <w:rPr>
          <w:lang w:val="es-EC"/>
        </w:rPr>
      </w:r>
    </w:p>
    <w:p>
      <w:pPr>
        <w:pStyle w:val="Normal"/>
        <w:spacing w:before="0" w:after="100"/>
        <w:rPr>
          <w:lang w:val="es-EC"/>
        </w:rPr>
      </w:pPr>
      <w:r>
        <w:rPr>
          <w:color w:val="000000"/>
          <w:lang w:val="es-EC"/>
        </w:rPr>
        <w:t>Para VISTALOYALTY, la habilitación de compresión en las tablas mas grandes tiene ademas un impacto critico en la disponibilidad de espacio, dado que el archivo de datos presenta 99.4% de ocupación (ver Hallazgo 2).</w:t>
      </w:r>
    </w:p>
    <w:p>
      <w:pPr>
        <w:pStyle w:val="heading30"/>
        <w:rPr>
          <w:lang w:val="es-EC"/>
        </w:rPr>
      </w:pPr>
      <w:bookmarkStart w:id="98" w:name="__RefHeading___Toc12468_3037558313"/>
      <w:bookmarkStart w:id="99" w:name="_Toc225746752"/>
      <w:bookmarkEnd w:id="98"/>
      <w:r>
        <w:rPr>
          <w:lang w:val="es-EC"/>
        </w:rPr>
        <w:t>Recomendación</w:t>
      </w:r>
      <w:bookmarkEnd w:id="99"/>
    </w:p>
    <w:p>
      <w:pPr>
        <w:pStyle w:val="Normal"/>
        <w:spacing w:before="0" w:after="100"/>
        <w:rPr>
          <w:lang w:val="es-EC"/>
        </w:rPr>
      </w:pPr>
      <w:r>
        <w:rPr>
          <w:color w:val="000000"/>
          <w:lang w:val="es-EC"/>
        </w:rPr>
        <w:t>Microsoft provee el procedimiento sp_estimate_data_compression_savings para calcular el ahorro estimado antes de aplicar compresión, sin necesidad de modificar los datos.</w:t>
      </w:r>
    </w:p>
    <w:p>
      <w:pPr>
        <w:pStyle w:val="ListParagraph"/>
        <w:numPr>
          <w:ilvl w:val="0"/>
          <w:numId w:val="4"/>
        </w:numPr>
        <w:spacing w:before="0" w:after="60"/>
        <w:rPr>
          <w:lang w:val="es-EC"/>
        </w:rPr>
      </w:pPr>
      <w:r>
        <w:rPr>
          <w:color w:val="000000"/>
          <w:lang w:val="es-EC"/>
        </w:rPr>
        <w:t>Ejecutar sp_estimate_data_compression_savings para las tablas candidatas antes de aplicar cambios.</w:t>
      </w:r>
    </w:p>
    <w:p>
      <w:pPr>
        <w:pStyle w:val="ListParagraph"/>
        <w:numPr>
          <w:ilvl w:val="0"/>
          <w:numId w:val="4"/>
        </w:numPr>
        <w:spacing w:before="0" w:after="60"/>
        <w:rPr>
          <w:lang w:val="es-EC"/>
        </w:rPr>
      </w:pPr>
      <w:r>
        <w:rPr>
          <w:color w:val="000000"/>
          <w:lang w:val="es-EC"/>
        </w:rPr>
        <w:t>Aplicar PAGE compression para tablas históricas o de lectura predominante (tblOrderTicketHistory, tblOrderHistory, cognetic_members_membershipRecognition).</w:t>
      </w:r>
    </w:p>
    <w:p>
      <w:pPr>
        <w:pStyle w:val="ListParagraph"/>
        <w:numPr>
          <w:ilvl w:val="0"/>
          <w:numId w:val="4"/>
        </w:numPr>
        <w:spacing w:before="0" w:after="60"/>
        <w:rPr>
          <w:lang w:val="es-EC"/>
        </w:rPr>
      </w:pPr>
      <w:r>
        <w:rPr>
          <w:color w:val="000000"/>
          <w:lang w:val="es-EC"/>
        </w:rPr>
        <w:t>Aplicar ROW compression para tablas con alta actividad DML donde el overhead de CPU de PAGE compression puede ser prohibitivo.</w:t>
      </w:r>
    </w:p>
    <w:p>
      <w:pPr>
        <w:pStyle w:val="ListParagraph"/>
        <w:numPr>
          <w:ilvl w:val="0"/>
          <w:numId w:val="4"/>
        </w:numPr>
        <w:spacing w:before="0" w:after="60"/>
        <w:rPr>
          <w:lang w:val="es-EC"/>
        </w:rPr>
      </w:pPr>
      <w:r>
        <w:rPr>
          <w:color w:val="000000"/>
          <w:lang w:val="es-EC"/>
        </w:rPr>
        <w:t>La compresión puede aplicarse en linea (WITH ONLINE = ON en SQL Server 2016 Enterprise Edition) o fuera de linea, con el impacto correspondiente en disponibilidad.</w:t>
      </w:r>
    </w:p>
    <w:p>
      <w:pPr>
        <w:pStyle w:val="Normal"/>
        <w:spacing w:before="0" w:after="120"/>
        <w:rPr>
          <w:lang w:val="es-EC"/>
        </w:rPr>
      </w:pPr>
      <w:r>
        <w:rPr>
          <w:lang w:val="es-EC"/>
        </w:rPr>
      </w:r>
    </w:p>
    <w:p>
      <w:pPr>
        <w:pStyle w:val="heading20"/>
        <w:rPr>
          <w:lang w:val="es-EC"/>
        </w:rPr>
      </w:pPr>
      <w:bookmarkStart w:id="100" w:name="__RefHeading___Toc12470_3037558313"/>
      <w:bookmarkStart w:id="101" w:name="_Toc225746753"/>
      <w:bookmarkEnd w:id="100"/>
      <w:r>
        <w:rPr>
          <w:lang w:val="es-EC"/>
        </w:rPr>
        <w:t>3.11 Hallazgo 11 - Autogrowth del Transaction Log Insuficiente</w:t>
      </w:r>
      <w:bookmarkEnd w:id="101"/>
    </w:p>
    <w:p>
      <w:pPr>
        <w:pStyle w:val="heading30"/>
        <w:rPr>
          <w:lang w:val="es-EC"/>
        </w:rPr>
      </w:pPr>
      <w:bookmarkStart w:id="102" w:name="__RefHeading___Toc12472_3037558313"/>
      <w:bookmarkStart w:id="103" w:name="_Toc225746754"/>
      <w:bookmarkEnd w:id="102"/>
      <w:r>
        <w:rPr>
          <w:lang w:val="es-EC"/>
        </w:rPr>
        <w:t>Descripción del parámetro</w:t>
      </w:r>
      <w:bookmarkEnd w:id="103"/>
    </w:p>
    <w:p>
      <w:pPr>
        <w:pStyle w:val="Normal"/>
        <w:spacing w:before="0" w:after="100"/>
        <w:rPr>
          <w:lang w:val="es-EC"/>
        </w:rPr>
      </w:pPr>
      <w:r>
        <w:rPr>
          <w:color w:val="000000"/>
          <w:lang w:val="es-EC"/>
        </w:rPr>
        <w:t>Los tres archivos de transaction log tienen configurado un incremento de autogrowth de 64 MB. Si bien este es el valor por defecto a partir de SQL Server 2016 para bases de datos nuevas, puede resultar insuficiente para sistemas de producción con alta actividad transaccional, ya que un incremento pequeño genera muchos eventos de crecimiento, fragmentación del log (multiples Virtual Log Files o VLFs) y latencia transaccional durante cada evento.</w:t>
      </w:r>
    </w:p>
    <w:p>
      <w:pPr>
        <w:pStyle w:val="Normal"/>
        <w:spacing w:before="0" w:after="100"/>
        <w:rPr>
          <w:lang w:val="es-EC"/>
        </w:rPr>
      </w:pPr>
      <w:r>
        <w:rPr>
          <w:color w:val="000000"/>
          <w:lang w:val="es-EC"/>
        </w:rPr>
        <w:t>Según la documentación de Microsoft (Considerations for the autogrow and autoshrink - SQL Server, Microsoft Learn): "If you run a transaction that requires more log space than is available, and you have turned on the autogrow option for the transaction log of that database, then the time it takes the transaction to complete will include the time it takes the transaction log to grow by the configured amount."</w:t>
      </w:r>
    </w:p>
    <w:p>
      <w:pPr>
        <w:pStyle w:val="heading30"/>
        <w:rPr>
          <w:lang w:val="es-EC"/>
        </w:rPr>
      </w:pPr>
      <w:bookmarkStart w:id="104" w:name="__RefHeading___Toc12474_3037558313"/>
      <w:bookmarkStart w:id="105" w:name="_Toc225746755"/>
      <w:bookmarkEnd w:id="104"/>
      <w:r>
        <w:rPr>
          <w:lang w:val="es-EC"/>
        </w:rPr>
        <w:t>Evidencia del diagnostico</w:t>
      </w:r>
      <w:bookmarkEnd w:id="105"/>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531"/>
        <w:gridCol w:w="1871"/>
        <w:gridCol w:w="1470"/>
        <w:gridCol w:w="1969"/>
        <w:gridCol w:w="2519"/>
      </w:tblGrid>
      <w:tr>
        <w:trPr>
          <w:tblHeader w:val="true"/>
        </w:trPr>
        <w:tc>
          <w:tcPr>
            <w:tcW w:w="153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187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Archivo Log</w:t>
            </w:r>
          </w:p>
        </w:tc>
        <w:tc>
          <w:tcPr>
            <w:tcW w:w="147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Tamaño Actual</w:t>
            </w:r>
          </w:p>
        </w:tc>
        <w:tc>
          <w:tcPr>
            <w:tcW w:w="1969"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Autogrowth Actual</w:t>
            </w:r>
          </w:p>
        </w:tc>
        <w:tc>
          <w:tcPr>
            <w:tcW w:w="2519"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Recomendación</w:t>
            </w:r>
          </w:p>
        </w:tc>
      </w:tr>
      <w:tr>
        <w:trPr/>
        <w:tc>
          <w:tcPr>
            <w:tcW w:w="153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VISTAIT</w:t>
            </w:r>
          </w:p>
        </w:tc>
        <w:tc>
          <w:tcPr>
            <w:tcW w:w="187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VISTAIT_log</w:t>
            </w:r>
          </w:p>
        </w:tc>
        <w:tc>
          <w:tcPr>
            <w:tcW w:w="147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259.94 MB</w:t>
            </w:r>
          </w:p>
        </w:tc>
        <w:tc>
          <w:tcPr>
            <w:tcW w:w="1969"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C55A11"/>
                <w:sz w:val="18"/>
                <w:szCs w:val="18"/>
                <w:lang w:val="es-EC"/>
              </w:rPr>
              <w:t>Fijo: 64 MB</w:t>
            </w:r>
          </w:p>
        </w:tc>
        <w:tc>
          <w:tcPr>
            <w:tcW w:w="2519"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Fijo: 256-512 MB</w:t>
            </w:r>
          </w:p>
        </w:tc>
      </w:tr>
      <w:tr>
        <w:trPr/>
        <w:tc>
          <w:tcPr>
            <w:tcW w:w="1531"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w:t>
            </w:r>
          </w:p>
        </w:tc>
        <w:tc>
          <w:tcPr>
            <w:tcW w:w="1871"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VISTA_log</w:t>
            </w:r>
          </w:p>
        </w:tc>
        <w:tc>
          <w:tcPr>
            <w:tcW w:w="1470"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67.94 MB</w:t>
            </w:r>
          </w:p>
        </w:tc>
        <w:tc>
          <w:tcPr>
            <w:tcW w:w="1969"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C55A11"/>
                <w:sz w:val="18"/>
                <w:szCs w:val="18"/>
                <w:lang w:val="es-EC"/>
              </w:rPr>
              <w:t>Fijo: 64 MB</w:t>
            </w:r>
          </w:p>
        </w:tc>
        <w:tc>
          <w:tcPr>
            <w:tcW w:w="2519" w:type="dxa"/>
            <w:tcBorders>
              <w:top w:val="single" w:sz="2" w:space="0" w:color="CCCCCC"/>
              <w:start w:val="single" w:sz="2" w:space="0" w:color="CCCCCC"/>
              <w:bottom w:val="single" w:sz="2" w:space="0" w:color="CCCCCC"/>
              <w:end w:val="single" w:sz="2" w:space="0" w:color="CCCCCC"/>
            </w:tcBorders>
            <w:shd w:color="auto" w:fill="F2F2F2" w:val="clear"/>
            <w:tcMar>
              <w:top w:w="50" w:type="dxa"/>
              <w:bottom w:w="50" w:type="dxa"/>
            </w:tcMar>
          </w:tcPr>
          <w:p>
            <w:pPr>
              <w:pStyle w:val="Normal"/>
              <w:rPr>
                <w:lang w:val="es-EC"/>
              </w:rPr>
            </w:pPr>
            <w:r>
              <w:rPr>
                <w:color w:val="000000"/>
                <w:sz w:val="18"/>
                <w:szCs w:val="18"/>
                <w:lang w:val="es-EC"/>
              </w:rPr>
              <w:t>Fijo: 256-512 MB</w:t>
            </w:r>
          </w:p>
        </w:tc>
      </w:tr>
      <w:tr>
        <w:trPr/>
        <w:tc>
          <w:tcPr>
            <w:tcW w:w="153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w:t>
            </w:r>
          </w:p>
        </w:tc>
        <w:tc>
          <w:tcPr>
            <w:tcW w:w="1871"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VISTALOYALTY_log</w:t>
            </w:r>
          </w:p>
        </w:tc>
        <w:tc>
          <w:tcPr>
            <w:tcW w:w="1470"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195.94 MB</w:t>
            </w:r>
          </w:p>
        </w:tc>
        <w:tc>
          <w:tcPr>
            <w:tcW w:w="1969"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C55A11"/>
                <w:sz w:val="18"/>
                <w:szCs w:val="18"/>
                <w:lang w:val="es-EC"/>
              </w:rPr>
              <w:t>Fijo: 64 MB</w:t>
            </w:r>
          </w:p>
        </w:tc>
        <w:tc>
          <w:tcPr>
            <w:tcW w:w="2519" w:type="dxa"/>
            <w:tcBorders>
              <w:top w:val="single" w:sz="2" w:space="0" w:color="CCCCCC"/>
              <w:start w:val="single" w:sz="2" w:space="0" w:color="CCCCCC"/>
              <w:bottom w:val="single" w:sz="2" w:space="0" w:color="CCCCCC"/>
              <w:end w:val="single" w:sz="2" w:space="0" w:color="CCCCCC"/>
            </w:tcBorders>
            <w:shd w:color="auto" w:fill="FFFFFF" w:val="clear"/>
            <w:tcMar>
              <w:top w:w="50" w:type="dxa"/>
              <w:bottom w:w="50" w:type="dxa"/>
            </w:tcMar>
          </w:tcPr>
          <w:p>
            <w:pPr>
              <w:pStyle w:val="Normal"/>
              <w:rPr>
                <w:lang w:val="es-EC"/>
              </w:rPr>
            </w:pPr>
            <w:r>
              <w:rPr>
                <w:color w:val="000000"/>
                <w:sz w:val="18"/>
                <w:szCs w:val="18"/>
                <w:lang w:val="es-EC"/>
              </w:rPr>
              <w:t>Fijo: 256-512 MB</w:t>
            </w:r>
          </w:p>
        </w:tc>
      </w:tr>
    </w:tbl>
    <w:p>
      <w:pPr>
        <w:pStyle w:val="Normal"/>
        <w:spacing w:before="0" w:after="80"/>
        <w:rPr>
          <w:lang w:val="es-EC"/>
        </w:rPr>
      </w:pPr>
      <w:r>
        <w:rPr>
          <w:lang w:val="es-EC"/>
        </w:rPr>
      </w:r>
    </w:p>
    <w:p>
      <w:pPr>
        <w:pStyle w:val="heading30"/>
        <w:rPr>
          <w:lang w:val="es-EC"/>
        </w:rPr>
      </w:pPr>
      <w:bookmarkStart w:id="106" w:name="__RefHeading___Toc12476_3037558313"/>
      <w:bookmarkStart w:id="107" w:name="_Toc225746756"/>
      <w:bookmarkEnd w:id="106"/>
      <w:r>
        <w:rPr>
          <w:lang w:val="es-EC"/>
        </w:rPr>
        <w:t>Recomendación</w:t>
      </w:r>
      <w:bookmarkEnd w:id="107"/>
    </w:p>
    <w:p>
      <w:pPr>
        <w:pStyle w:val="ListParagraph"/>
        <w:numPr>
          <w:ilvl w:val="0"/>
          <w:numId w:val="4"/>
        </w:numPr>
        <w:spacing w:before="0" w:after="60"/>
        <w:rPr>
          <w:lang w:val="es-EC"/>
        </w:rPr>
      </w:pPr>
      <w:r>
        <w:rPr>
          <w:color w:val="000000"/>
          <w:lang w:val="es-EC"/>
        </w:rPr>
        <w:t>Incrementar el autogrowth del transaction log a un valor entre 256 MB y 512 MB en las tres bases de datos.</w:t>
      </w:r>
    </w:p>
    <w:p>
      <w:pPr>
        <w:pStyle w:val="ListParagraph"/>
        <w:numPr>
          <w:ilvl w:val="0"/>
          <w:numId w:val="4"/>
        </w:numPr>
        <w:spacing w:before="0" w:after="60"/>
        <w:rPr>
          <w:lang w:val="es-EC"/>
        </w:rPr>
      </w:pPr>
      <w:r>
        <w:rPr>
          <w:color w:val="000000"/>
          <w:lang w:val="es-EC"/>
        </w:rPr>
        <w:t>Para VISTALOYALTY, donde el uso del log es del 11% (21.6 MB usados de 195.94 MB), el tamaño actual del archivo puede ser adecuado una vez implementados los backups de log regulares, pero el incremento de autogrowth sigue siendo necesario como medida de contingencia.</w:t>
      </w:r>
    </w:p>
    <w:p>
      <w:pPr>
        <w:pStyle w:val="Normal"/>
        <w:spacing w:before="0" w:after="120"/>
        <w:rPr>
          <w:lang w:val="es-EC"/>
        </w:rPr>
      </w:pPr>
      <w:r>
        <w:rPr>
          <w:lang w:val="es-EC"/>
        </w:rPr>
      </w:r>
    </w:p>
    <w:p>
      <w:pPr>
        <w:pStyle w:val="heading20"/>
        <w:rPr>
          <w:lang w:val="es-EC"/>
        </w:rPr>
      </w:pPr>
      <w:bookmarkStart w:id="108" w:name="__RefHeading___Toc12478_3037558313"/>
      <w:bookmarkStart w:id="109" w:name="_Toc225746757"/>
      <w:bookmarkEnd w:id="108"/>
      <w:r>
        <w:rPr>
          <w:lang w:val="es-EC"/>
        </w:rPr>
        <w:t>3.12 Hallazgo 12 - Tablas HEAP en VISTA</w:t>
      </w:r>
      <w:bookmarkEnd w:id="109"/>
    </w:p>
    <w:p>
      <w:pPr>
        <w:pStyle w:val="heading30"/>
        <w:rPr>
          <w:lang w:val="es-EC"/>
        </w:rPr>
      </w:pPr>
      <w:bookmarkStart w:id="110" w:name="__RefHeading___Toc12480_3037558313"/>
      <w:bookmarkStart w:id="111" w:name="_Toc225746758"/>
      <w:bookmarkEnd w:id="110"/>
      <w:r>
        <w:rPr>
          <w:lang w:val="es-EC"/>
        </w:rPr>
        <w:t>Descripción del parámetro</w:t>
      </w:r>
      <w:bookmarkEnd w:id="111"/>
    </w:p>
    <w:p>
      <w:pPr>
        <w:pStyle w:val="Normal"/>
        <w:spacing w:before="0" w:after="100"/>
        <w:rPr>
          <w:lang w:val="es-EC"/>
        </w:rPr>
      </w:pPr>
      <w:r>
        <w:rPr>
          <w:color w:val="000000"/>
          <w:lang w:val="es-EC"/>
        </w:rPr>
        <w:t>Una tabla HEAP es una tabla sin clustered index. En SQL Server, las tablas HEAP almacenan las filas en paginas no ordenadas, y las lecturas sin indice de cobertura requieren un Full Table Scan. Ademas, las operaciones UPDATE que aumentan el tamaño de una fila generan "forwarded records" (punteros de una pagina a otra), lo que degrada adicionalmente el rendimiento de lecturas.</w:t>
      </w:r>
    </w:p>
    <w:p>
      <w:pPr>
        <w:pStyle w:val="heading30"/>
        <w:rPr>
          <w:lang w:val="es-EC"/>
        </w:rPr>
      </w:pPr>
      <w:bookmarkStart w:id="112" w:name="__RefHeading___Toc12482_3037558313"/>
      <w:bookmarkStart w:id="113" w:name="_Toc225746759"/>
      <w:bookmarkEnd w:id="112"/>
      <w:r>
        <w:rPr>
          <w:lang w:val="es-EC"/>
        </w:rPr>
        <w:t>Evidencia del diagnostico</w:t>
      </w:r>
      <w:bookmarkEnd w:id="113"/>
    </w:p>
    <w:p>
      <w:pPr>
        <w:pStyle w:val="Normal"/>
        <w:spacing w:before="0" w:after="100"/>
        <w:rPr>
          <w:lang w:val="es-EC"/>
        </w:rPr>
      </w:pPr>
      <w:r>
        <w:rPr>
          <w:color w:val="000000"/>
          <w:lang w:val="es-EC"/>
        </w:rPr>
        <w:t>La base de datos VISTA presenta varias tablas HEAP de gran tamano:</w:t>
      </w:r>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2600"/>
        <w:gridCol w:w="1200"/>
        <w:gridCol w:w="1497"/>
        <w:gridCol w:w="1401"/>
        <w:gridCol w:w="2662"/>
      </w:tblGrid>
      <w:tr>
        <w:trPr>
          <w:tblHeader w:val="true"/>
        </w:trPr>
        <w:tc>
          <w:tcPr>
            <w:tcW w:w="260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Tabla</w:t>
            </w:r>
          </w:p>
        </w:tc>
        <w:tc>
          <w:tcPr>
            <w:tcW w:w="120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Tamaño (MB)</w:t>
            </w:r>
          </w:p>
        </w:tc>
        <w:tc>
          <w:tcPr>
            <w:tcW w:w="1497"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Filas</w:t>
            </w:r>
          </w:p>
        </w:tc>
        <w:tc>
          <w:tcPr>
            <w:tcW w:w="1401"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Clave Primaria</w:t>
            </w:r>
          </w:p>
        </w:tc>
        <w:tc>
          <w:tcPr>
            <w:tcW w:w="2662"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Tipo Almacenamiento</w:t>
            </w:r>
          </w:p>
        </w:tc>
      </w:tr>
      <w:tr>
        <w:trPr/>
        <w:tc>
          <w:tcPr>
            <w:tcW w:w="26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tblTrans_Inventory</w:t>
            </w:r>
          </w:p>
        </w:tc>
        <w:tc>
          <w:tcPr>
            <w:tcW w:w="12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22,367</w:t>
            </w:r>
          </w:p>
        </w:tc>
        <w:tc>
          <w:tcPr>
            <w:tcW w:w="14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18,655,115</w:t>
            </w:r>
          </w:p>
        </w:tc>
        <w:tc>
          <w:tcPr>
            <w:tcW w:w="1401"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Tiene PK</w:t>
            </w:r>
          </w:p>
        </w:tc>
        <w:tc>
          <w:tcPr>
            <w:tcW w:w="2662"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C55A11"/>
                <w:sz w:val="18"/>
                <w:szCs w:val="18"/>
                <w:lang w:val="es-EC"/>
              </w:rPr>
              <w:t>HEAP - Sin clustered index</w:t>
            </w:r>
          </w:p>
        </w:tc>
      </w:tr>
      <w:tr>
        <w:trPr/>
        <w:tc>
          <w:tcPr>
            <w:tcW w:w="26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tblUser_Log</w:t>
            </w:r>
          </w:p>
        </w:tc>
        <w:tc>
          <w:tcPr>
            <w:tcW w:w="12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3,936</w:t>
            </w:r>
          </w:p>
        </w:tc>
        <w:tc>
          <w:tcPr>
            <w:tcW w:w="14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13,651,208</w:t>
            </w:r>
          </w:p>
        </w:tc>
        <w:tc>
          <w:tcPr>
            <w:tcW w:w="1401"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Tiene PK</w:t>
            </w:r>
          </w:p>
        </w:tc>
        <w:tc>
          <w:tcPr>
            <w:tcW w:w="2662"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C55A11"/>
                <w:sz w:val="18"/>
                <w:szCs w:val="18"/>
                <w:lang w:val="es-EC"/>
              </w:rPr>
              <w:t>HEAP - Sin clustered index</w:t>
            </w:r>
          </w:p>
        </w:tc>
      </w:tr>
      <w:tr>
        <w:trPr/>
        <w:tc>
          <w:tcPr>
            <w:tcW w:w="26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tblTrans_Ticket</w:t>
            </w:r>
          </w:p>
        </w:tc>
        <w:tc>
          <w:tcPr>
            <w:tcW w:w="12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2,218</w:t>
            </w:r>
          </w:p>
        </w:tc>
        <w:tc>
          <w:tcPr>
            <w:tcW w:w="14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3,153,407</w:t>
            </w:r>
          </w:p>
        </w:tc>
        <w:tc>
          <w:tcPr>
            <w:tcW w:w="1401"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Tiene PK</w:t>
            </w:r>
          </w:p>
        </w:tc>
        <w:tc>
          <w:tcPr>
            <w:tcW w:w="2662"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C55A11"/>
                <w:sz w:val="18"/>
                <w:szCs w:val="18"/>
                <w:lang w:val="es-EC"/>
              </w:rPr>
              <w:t>HEAP - Sin clustered index</w:t>
            </w:r>
          </w:p>
        </w:tc>
      </w:tr>
      <w:tr>
        <w:trPr/>
        <w:tc>
          <w:tcPr>
            <w:tcW w:w="26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tblTrans_Cash</w:t>
            </w:r>
          </w:p>
        </w:tc>
        <w:tc>
          <w:tcPr>
            <w:tcW w:w="12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1,300</w:t>
            </w:r>
          </w:p>
        </w:tc>
        <w:tc>
          <w:tcPr>
            <w:tcW w:w="14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2,247,530</w:t>
            </w:r>
          </w:p>
        </w:tc>
        <w:tc>
          <w:tcPr>
            <w:tcW w:w="1401"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Tiene PK</w:t>
            </w:r>
          </w:p>
        </w:tc>
        <w:tc>
          <w:tcPr>
            <w:tcW w:w="2662"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C55A11"/>
                <w:sz w:val="18"/>
                <w:szCs w:val="18"/>
                <w:lang w:val="es-EC"/>
              </w:rPr>
              <w:t>HEAP - Sin clustered index</w:t>
            </w:r>
          </w:p>
        </w:tc>
      </w:tr>
      <w:tr>
        <w:trPr/>
        <w:tc>
          <w:tcPr>
            <w:tcW w:w="26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tblPaymentReceipt</w:t>
            </w:r>
          </w:p>
        </w:tc>
        <w:tc>
          <w:tcPr>
            <w:tcW w:w="12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3,026</w:t>
            </w:r>
          </w:p>
        </w:tc>
        <w:tc>
          <w:tcPr>
            <w:tcW w:w="14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767,176</w:t>
            </w:r>
          </w:p>
        </w:tc>
        <w:tc>
          <w:tcPr>
            <w:tcW w:w="1401"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b/>
                <w:bCs/>
                <w:color w:val="C00000"/>
                <w:sz w:val="18"/>
                <w:szCs w:val="18"/>
                <w:lang w:val="es-EC"/>
              </w:rPr>
              <w:t>SIN PK</w:t>
            </w:r>
          </w:p>
        </w:tc>
        <w:tc>
          <w:tcPr>
            <w:tcW w:w="2662"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C55A11"/>
                <w:sz w:val="18"/>
                <w:szCs w:val="18"/>
                <w:lang w:val="es-EC"/>
              </w:rPr>
              <w:t>HEAP - Sin clustered index</w:t>
            </w:r>
          </w:p>
        </w:tc>
      </w:tr>
      <w:tr>
        <w:trPr/>
        <w:tc>
          <w:tcPr>
            <w:tcW w:w="26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tblRecordsDownloaded</w:t>
            </w:r>
          </w:p>
        </w:tc>
        <w:tc>
          <w:tcPr>
            <w:tcW w:w="12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1,070</w:t>
            </w:r>
          </w:p>
        </w:tc>
        <w:tc>
          <w:tcPr>
            <w:tcW w:w="14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7,234,762</w:t>
            </w:r>
          </w:p>
        </w:tc>
        <w:tc>
          <w:tcPr>
            <w:tcW w:w="1401"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b/>
                <w:bCs/>
                <w:color w:val="C00000"/>
                <w:sz w:val="18"/>
                <w:szCs w:val="18"/>
                <w:lang w:val="es-EC"/>
              </w:rPr>
              <w:t>SIN PK</w:t>
            </w:r>
          </w:p>
        </w:tc>
        <w:tc>
          <w:tcPr>
            <w:tcW w:w="2662"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C55A11"/>
                <w:sz w:val="18"/>
                <w:szCs w:val="18"/>
                <w:lang w:val="es-EC"/>
              </w:rPr>
              <w:t>HEAP - Sin clustered index</w:t>
            </w:r>
          </w:p>
        </w:tc>
      </w:tr>
    </w:tbl>
    <w:p>
      <w:pPr>
        <w:pStyle w:val="Normal"/>
        <w:spacing w:before="0" w:after="80"/>
        <w:rPr>
          <w:lang w:val="es-EC"/>
        </w:rPr>
      </w:pPr>
      <w:r>
        <w:rPr>
          <w:lang w:val="es-EC"/>
        </w:rPr>
      </w:r>
    </w:p>
    <w:p>
      <w:pPr>
        <w:pStyle w:val="heading30"/>
        <w:rPr>
          <w:lang w:val="es-EC"/>
        </w:rPr>
      </w:pPr>
      <w:bookmarkStart w:id="114" w:name="__RefHeading___Toc12484_3037558313"/>
      <w:bookmarkStart w:id="115" w:name="_Toc225746760"/>
      <w:bookmarkEnd w:id="114"/>
      <w:r>
        <w:rPr>
          <w:lang w:val="es-EC"/>
        </w:rPr>
        <w:t>Recomendación</w:t>
      </w:r>
      <w:bookmarkEnd w:id="115"/>
    </w:p>
    <w:p>
      <w:pPr>
        <w:pStyle w:val="Normal"/>
        <w:spacing w:before="0" w:after="100"/>
        <w:rPr>
          <w:lang w:val="es-EC"/>
        </w:rPr>
      </w:pPr>
      <w:r>
        <w:rPr>
          <w:color w:val="000000"/>
          <w:lang w:val="es-EC"/>
        </w:rPr>
        <w:t>La conversión de HEAP a clustered index es una operación que requiere análisis previo para determinar la columna clave optima del clustered index, y debe planificarse cuidadosamente ya que reconstruye la tabla completa.</w:t>
      </w:r>
    </w:p>
    <w:p>
      <w:pPr>
        <w:pStyle w:val="ListParagraph"/>
        <w:numPr>
          <w:ilvl w:val="0"/>
          <w:numId w:val="4"/>
        </w:numPr>
        <w:spacing w:before="0" w:after="60"/>
        <w:rPr>
          <w:lang w:val="es-EC"/>
        </w:rPr>
      </w:pPr>
      <w:r>
        <w:rPr>
          <w:color w:val="000000"/>
          <w:lang w:val="es-EC"/>
        </w:rPr>
        <w:t>Para tablas con PK existente (tblTrans_Inventory, tblUser_Log): evaluar si la PK existente es una clave natural que pueda convertirse en clustered index.</w:t>
      </w:r>
    </w:p>
    <w:p>
      <w:pPr>
        <w:pStyle w:val="ListParagraph"/>
        <w:numPr>
          <w:ilvl w:val="0"/>
          <w:numId w:val="4"/>
        </w:numPr>
        <w:spacing w:before="0" w:after="60"/>
        <w:rPr>
          <w:lang w:val="es-EC"/>
        </w:rPr>
      </w:pPr>
      <w:r>
        <w:rPr>
          <w:color w:val="000000"/>
          <w:lang w:val="es-EC"/>
        </w:rPr>
        <w:t>Para tablas sin PK (tblPaymentReceipt, tblRecordsDownloaded): esta es una condición adicional que debe resolverse, ya que la ausencia de PK implica riesgo de duplicados y dificulta la administración de la tabla.</w:t>
      </w:r>
    </w:p>
    <w:p>
      <w:pPr>
        <w:pStyle w:val="ListParagraph"/>
        <w:numPr>
          <w:ilvl w:val="0"/>
          <w:numId w:val="4"/>
        </w:numPr>
        <w:spacing w:before="0" w:after="60"/>
        <w:rPr>
          <w:lang w:val="es-EC"/>
        </w:rPr>
      </w:pPr>
      <w:r>
        <w:rPr>
          <w:color w:val="000000"/>
          <w:lang w:val="es-EC"/>
        </w:rPr>
        <w:t>Esta intervención debe realizarse en coordinación con el proveedor VISTA dado que puede afectar el comportamiento de las aplicaciones que acceden a estas tablas.</w:t>
      </w:r>
    </w:p>
    <w:p>
      <w:pPr>
        <w:pStyle w:val="Normal"/>
        <w:spacing w:before="0" w:after="120"/>
        <w:rPr>
          <w:lang w:val="es-EC"/>
        </w:rPr>
      </w:pPr>
      <w:r>
        <w:rPr>
          <w:lang w:val="es-EC"/>
        </w:rPr>
      </w:r>
    </w:p>
    <w:p>
      <w:pPr>
        <w:pStyle w:val="heading10"/>
        <w:pBdr>
          <w:bottom w:val="single" w:sz="6" w:space="1" w:color="2E75B6"/>
        </w:pBdr>
        <w:rPr>
          <w:lang w:val="es-EC"/>
        </w:rPr>
      </w:pPr>
      <w:bookmarkStart w:id="116" w:name="__RefHeading___Toc12486_3037558313"/>
      <w:bookmarkStart w:id="117" w:name="_Toc225746761"/>
      <w:bookmarkEnd w:id="116"/>
      <w:r>
        <w:rPr>
          <w:lang w:val="es-EC"/>
        </w:rPr>
        <w:t>4. Plan de Implementación por Fases</w:t>
      </w:r>
      <w:bookmarkEnd w:id="117"/>
    </w:p>
    <w:p>
      <w:pPr>
        <w:pStyle w:val="Normal"/>
        <w:spacing w:before="0" w:after="100"/>
        <w:rPr>
          <w:lang w:val="es-EC"/>
        </w:rPr>
      </w:pPr>
      <w:r>
        <w:rPr>
          <w:color w:val="000000"/>
          <w:lang w:val="es-EC"/>
        </w:rPr>
        <w:t>Las intervenciones identificadas se organizan en tres fases según su urgencia e impacto. Se recomienda realizar un backup completo del servidor y una instantanea (snapshot) previo a cada fase.</w:t>
      </w:r>
    </w:p>
    <w:p>
      <w:pPr>
        <w:pStyle w:val="Normal"/>
        <w:spacing w:before="0" w:after="80"/>
        <w:rPr>
          <w:lang w:val="es-EC"/>
        </w:rPr>
      </w:pPr>
      <w:r>
        <w:rPr>
          <w:lang w:val="es-EC"/>
        </w:rPr>
      </w:r>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900"/>
        <w:gridCol w:w="1498"/>
        <w:gridCol w:w="2999"/>
        <w:gridCol w:w="1800"/>
        <w:gridCol w:w="2163"/>
      </w:tblGrid>
      <w:tr>
        <w:trPr>
          <w:tblHeader w:val="true"/>
        </w:trPr>
        <w:tc>
          <w:tcPr>
            <w:tcW w:w="90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Fase</w:t>
            </w:r>
          </w:p>
        </w:tc>
        <w:tc>
          <w:tcPr>
            <w:tcW w:w="1498"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Prioridad</w:t>
            </w:r>
          </w:p>
        </w:tc>
        <w:tc>
          <w:tcPr>
            <w:tcW w:w="2999"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themeColor="background1" w:val="FFFFFF"/>
                <w:sz w:val="20"/>
                <w:szCs w:val="20"/>
                <w:lang w:val="es-EC"/>
              </w:rPr>
              <w:t>Acción</w:t>
            </w:r>
          </w:p>
        </w:tc>
        <w:tc>
          <w:tcPr>
            <w:tcW w:w="1800"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Base de Datos</w:t>
            </w:r>
          </w:p>
        </w:tc>
        <w:tc>
          <w:tcPr>
            <w:tcW w:w="2163"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Impacto en Disponibilidad</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b/>
                <w:bCs/>
                <w:color w:val="000000"/>
                <w:sz w:val="18"/>
                <w:szCs w:val="18"/>
                <w:lang w:val="es-EC"/>
              </w:rPr>
              <w:t>Fase 1</w:t>
            </w:r>
          </w:p>
        </w:tc>
        <w:tc>
          <w:tcPr>
            <w:tcW w:w="149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P0 - Inmediata</w:t>
            </w:r>
          </w:p>
        </w:tc>
        <w:tc>
          <w:tcPr>
            <w:tcW w:w="2999"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Backup FULL urgente de VISTA (sin ningún backup registrado)</w:t>
            </w:r>
          </w:p>
        </w:tc>
        <w:tc>
          <w:tcPr>
            <w:tcW w:w="18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VISTA</w:t>
            </w:r>
          </w:p>
        </w:tc>
        <w:tc>
          <w:tcPr>
            <w:tcW w:w="2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Ninguno</w:t>
            </w:r>
          </w:p>
        </w:tc>
      </w:tr>
      <w:tr>
        <w:trPr/>
        <w:tc>
          <w:tcPr>
            <w:tcW w:w="9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Fase 1</w:t>
            </w:r>
          </w:p>
        </w:tc>
        <w:tc>
          <w:tcPr>
            <w:tcW w:w="149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P0 - Inmediata</w:t>
            </w:r>
          </w:p>
        </w:tc>
        <w:tc>
          <w:tcPr>
            <w:tcW w:w="2999"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Implementar backups de transaction log cada 15-30 minutos</w:t>
            </w:r>
          </w:p>
        </w:tc>
        <w:tc>
          <w:tcPr>
            <w:tcW w:w="18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Las tres BDs</w:t>
            </w:r>
          </w:p>
        </w:tc>
        <w:tc>
          <w:tcPr>
            <w:tcW w:w="2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Ninguno</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Fase 1</w:t>
            </w:r>
          </w:p>
        </w:tc>
        <w:tc>
          <w:tcPr>
            <w:tcW w:w="149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P0 - Inmediata</w:t>
            </w:r>
          </w:p>
        </w:tc>
        <w:tc>
          <w:tcPr>
            <w:tcW w:w="2999"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Ampliar espacio en disco de VISTALOYALTY</w:t>
            </w:r>
          </w:p>
        </w:tc>
        <w:tc>
          <w:tcPr>
            <w:tcW w:w="18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VISTALOYALTY</w:t>
            </w:r>
          </w:p>
        </w:tc>
        <w:tc>
          <w:tcPr>
            <w:tcW w:w="2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Ninguno</w:t>
            </w:r>
          </w:p>
        </w:tc>
      </w:tr>
      <w:tr>
        <w:trPr/>
        <w:tc>
          <w:tcPr>
            <w:tcW w:w="9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Fase 1</w:t>
            </w:r>
          </w:p>
        </w:tc>
        <w:tc>
          <w:tcPr>
            <w:tcW w:w="149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P1 - Alta</w:t>
            </w:r>
          </w:p>
        </w:tc>
        <w:tc>
          <w:tcPr>
            <w:tcW w:w="2999"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Configurar MAXDOP y cost threshold for parallelism</w:t>
            </w:r>
          </w:p>
        </w:tc>
        <w:tc>
          <w:tcPr>
            <w:tcW w:w="18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Las tres instancias</w:t>
            </w:r>
          </w:p>
        </w:tc>
        <w:tc>
          <w:tcPr>
            <w:tcW w:w="2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Ninguno (dinámico)</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Fase 1</w:t>
            </w:r>
          </w:p>
        </w:tc>
        <w:tc>
          <w:tcPr>
            <w:tcW w:w="149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P1 - Alta</w:t>
            </w:r>
          </w:p>
        </w:tc>
        <w:tc>
          <w:tcPr>
            <w:tcW w:w="2999"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Activar optimize for ad hoc workloads</w:t>
            </w:r>
          </w:p>
        </w:tc>
        <w:tc>
          <w:tcPr>
            <w:tcW w:w="18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Las tres instancias</w:t>
            </w:r>
          </w:p>
        </w:tc>
        <w:tc>
          <w:tcPr>
            <w:tcW w:w="2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Ninguno (dinámico)</w:t>
            </w:r>
          </w:p>
        </w:tc>
      </w:tr>
      <w:tr>
        <w:trPr/>
        <w:tc>
          <w:tcPr>
            <w:tcW w:w="9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b/>
                <w:bCs/>
                <w:color w:val="000000"/>
                <w:sz w:val="18"/>
                <w:szCs w:val="18"/>
                <w:lang w:val="es-EC"/>
              </w:rPr>
              <w:t>Fase 2</w:t>
            </w:r>
          </w:p>
        </w:tc>
        <w:tc>
          <w:tcPr>
            <w:tcW w:w="149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P1 - Alta</w:t>
            </w:r>
          </w:p>
        </w:tc>
        <w:tc>
          <w:tcPr>
            <w:tcW w:w="2999"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REBUILD de 327 indices con fragmentacion &gt;30%</w:t>
            </w:r>
          </w:p>
        </w:tc>
        <w:tc>
          <w:tcPr>
            <w:tcW w:w="18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Las tres BDs</w:t>
            </w:r>
          </w:p>
        </w:tc>
        <w:tc>
          <w:tcPr>
            <w:tcW w:w="2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Requiere ventana - puede ser online en enterprise</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Fase 2</w:t>
            </w:r>
          </w:p>
        </w:tc>
        <w:tc>
          <w:tcPr>
            <w:tcW w:w="149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P1 - Alta</w:t>
            </w:r>
          </w:p>
        </w:tc>
        <w:tc>
          <w:tcPr>
            <w:tcW w:w="2999"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UPDATE STATISTICS con FULLSCAN en objetos críticos</w:t>
            </w:r>
          </w:p>
        </w:tc>
        <w:tc>
          <w:tcPr>
            <w:tcW w:w="18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Las tres BDs</w:t>
            </w:r>
          </w:p>
        </w:tc>
        <w:tc>
          <w:tcPr>
            <w:tcW w:w="2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Bajo impacto</w:t>
            </w:r>
          </w:p>
        </w:tc>
      </w:tr>
      <w:tr>
        <w:trPr/>
        <w:tc>
          <w:tcPr>
            <w:tcW w:w="9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Fase 2</w:t>
            </w:r>
          </w:p>
        </w:tc>
        <w:tc>
          <w:tcPr>
            <w:tcW w:w="149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P2 - Media</w:t>
            </w:r>
          </w:p>
        </w:tc>
        <w:tc>
          <w:tcPr>
            <w:tcW w:w="2999"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Incrementar autogrowth del transaction log a 256-512 MB</w:t>
            </w:r>
          </w:p>
        </w:tc>
        <w:tc>
          <w:tcPr>
            <w:tcW w:w="18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Las tres BDs</w:t>
            </w:r>
          </w:p>
        </w:tc>
        <w:tc>
          <w:tcPr>
            <w:tcW w:w="2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Ninguno</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Fase 2</w:t>
            </w:r>
          </w:p>
        </w:tc>
        <w:tc>
          <w:tcPr>
            <w:tcW w:w="149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P2 - Media</w:t>
            </w:r>
          </w:p>
        </w:tc>
        <w:tc>
          <w:tcPr>
            <w:tcW w:w="2999"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Evaluar y crear indices faltantes de mayor score</w:t>
            </w:r>
          </w:p>
        </w:tc>
        <w:tc>
          <w:tcPr>
            <w:tcW w:w="18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Las tres BDs</w:t>
            </w:r>
          </w:p>
        </w:tc>
        <w:tc>
          <w:tcPr>
            <w:tcW w:w="2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Bajo (online posible)</w:t>
            </w:r>
          </w:p>
        </w:tc>
      </w:tr>
      <w:tr>
        <w:trPr/>
        <w:tc>
          <w:tcPr>
            <w:tcW w:w="9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b/>
                <w:bCs/>
                <w:color w:val="000000"/>
                <w:sz w:val="18"/>
                <w:szCs w:val="18"/>
                <w:lang w:val="es-EC"/>
              </w:rPr>
              <w:t>Fase 3</w:t>
            </w:r>
          </w:p>
        </w:tc>
        <w:tc>
          <w:tcPr>
            <w:tcW w:w="149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P2 - Media</w:t>
            </w:r>
          </w:p>
        </w:tc>
        <w:tc>
          <w:tcPr>
            <w:tcW w:w="2999"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Habilitar RCSI en las tres bases de datos</w:t>
            </w:r>
          </w:p>
        </w:tc>
        <w:tc>
          <w:tcPr>
            <w:tcW w:w="18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Las tres BDs</w:t>
            </w:r>
          </w:p>
        </w:tc>
        <w:tc>
          <w:tcPr>
            <w:tcW w:w="2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Requiere ventana de mantenimiento</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Fase 3</w:t>
            </w:r>
          </w:p>
        </w:tc>
        <w:tc>
          <w:tcPr>
            <w:tcW w:w="149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P2 - Media</w:t>
            </w:r>
          </w:p>
        </w:tc>
        <w:tc>
          <w:tcPr>
            <w:tcW w:w="2999"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Aplicar compresión PAGE en tablas históricas de alto volumen</w:t>
            </w:r>
          </w:p>
        </w:tc>
        <w:tc>
          <w:tcPr>
            <w:tcW w:w="18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Las tres BDs</w:t>
            </w:r>
          </w:p>
        </w:tc>
        <w:tc>
          <w:tcPr>
            <w:tcW w:w="2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Requiere ventana - puede ser online</w:t>
            </w:r>
          </w:p>
        </w:tc>
      </w:tr>
      <w:tr>
        <w:trPr/>
        <w:tc>
          <w:tcPr>
            <w:tcW w:w="9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Fase 3</w:t>
            </w:r>
          </w:p>
        </w:tc>
        <w:tc>
          <w:tcPr>
            <w:tcW w:w="149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P3 - Baja</w:t>
            </w:r>
          </w:p>
        </w:tc>
        <w:tc>
          <w:tcPr>
            <w:tcW w:w="2999"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Evaluar eliminación de 152 indices sin uso en lecturas</w:t>
            </w:r>
          </w:p>
        </w:tc>
        <w:tc>
          <w:tcPr>
            <w:tcW w:w="1800"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Las tres BDs</w:t>
            </w:r>
          </w:p>
        </w:tc>
        <w:tc>
          <w:tcPr>
            <w:tcW w:w="2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Bajo (validación previa requerida)</w:t>
            </w:r>
          </w:p>
        </w:tc>
      </w:tr>
      <w:tr>
        <w:trPr/>
        <w:tc>
          <w:tcPr>
            <w:tcW w:w="9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Fase 3</w:t>
            </w:r>
          </w:p>
        </w:tc>
        <w:tc>
          <w:tcPr>
            <w:tcW w:w="149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P3 - Baja</w:t>
            </w:r>
          </w:p>
        </w:tc>
        <w:tc>
          <w:tcPr>
            <w:tcW w:w="2999"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Evaluar conversión de HEAP a clustered index en VISTA</w:t>
            </w:r>
          </w:p>
        </w:tc>
        <w:tc>
          <w:tcPr>
            <w:tcW w:w="1800"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VISTA</w:t>
            </w:r>
          </w:p>
        </w:tc>
        <w:tc>
          <w:tcPr>
            <w:tcW w:w="2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Requiere coordinación con proveedor</w:t>
            </w:r>
          </w:p>
        </w:tc>
      </w:tr>
    </w:tbl>
    <w:p>
      <w:pPr>
        <w:pStyle w:val="Normal"/>
        <w:spacing w:before="0" w:after="120"/>
        <w:rPr>
          <w:lang w:val="es-EC"/>
        </w:rPr>
      </w:pPr>
      <w:r>
        <w:rPr>
          <w:lang w:val="es-EC"/>
        </w:rPr>
      </w:r>
    </w:p>
    <w:p>
      <w:pPr>
        <w:pStyle w:val="Normal"/>
        <w:pBdr>
          <w:left w:val="single" w:sz="12" w:space="6" w:color="2E75B6"/>
        </w:pBdr>
        <w:spacing w:before="120" w:after="120"/>
        <w:rPr>
          <w:lang w:val="es-EC"/>
        </w:rPr>
      </w:pPr>
      <w:r>
        <w:rPr>
          <w:b/>
          <w:bCs/>
          <w:color w:val="C00000"/>
          <w:lang w:val="es-EC"/>
        </w:rPr>
        <w:t xml:space="preserve">ROLLBACK: </w:t>
      </w:r>
      <w:r>
        <w:rPr>
          <w:color w:val="000000"/>
          <w:lang w:val="es-EC"/>
        </w:rPr>
        <w:t>Antes de cualquier cambio en configuración del motor, realizar backup de los valores actuales mediante SELECT name, value_in_use FROM sys.configurations. Para cambios de indices, conservar los scripts de recreación. Para cambios de autogrowth, registrar los valores actuales. Para RCSI, planificar la deshabilitación si se detectan problemas de crecimiento de tempdb.</w:t>
      </w:r>
    </w:p>
    <w:p>
      <w:pPr>
        <w:pStyle w:val="Normal"/>
        <w:rPr>
          <w:lang w:val="es-EC"/>
        </w:rPr>
      </w:pPr>
      <w:r>
        <w:rPr>
          <w:lang w:val="es-EC"/>
        </w:rPr>
      </w:r>
      <w:r>
        <w:br w:type="page"/>
      </w:r>
    </w:p>
    <w:p>
      <w:pPr>
        <w:pStyle w:val="heading10"/>
        <w:pBdr>
          <w:bottom w:val="single" w:sz="6" w:space="1" w:color="2E75B6"/>
        </w:pBdr>
        <w:spacing w:before="0" w:after="120"/>
        <w:rPr>
          <w:lang w:val="es-EC"/>
        </w:rPr>
      </w:pPr>
      <w:bookmarkStart w:id="118" w:name="__RefHeading___Toc12488_3037558313"/>
      <w:bookmarkStart w:id="119" w:name="_Toc225746762"/>
      <w:bookmarkEnd w:id="118"/>
      <w:r>
        <w:rPr>
          <w:lang w:val="es-EC"/>
        </w:rPr>
        <w:t>5. Recomendaciones Adicionales</w:t>
      </w:r>
      <w:bookmarkEnd w:id="119"/>
    </w:p>
    <w:p>
      <w:pPr>
        <w:pStyle w:val="Normal"/>
        <w:rPr/>
      </w:pPr>
      <w:r>
        <w:rPr/>
      </w:r>
    </w:p>
    <w:p>
      <w:pPr>
        <w:pStyle w:val="Normal"/>
        <w:jc w:val="both"/>
        <w:rPr/>
      </w:pPr>
      <w:r>
        <w:rPr/>
        <w:t>Existen recomendaciones adicionales que mejoran el rendimiento de un servidor de base de datos SQL Server:</w:t>
      </w:r>
    </w:p>
    <w:p>
      <w:pPr>
        <w:pStyle w:val="Normal"/>
        <w:jc w:val="both"/>
        <w:rPr/>
      </w:pPr>
      <w:r>
        <w:rPr/>
      </w:r>
    </w:p>
    <w:p>
      <w:pPr>
        <w:pStyle w:val="Normal"/>
        <w:numPr>
          <w:ilvl w:val="0"/>
          <w:numId w:val="2"/>
        </w:numPr>
        <w:jc w:val="both"/>
        <w:rPr/>
      </w:pPr>
      <w:r>
        <w:rPr/>
        <w:t>El servidor debe tener un solo rol, solo base de datos, no tener componentes adicionales instalados, con el fin de poder asignar valores fijos de recursos, con esto se logra tener mayor estabilidad en el servicio.</w:t>
      </w:r>
    </w:p>
    <w:p>
      <w:pPr>
        <w:pStyle w:val="Normal"/>
        <w:numPr>
          <w:ilvl w:val="0"/>
          <w:numId w:val="2"/>
        </w:numPr>
        <w:jc w:val="both"/>
        <w:rPr/>
      </w:pPr>
      <w:r>
        <w:rPr/>
        <w:t>La configuración de discos del sistema operativo y la instalación del motor están relacionados en el rendimiento, una practica aconsejable es la siguiente:</w:t>
      </w:r>
    </w:p>
    <w:p>
      <w:pPr>
        <w:pStyle w:val="Normal"/>
        <w:numPr>
          <w:ilvl w:val="1"/>
          <w:numId w:val="2"/>
        </w:numPr>
        <w:jc w:val="both"/>
        <w:rPr/>
      </w:pPr>
      <w:r>
        <w:rPr/>
        <w:t>Unidad de sistema operativo tradicionalmente unidad C.</w:t>
      </w:r>
    </w:p>
    <w:p>
      <w:pPr>
        <w:pStyle w:val="Normal"/>
        <w:numPr>
          <w:ilvl w:val="1"/>
          <w:numId w:val="1"/>
        </w:numPr>
        <w:jc w:val="both"/>
        <w:rPr/>
      </w:pPr>
      <w:r>
        <w:rPr/>
        <w:t>Unidad solo para los binarios de SQL Server, en esta unidad se instala el motor de base de datos con las bases del sistema a excepción de la tempdb.</w:t>
      </w:r>
    </w:p>
    <w:p>
      <w:pPr>
        <w:pStyle w:val="Normal"/>
        <w:numPr>
          <w:ilvl w:val="1"/>
          <w:numId w:val="1"/>
        </w:numPr>
        <w:jc w:val="both"/>
        <w:rPr/>
      </w:pPr>
      <w:r>
        <w:rPr/>
        <w:t>Unidad dedicada para tempdb con sus archivos MDF y LDF, esto es importante ya que muchas de las tareas y de las transacciones consumen espacio y IO de esta base de datos así mismo ciertas tareas de mantenimiento se realizan utilizando esta base de datos.</w:t>
      </w:r>
    </w:p>
    <w:p>
      <w:pPr>
        <w:pStyle w:val="Normal"/>
        <w:numPr>
          <w:ilvl w:val="1"/>
          <w:numId w:val="1"/>
        </w:numPr>
        <w:jc w:val="both"/>
        <w:rPr/>
      </w:pPr>
      <w:r>
        <w:rPr/>
        <w:t>Unidad para archivos de data, los archivos de datos MDF y NDF.</w:t>
      </w:r>
    </w:p>
    <w:p>
      <w:pPr>
        <w:pStyle w:val="Normal"/>
        <w:numPr>
          <w:ilvl w:val="1"/>
          <w:numId w:val="1"/>
        </w:numPr>
        <w:jc w:val="both"/>
        <w:rPr/>
      </w:pPr>
      <w:r>
        <w:rPr/>
        <w:t>Unidad para archivos de logs, los archivos de logs LDF.</w:t>
      </w:r>
    </w:p>
    <w:p>
      <w:pPr>
        <w:pStyle w:val="Normal"/>
        <w:numPr>
          <w:ilvl w:val="0"/>
          <w:numId w:val="1"/>
        </w:numPr>
        <w:jc w:val="both"/>
        <w:rPr/>
      </w:pPr>
      <w:r>
        <w:rPr/>
        <w:t>En bases de datos muy grandes se debe considerar la separación de la data en varios archivos creando así NDF esto puede validarse posterior a todos los cambios ya que estos se podrían ubicar en una unidad separada para no compartir IO.</w:t>
      </w:r>
    </w:p>
    <w:p>
      <w:pPr>
        <w:pStyle w:val="Normal"/>
        <w:numPr>
          <w:ilvl w:val="0"/>
          <w:numId w:val="1"/>
        </w:numPr>
        <w:jc w:val="both"/>
        <w:rPr/>
      </w:pPr>
      <w:r>
        <w:rPr/>
        <w:t>En tablas muy grandes se debe analizar aplicar un table partitioning y con esto mejorar el rendimiento.</w:t>
      </w:r>
    </w:p>
    <w:p>
      <w:pPr>
        <w:pStyle w:val="Normal"/>
        <w:numPr>
          <w:ilvl w:val="0"/>
          <w:numId w:val="1"/>
        </w:numPr>
        <w:jc w:val="both"/>
        <w:rPr/>
      </w:pPr>
      <w:r>
        <w:rPr/>
        <w:t>Se debe de implementar un proceso de depuración y movimiento de data, esto quiere decir dejar el servidor principal con la data necesaria para transaccionar y enviar el resto de información a una base de datos en otra instancia definiendo políticas de retención para el movimiento y la eliminación por medio de un ETL.</w:t>
      </w:r>
    </w:p>
    <w:p>
      <w:pPr>
        <w:pStyle w:val="Normal"/>
        <w:numPr>
          <w:ilvl w:val="0"/>
          <w:numId w:val="1"/>
        </w:numPr>
        <w:jc w:val="both"/>
        <w:rPr/>
      </w:pPr>
      <w:r>
        <w:rPr/>
        <w:t>Se debe de crear una base de datos de monitoreo y mantenimiento continuo de la instancia para evitar problemas de degradación y de esta manera mantener la base de datos en optimo estado.</w:t>
      </w:r>
    </w:p>
    <w:p>
      <w:pPr>
        <w:pStyle w:val="Normal"/>
        <w:numPr>
          <w:ilvl w:val="0"/>
          <w:numId w:val="1"/>
        </w:numPr>
        <w:jc w:val="both"/>
        <w:rPr/>
      </w:pPr>
      <w:r>
        <w:rPr/>
        <w:t>Antes de ejecutar un rebuild de indices se debe de analizar la posibilidad de realizarlo excluyendo la actualización de estadísticas en base el tamaño y tipo de indice y la actualización de estadísticas ejecutarlo por separado para tener un tiempo menor de indisponibilidad.</w:t>
      </w:r>
    </w:p>
    <w:p>
      <w:pPr>
        <w:pStyle w:val="Normal"/>
        <w:numPr>
          <w:ilvl w:val="0"/>
          <w:numId w:val="1"/>
        </w:numPr>
        <w:jc w:val="both"/>
        <w:rPr/>
      </w:pPr>
      <w:r>
        <w:rPr/>
        <w:t>Para obtener información de la base de datos para generar reportes o procesos adicionales se recomienda usar ETL para mover y procesar la información se pueden usar herramientas como SSIS.</w:t>
      </w:r>
    </w:p>
    <w:p>
      <w:pPr>
        <w:pStyle w:val="Normal"/>
        <w:numPr>
          <w:ilvl w:val="0"/>
          <w:numId w:val="1"/>
        </w:numPr>
        <w:jc w:val="both"/>
        <w:rPr/>
      </w:pPr>
      <w:r>
        <w:rPr/>
        <w:t>Se debe analizar la actualización del motor de base de datos o del modo de compatibilidad en caso ya este actualizado a la ultima versiona esto debido a que desde SQL Server 2019 se incluyen varias actualizaciones importantes con respecto al rendimiento.</w:t>
      </w:r>
    </w:p>
    <w:p>
      <w:pPr>
        <w:pStyle w:val="Normal"/>
        <w:numPr>
          <w:ilvl w:val="0"/>
          <w:numId w:val="1"/>
        </w:numPr>
        <w:jc w:val="both"/>
        <w:rPr/>
      </w:pPr>
      <w:r>
        <w:rPr/>
        <w:t>Este análisis se debe de realizar por cada base de datos de ambiente productivo y luego de estar un mínimo de 2 semanas uptime sin interrupciones.</w:t>
      </w:r>
    </w:p>
    <w:p>
      <w:pPr>
        <w:pStyle w:val="Normal"/>
        <w:numPr>
          <w:ilvl w:val="0"/>
          <w:numId w:val="1"/>
        </w:numPr>
        <w:jc w:val="both"/>
        <w:rPr/>
      </w:pPr>
      <w:r>
        <w:rPr/>
        <w:t>Luego de ir cambiando cada parámetro en una base de datos se debe de re analizar y monitorear el comportamiento para ir ajustando las configuraciones en base a los resultados.</w:t>
      </w:r>
    </w:p>
    <w:p>
      <w:pPr>
        <w:pStyle w:val="Normal"/>
        <w:numPr>
          <w:ilvl w:val="0"/>
          <w:numId w:val="1"/>
        </w:numPr>
        <w:jc w:val="both"/>
        <w:rPr/>
      </w:pPr>
      <w:r>
        <w:rPr/>
        <w:t>Se recomienda realizar análisis periódicamente para tener el mejor rendimiento posible.</w:t>
      </w:r>
      <w:r>
        <w:br w:type="page"/>
      </w:r>
    </w:p>
    <w:p>
      <w:pPr>
        <w:pStyle w:val="heading10"/>
        <w:pBdr>
          <w:bottom w:val="single" w:sz="6" w:space="1" w:color="2E75B6"/>
        </w:pBdr>
        <w:spacing w:before="0" w:after="120"/>
        <w:rPr>
          <w:lang w:val="es-EC"/>
        </w:rPr>
      </w:pPr>
      <w:bookmarkStart w:id="120" w:name="__RefHeading___Toc12490_3037558313"/>
      <w:bookmarkStart w:id="121" w:name="_Toc225746763"/>
      <w:bookmarkEnd w:id="120"/>
      <w:r>
        <w:rPr>
          <w:lang w:val="es-EC"/>
        </w:rPr>
        <w:t>6. Referencias Oficiales Microsoft</w:t>
      </w:r>
      <w:bookmarkEnd w:id="121"/>
    </w:p>
    <w:p>
      <w:pPr>
        <w:pStyle w:val="Normal"/>
        <w:spacing w:before="0" w:after="100"/>
        <w:rPr>
          <w:lang w:val="es-EC"/>
        </w:rPr>
      </w:pPr>
      <w:r>
        <w:rPr>
          <w:color w:val="000000"/>
          <w:lang w:val="es-EC"/>
        </w:rPr>
        <w:t>Todos los hallazgos y recomendaciones de este documento están respaldados por documentación oficial de Microsoft Learn. La siguiente tabla consolida las referencias utilizadas:</w:t>
      </w:r>
    </w:p>
    <w:p>
      <w:pPr>
        <w:pStyle w:val="Normal"/>
        <w:spacing w:before="0" w:after="80"/>
        <w:rPr>
          <w:lang w:val="es-EC"/>
        </w:rPr>
      </w:pPr>
      <w:r>
        <w:rPr>
          <w:lang w:val="es-EC"/>
        </w:rPr>
      </w:r>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1858"/>
        <w:gridCol w:w="2935"/>
        <w:gridCol w:w="3543"/>
        <w:gridCol w:w="1024"/>
      </w:tblGrid>
      <w:tr>
        <w:trPr>
          <w:tblHeader w:val="true"/>
        </w:trPr>
        <w:tc>
          <w:tcPr>
            <w:tcW w:w="1858"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Tema</w:t>
            </w:r>
          </w:p>
        </w:tc>
        <w:tc>
          <w:tcPr>
            <w:tcW w:w="2935"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Titulo Oficial</w:t>
            </w:r>
          </w:p>
        </w:tc>
        <w:tc>
          <w:tcPr>
            <w:tcW w:w="3543"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themeColor="background1" w:val="FFFFFF"/>
                <w:sz w:val="20"/>
                <w:szCs w:val="20"/>
                <w:lang w:val="es-EC"/>
              </w:rPr>
              <w:t>URL Microsoft Learn</w:t>
            </w:r>
          </w:p>
        </w:tc>
        <w:tc>
          <w:tcPr>
            <w:tcW w:w="1024"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Hallazgo</w:t>
            </w:r>
          </w:p>
        </w:tc>
      </w:tr>
      <w:tr>
        <w:trPr/>
        <w:tc>
          <w:tcPr>
            <w:tcW w:w="185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themeColor="text1" w:val="000000"/>
                <w:sz w:val="18"/>
                <w:szCs w:val="18"/>
                <w:lang w:val="es-EC"/>
              </w:rPr>
              <w:t>Transaction Log Backups</w:t>
            </w:r>
          </w:p>
        </w:tc>
        <w:tc>
          <w:tcPr>
            <w:tcW w:w="2935"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themeColor="text1" w:val="000000"/>
                <w:sz w:val="18"/>
                <w:szCs w:val="18"/>
                <w:lang w:val="es-EC"/>
              </w:rPr>
              <w:t>Transaction log backups - SQL Server</w:t>
            </w:r>
          </w:p>
        </w:tc>
        <w:tc>
          <w:tcPr>
            <w:tcW w:w="354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learn.microsoft.com/en-us/sql/relational-databases/backup-restore/transaction-log-backups-sql-server</w:t>
            </w:r>
          </w:p>
        </w:tc>
        <w:tc>
          <w:tcPr>
            <w:tcW w:w="1024"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H1</w:t>
            </w:r>
          </w:p>
        </w:tc>
      </w:tr>
      <w:tr>
        <w:trPr/>
        <w:tc>
          <w:tcPr>
            <w:tcW w:w="185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Transaction Log</w:t>
            </w:r>
          </w:p>
        </w:tc>
        <w:tc>
          <w:tcPr>
            <w:tcW w:w="2935"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The Transaction Log - SQL Server</w:t>
            </w:r>
          </w:p>
        </w:tc>
        <w:tc>
          <w:tcPr>
            <w:tcW w:w="354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learn.microsoft.com/en-us/sql/relational-databases/logs/the-transaction-log-sql-server</w:t>
            </w:r>
          </w:p>
        </w:tc>
        <w:tc>
          <w:tcPr>
            <w:tcW w:w="1024"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H1</w:t>
            </w:r>
          </w:p>
        </w:tc>
      </w:tr>
      <w:tr>
        <w:trPr/>
        <w:tc>
          <w:tcPr>
            <w:tcW w:w="185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Autogrow/Autoshrink</w:t>
            </w:r>
          </w:p>
        </w:tc>
        <w:tc>
          <w:tcPr>
            <w:tcW w:w="2935"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Considerations for the autogrow and autoshrink settings</w:t>
            </w:r>
          </w:p>
        </w:tc>
        <w:tc>
          <w:tcPr>
            <w:tcW w:w="354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learn.microsoft.com/en-us/troubleshoot/sql/database-engine/database-file-operations/considerations-autogrow-autoshrink</w:t>
            </w:r>
          </w:p>
        </w:tc>
        <w:tc>
          <w:tcPr>
            <w:tcW w:w="1024"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H2, H11</w:t>
            </w:r>
          </w:p>
        </w:tc>
      </w:tr>
      <w:tr>
        <w:trPr/>
        <w:tc>
          <w:tcPr>
            <w:tcW w:w="185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Mantenimiento de Indices</w:t>
            </w:r>
          </w:p>
        </w:tc>
        <w:tc>
          <w:tcPr>
            <w:tcW w:w="2935"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Reorganize and Rebuild Indexes</w:t>
            </w:r>
          </w:p>
        </w:tc>
        <w:tc>
          <w:tcPr>
            <w:tcW w:w="354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learn.microsoft.com/en-us/sql/relational-databases/indexes/reorganize-and-rebuild-indexes</w:t>
            </w:r>
          </w:p>
        </w:tc>
        <w:tc>
          <w:tcPr>
            <w:tcW w:w="1024"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H3</w:t>
            </w:r>
          </w:p>
        </w:tc>
      </w:tr>
      <w:tr>
        <w:trPr/>
        <w:tc>
          <w:tcPr>
            <w:tcW w:w="185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Estadisticas</w:t>
            </w:r>
          </w:p>
        </w:tc>
        <w:tc>
          <w:tcPr>
            <w:tcW w:w="2935"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themeColor="text1" w:val="000000"/>
                <w:sz w:val="18"/>
                <w:szCs w:val="18"/>
                <w:lang w:val="es-EC"/>
              </w:rPr>
              <w:t>Statistics - SQL Server</w:t>
            </w:r>
          </w:p>
        </w:tc>
        <w:tc>
          <w:tcPr>
            <w:tcW w:w="354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learn.microsoft.com/en-us/sql/relational-databases/statistics/statistics</w:t>
            </w:r>
          </w:p>
        </w:tc>
        <w:tc>
          <w:tcPr>
            <w:tcW w:w="1024"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H4</w:t>
            </w:r>
          </w:p>
        </w:tc>
      </w:tr>
      <w:tr>
        <w:trPr/>
        <w:tc>
          <w:tcPr>
            <w:tcW w:w="185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UPDATE STATISTICS</w:t>
            </w:r>
          </w:p>
        </w:tc>
        <w:tc>
          <w:tcPr>
            <w:tcW w:w="2935"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UPDATE STATISTICS (Transact-SQL)</w:t>
            </w:r>
          </w:p>
        </w:tc>
        <w:tc>
          <w:tcPr>
            <w:tcW w:w="354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learn.microsoft.com/en-us/sql/t-sql/statements/update-statistics-transact-sql</w:t>
            </w:r>
          </w:p>
        </w:tc>
        <w:tc>
          <w:tcPr>
            <w:tcW w:w="1024"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H4</w:t>
            </w:r>
          </w:p>
        </w:tc>
      </w:tr>
      <w:tr>
        <w:trPr/>
        <w:tc>
          <w:tcPr>
            <w:tcW w:w="185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MAXDOP</w:t>
            </w:r>
          </w:p>
        </w:tc>
        <w:tc>
          <w:tcPr>
            <w:tcW w:w="2935"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themeColor="text1" w:val="000000"/>
                <w:sz w:val="18"/>
                <w:szCs w:val="18"/>
                <w:lang w:val="es-EC"/>
              </w:rPr>
              <w:t>Server Configuration: max degree of parallelism</w:t>
            </w:r>
          </w:p>
        </w:tc>
        <w:tc>
          <w:tcPr>
            <w:tcW w:w="354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learn.microsoft.com/en-us/sql/database-engine/configure-windows/configure-the-max-degree-of-parallelism-server-configuration-option</w:t>
            </w:r>
          </w:p>
        </w:tc>
        <w:tc>
          <w:tcPr>
            <w:tcW w:w="1024"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H5</w:t>
            </w:r>
          </w:p>
        </w:tc>
      </w:tr>
      <w:tr>
        <w:trPr/>
        <w:tc>
          <w:tcPr>
            <w:tcW w:w="185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Cost Threshold Parallelism</w:t>
            </w:r>
          </w:p>
        </w:tc>
        <w:tc>
          <w:tcPr>
            <w:tcW w:w="2935"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Server configuration: cost threshold for parallelism</w:t>
            </w:r>
          </w:p>
        </w:tc>
        <w:tc>
          <w:tcPr>
            <w:tcW w:w="354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learn.microsoft.com/en-us/sql/database-engine/configure-windows/configure-the-cost-threshold-for-parallelism-server-configuration-option</w:t>
            </w:r>
          </w:p>
        </w:tc>
        <w:tc>
          <w:tcPr>
            <w:tcW w:w="1024"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H5</w:t>
            </w:r>
          </w:p>
        </w:tc>
      </w:tr>
      <w:tr>
        <w:trPr/>
        <w:tc>
          <w:tcPr>
            <w:tcW w:w="185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themeColor="text1" w:val="000000"/>
                <w:sz w:val="18"/>
                <w:szCs w:val="18"/>
                <w:lang w:val="es-EC"/>
              </w:rPr>
              <w:t>Wait Stats DMV</w:t>
            </w:r>
          </w:p>
        </w:tc>
        <w:tc>
          <w:tcPr>
            <w:tcW w:w="2935"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sys.dm_os_wait_stats (Transact-SQL)</w:t>
            </w:r>
          </w:p>
        </w:tc>
        <w:tc>
          <w:tcPr>
            <w:tcW w:w="354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learn.microsoft.com/en-us/sql/relational-databases/system-dynamic-management-views/sys-dm-os-wait-stats-transact-sql</w:t>
            </w:r>
          </w:p>
        </w:tc>
        <w:tc>
          <w:tcPr>
            <w:tcW w:w="1024"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H5, H7</w:t>
            </w:r>
          </w:p>
        </w:tc>
      </w:tr>
      <w:tr>
        <w:trPr/>
        <w:tc>
          <w:tcPr>
            <w:tcW w:w="185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Ad Hoc Workloads</w:t>
            </w:r>
          </w:p>
        </w:tc>
        <w:tc>
          <w:tcPr>
            <w:tcW w:w="2935"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Server Configuration: optimize for ad hoc workloads</w:t>
            </w:r>
          </w:p>
        </w:tc>
        <w:tc>
          <w:tcPr>
            <w:tcW w:w="354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learn.microsoft.com/en-us/sql/database-engine/configure-windows/optimize-for-ad-hoc-workloads-server-configuration-option</w:t>
            </w:r>
          </w:p>
        </w:tc>
        <w:tc>
          <w:tcPr>
            <w:tcW w:w="1024"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H6</w:t>
            </w:r>
          </w:p>
        </w:tc>
      </w:tr>
      <w:tr>
        <w:trPr/>
        <w:tc>
          <w:tcPr>
            <w:tcW w:w="185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RCSI</w:t>
            </w:r>
          </w:p>
        </w:tc>
        <w:tc>
          <w:tcPr>
            <w:tcW w:w="2935"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themeColor="text1" w:val="000000"/>
                <w:sz w:val="18"/>
                <w:szCs w:val="18"/>
                <w:lang w:val="es-EC"/>
              </w:rPr>
              <w:t>Transaction Locking and Row Versioning Guide</w:t>
            </w:r>
          </w:p>
        </w:tc>
        <w:tc>
          <w:tcPr>
            <w:tcW w:w="354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learn.microsoft.com/en-us/sql/relational-databases/sql-server-transaction-locking-and-row-versioning-guide</w:t>
            </w:r>
          </w:p>
        </w:tc>
        <w:tc>
          <w:tcPr>
            <w:tcW w:w="1024"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H7</w:t>
            </w:r>
          </w:p>
        </w:tc>
      </w:tr>
      <w:tr>
        <w:trPr/>
        <w:tc>
          <w:tcPr>
            <w:tcW w:w="185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Indices No Usados</w:t>
            </w:r>
          </w:p>
        </w:tc>
        <w:tc>
          <w:tcPr>
            <w:tcW w:w="2935"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sys.dm_db_index_usage_stats (Transact-SQL)</w:t>
            </w:r>
          </w:p>
        </w:tc>
        <w:tc>
          <w:tcPr>
            <w:tcW w:w="354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learn.microsoft.com/en-us/sql/relational-databases/system-dynamic-management-views/sys-dm-db-index-usage-stats-transact-sql</w:t>
            </w:r>
          </w:p>
        </w:tc>
        <w:tc>
          <w:tcPr>
            <w:tcW w:w="1024"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H8</w:t>
            </w:r>
          </w:p>
        </w:tc>
      </w:tr>
      <w:tr>
        <w:trPr/>
        <w:tc>
          <w:tcPr>
            <w:tcW w:w="185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Indices Faltantes</w:t>
            </w:r>
          </w:p>
        </w:tc>
        <w:tc>
          <w:tcPr>
            <w:tcW w:w="2935"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sys.dm_db_missing_index_details (Transact-SQL)</w:t>
            </w:r>
          </w:p>
        </w:tc>
        <w:tc>
          <w:tcPr>
            <w:tcW w:w="354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learn.microsoft.com/en-us/sql/relational-databases/system-dynamic-management-views/sys-dm-db-missing-index-details-transact-sql</w:t>
            </w:r>
          </w:p>
        </w:tc>
        <w:tc>
          <w:tcPr>
            <w:tcW w:w="1024"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H9</w:t>
            </w:r>
          </w:p>
        </w:tc>
      </w:tr>
      <w:tr>
        <w:trPr/>
        <w:tc>
          <w:tcPr>
            <w:tcW w:w="185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Compresion de Datos</w:t>
            </w:r>
          </w:p>
        </w:tc>
        <w:tc>
          <w:tcPr>
            <w:tcW w:w="2935"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Data compression - SQL Server</w:t>
            </w:r>
          </w:p>
        </w:tc>
        <w:tc>
          <w:tcPr>
            <w:tcW w:w="354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learn.microsoft.com/en-us/sql/relational-databases/data-compression/data-compression</w:t>
            </w:r>
          </w:p>
        </w:tc>
        <w:tc>
          <w:tcPr>
            <w:tcW w:w="1024"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H10</w:t>
            </w:r>
          </w:p>
        </w:tc>
      </w:tr>
      <w:tr>
        <w:trPr/>
        <w:tc>
          <w:tcPr>
            <w:tcW w:w="1858"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themeColor="text1" w:val="000000"/>
                <w:sz w:val="18"/>
                <w:szCs w:val="18"/>
                <w:lang w:val="es-EC"/>
              </w:rPr>
              <w:t>PAGE Compression</w:t>
            </w:r>
          </w:p>
        </w:tc>
        <w:tc>
          <w:tcPr>
            <w:tcW w:w="2935"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themeColor="text1" w:val="000000"/>
                <w:sz w:val="18"/>
                <w:szCs w:val="18"/>
                <w:lang w:val="es-EC"/>
              </w:rPr>
              <w:t>Page compression implementation - SQL Server</w:t>
            </w:r>
          </w:p>
        </w:tc>
        <w:tc>
          <w:tcPr>
            <w:tcW w:w="354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learn.microsoft.com/en-us/sql/relational-databases/data-compression/page-compression-implementation</w:t>
            </w:r>
          </w:p>
        </w:tc>
        <w:tc>
          <w:tcPr>
            <w:tcW w:w="1024"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H10</w:t>
            </w:r>
          </w:p>
        </w:tc>
      </w:tr>
      <w:tr>
        <w:trPr/>
        <w:tc>
          <w:tcPr>
            <w:tcW w:w="1858"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Max Server Memory</w:t>
            </w:r>
          </w:p>
        </w:tc>
        <w:tc>
          <w:tcPr>
            <w:tcW w:w="2935"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Server Memory Configuration Options</w:t>
            </w:r>
          </w:p>
        </w:tc>
        <w:tc>
          <w:tcPr>
            <w:tcW w:w="354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learn.microsoft.com/en-us/sql/database-engine/configure-windows/server-memory-server-configuration-options</w:t>
            </w:r>
          </w:p>
        </w:tc>
        <w:tc>
          <w:tcPr>
            <w:tcW w:w="1024"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General</w:t>
            </w:r>
          </w:p>
        </w:tc>
      </w:tr>
    </w:tbl>
    <w:p>
      <w:pPr>
        <w:pStyle w:val="Normal"/>
        <w:rPr>
          <w:lang w:val="es-EC"/>
        </w:rPr>
      </w:pPr>
      <w:r>
        <w:rPr>
          <w:lang w:val="es-EC"/>
        </w:rPr>
      </w:r>
      <w:r>
        <w:br w:type="page"/>
      </w:r>
    </w:p>
    <w:p>
      <w:pPr>
        <w:pStyle w:val="heading10"/>
        <w:pBdr>
          <w:bottom w:val="single" w:sz="6" w:space="1" w:color="2E75B6"/>
        </w:pBdr>
        <w:spacing w:before="0" w:after="120"/>
        <w:rPr>
          <w:lang w:val="es-EC"/>
        </w:rPr>
      </w:pPr>
      <w:bookmarkStart w:id="122" w:name="__RefHeading___Toc12492_3037558313"/>
      <w:bookmarkStart w:id="123" w:name="_Toc225746764"/>
      <w:bookmarkEnd w:id="122"/>
      <w:r>
        <w:rPr>
          <w:lang w:val="es-EC"/>
        </w:rPr>
        <w:t>7. Glosario</w:t>
      </w:r>
      <w:bookmarkEnd w:id="123"/>
    </w:p>
    <w:tbl>
      <w:tblPr>
        <w:tblW w:w="9360" w:type="dxa"/>
        <w:jc w:val="start"/>
        <w:tblInd w:w="0" w:type="dxa"/>
        <w:tblLayout w:type="fixed"/>
        <w:tblCellMar>
          <w:top w:w="60" w:type="dxa"/>
          <w:start w:w="100" w:type="dxa"/>
          <w:bottom w:w="60" w:type="dxa"/>
          <w:end w:w="100" w:type="dxa"/>
        </w:tblCellMar>
        <w:tblLook w:firstRow="1" w:noVBand="1" w:lastRow="0" w:firstColumn="1" w:lastColumn="0" w:noHBand="0" w:val="04a0"/>
      </w:tblPr>
      <w:tblGrid>
        <w:gridCol w:w="2197"/>
        <w:gridCol w:w="7163"/>
      </w:tblGrid>
      <w:tr>
        <w:trPr>
          <w:tblHeader w:val="true"/>
        </w:trPr>
        <w:tc>
          <w:tcPr>
            <w:tcW w:w="2197"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Termino</w:t>
            </w:r>
          </w:p>
        </w:tc>
        <w:tc>
          <w:tcPr>
            <w:tcW w:w="7163" w:type="dxa"/>
            <w:tcBorders>
              <w:top w:val="single" w:sz="2" w:space="0" w:color="2E75B6"/>
              <w:start w:val="single" w:sz="2" w:space="0" w:color="2E75B6"/>
              <w:bottom w:val="single" w:sz="2" w:space="0" w:color="2E75B6"/>
              <w:end w:val="single" w:sz="2" w:space="0" w:color="2E75B6"/>
            </w:tcBorders>
            <w:shd w:color="auto" w:fill="2E75B6" w:val="clear"/>
          </w:tcPr>
          <w:p>
            <w:pPr>
              <w:pStyle w:val="Normal"/>
              <w:rPr>
                <w:lang w:val="es-EC"/>
              </w:rPr>
            </w:pPr>
            <w:r>
              <w:rPr>
                <w:b/>
                <w:bCs/>
                <w:color w:val="FFFFFF"/>
                <w:sz w:val="20"/>
                <w:szCs w:val="20"/>
                <w:lang w:val="es-EC"/>
              </w:rPr>
              <w:t>Definición</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Buffer Pool</w:t>
            </w:r>
          </w:p>
        </w:tc>
        <w:tc>
          <w:tcPr>
            <w:tcW w:w="7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Componente principal de la gestión de memoria de SQL Server. Almacena en RAM las paginas de datos e indices leídas desde disco, evitando lecturas físicas repetidas.</w:t>
            </w:r>
          </w:p>
        </w:tc>
      </w:tr>
      <w:tr>
        <w:trPr/>
        <w:tc>
          <w:tcPr>
            <w:tcW w:w="21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Clustered Index</w:t>
            </w:r>
          </w:p>
        </w:tc>
        <w:tc>
          <w:tcPr>
            <w:tcW w:w="7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Indice que determina el orden físico de almacenamiento de las filas en una tabla. Cada tabla puede tener solo un clustered index.</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CXPACKET</w:t>
            </w:r>
          </w:p>
        </w:tc>
        <w:tc>
          <w:tcPr>
            <w:tcW w:w="7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Wait type de SQL Server que indica espera de sincronización entre hilos paralelos en un plan de consulta. Valores elevados sugieren paralelismo excesivo.</w:t>
            </w:r>
          </w:p>
        </w:tc>
      </w:tr>
      <w:tr>
        <w:trPr/>
        <w:tc>
          <w:tcPr>
            <w:tcW w:w="21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Fragmentación</w:t>
            </w:r>
          </w:p>
        </w:tc>
        <w:tc>
          <w:tcPr>
            <w:tcW w:w="7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Condición en la que el orden lógico de las paginas de un indice no coincide con su orden físico en disco, degradando la eficiencia de las lecturas secuenciales.</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HEAP</w:t>
            </w:r>
          </w:p>
        </w:tc>
        <w:tc>
          <w:tcPr>
            <w:tcW w:w="7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Tabla sin clustered index. Las filas se almacenan sin orden definido. Menos eficiente para consultas de rango y puede generar forwarded records con operaciones UPDATE.</w:t>
            </w:r>
          </w:p>
        </w:tc>
      </w:tr>
      <w:tr>
        <w:trPr/>
        <w:tc>
          <w:tcPr>
            <w:tcW w:w="21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MAXDOP</w:t>
            </w:r>
          </w:p>
        </w:tc>
        <w:tc>
          <w:tcPr>
            <w:tcW w:w="7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Max Degree of Parallelism. Parametro de SQL Server que limita el número de procesadores que puede utilizar una consulta paralela.</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Plan Cache</w:t>
            </w:r>
          </w:p>
        </w:tc>
        <w:tc>
          <w:tcPr>
            <w:tcW w:w="7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Área de memoria donde SQL Server almacena los planes de ejecución compilados de consultas y procedimientos almacenados para su reutilización.</w:t>
            </w:r>
          </w:p>
        </w:tc>
      </w:tr>
      <w:tr>
        <w:trPr/>
        <w:tc>
          <w:tcPr>
            <w:tcW w:w="21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PAGEIOLATCH_SH</w:t>
            </w:r>
          </w:p>
        </w:tc>
        <w:tc>
          <w:tcPr>
            <w:tcW w:w="7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Wait type que indica espera de I/O de lectura sobre una pagina de datos. Valores elevados sugieren presión de I/O en disco o baja eficiencia de lecturas por fragmentación.</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RCSI</w:t>
            </w:r>
          </w:p>
        </w:tc>
        <w:tc>
          <w:tcPr>
            <w:tcW w:w="7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Read-Committed Snapshot Isolation. Mecanismo de concurrencia que permite lecturas sin bloqueo mediante versionado de filas en tempdb.</w:t>
            </w:r>
          </w:p>
        </w:tc>
      </w:tr>
      <w:tr>
        <w:trPr/>
        <w:tc>
          <w:tcPr>
            <w:tcW w:w="21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REBUILD</w:t>
            </w:r>
          </w:p>
        </w:tc>
        <w:tc>
          <w:tcPr>
            <w:tcW w:w="7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Operación que elimina y recrea un indice completamente, eliminando fragmentación en todos los niveles y actualizando estadísticas con FULLSCAN.</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REORGANIZE</w:t>
            </w:r>
          </w:p>
        </w:tc>
        <w:tc>
          <w:tcPr>
            <w:tcW w:w="7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Operación que desfragmenta solo el nivel hoja de un indice de forma online y con bajo impacto en recursos. No actualiza estadísticas.</w:t>
            </w:r>
          </w:p>
        </w:tc>
      </w:tr>
      <w:tr>
        <w:trPr/>
        <w:tc>
          <w:tcPr>
            <w:tcW w:w="21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RPO</w:t>
            </w:r>
          </w:p>
        </w:tc>
        <w:tc>
          <w:tcPr>
            <w:tcW w:w="7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Recovery Point Objective. Cantidad máxima de datos que una organización puede permitirse perder en caso de fallo, medida en tiempo.</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Estadísticas</w:t>
            </w:r>
          </w:p>
        </w:tc>
        <w:tc>
          <w:tcPr>
            <w:tcW w:w="7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Objetos de metadatos que el optimizador de consultas utiliza para estimar la cardinalidad de las filas que cumplen los predicados de una consulta.</w:t>
            </w:r>
          </w:p>
        </w:tc>
      </w:tr>
      <w:tr>
        <w:trPr/>
        <w:tc>
          <w:tcPr>
            <w:tcW w:w="21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Transaction Log</w:t>
            </w:r>
          </w:p>
        </w:tc>
        <w:tc>
          <w:tcPr>
            <w:tcW w:w="7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Archivo de SQL Server que registra todas las modificaciones de datos para garantizar la atomicidad y recuperabilidad de las transacciones.</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VLF</w:t>
            </w:r>
          </w:p>
        </w:tc>
        <w:tc>
          <w:tcPr>
            <w:tcW w:w="7163" w:type="dxa"/>
            <w:tcBorders>
              <w:top w:val="single" w:sz="2" w:space="0" w:color="CCCCCC"/>
              <w:start w:val="single" w:sz="2" w:space="0" w:color="CCCCCC"/>
              <w:bottom w:val="single" w:sz="2" w:space="0" w:color="CCCCCC"/>
              <w:end w:val="single" w:sz="2" w:space="0" w:color="CCCCCC"/>
            </w:tcBorders>
            <w:shd w:color="auto" w:fill="FFFFFF" w:themeFill="background1" w:val="clear"/>
            <w:tcMar>
              <w:top w:w="50" w:type="dxa"/>
              <w:bottom w:w="50" w:type="dxa"/>
            </w:tcMar>
          </w:tcPr>
          <w:p>
            <w:pPr>
              <w:pStyle w:val="Normal"/>
              <w:rPr>
                <w:lang w:val="es-EC"/>
              </w:rPr>
            </w:pPr>
            <w:r>
              <w:rPr>
                <w:color w:val="000000"/>
                <w:sz w:val="18"/>
                <w:szCs w:val="18"/>
                <w:lang w:val="es-EC"/>
              </w:rPr>
              <w:t>Virtual Log File. Subdivisión interna del transaction log. Un numero excesivo de VLFs degrada el rendimiento de arranque de la base de datos y las operaciones de backup y restore.</w:t>
            </w:r>
          </w:p>
        </w:tc>
      </w:tr>
      <w:tr>
        <w:trPr/>
        <w:tc>
          <w:tcPr>
            <w:tcW w:w="2197"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themeColor="text1" w:val="000000"/>
                <w:sz w:val="18"/>
                <w:szCs w:val="18"/>
                <w:lang w:val="es-EC"/>
              </w:rPr>
              <w:t>Version Store</w:t>
            </w:r>
          </w:p>
        </w:tc>
        <w:tc>
          <w:tcPr>
            <w:tcW w:w="7163" w:type="dxa"/>
            <w:tcBorders>
              <w:top w:val="single" w:sz="2" w:space="0" w:color="CCCCCC"/>
              <w:start w:val="single" w:sz="2" w:space="0" w:color="CCCCCC"/>
              <w:bottom w:val="single" w:sz="2" w:space="0" w:color="CCCCCC"/>
              <w:end w:val="single" w:sz="2" w:space="0" w:color="CCCCCC"/>
            </w:tcBorders>
            <w:shd w:color="auto" w:fill="F2F2F2" w:themeFill="background1" w:themeFillShade="f2" w:val="clear"/>
            <w:tcMar>
              <w:top w:w="50" w:type="dxa"/>
              <w:bottom w:w="50" w:type="dxa"/>
            </w:tcMar>
          </w:tcPr>
          <w:p>
            <w:pPr>
              <w:pStyle w:val="Normal"/>
              <w:rPr>
                <w:lang w:val="es-EC"/>
              </w:rPr>
            </w:pPr>
            <w:r>
              <w:rPr>
                <w:color w:val="000000"/>
                <w:sz w:val="18"/>
                <w:szCs w:val="18"/>
                <w:lang w:val="es-EC"/>
              </w:rPr>
              <w:t>Área de tempdb donde SQL Server almacena las versiones anteriores de filas cuando RCSI o Snapshot Isolation están habilitados.</w:t>
            </w:r>
          </w:p>
        </w:tc>
      </w:tr>
    </w:tbl>
    <w:p>
      <w:pPr>
        <w:pStyle w:val="Normal"/>
        <w:spacing w:before="0" w:after="240"/>
        <w:rPr>
          <w:lang w:val="es-EC"/>
        </w:rPr>
      </w:pPr>
      <w:r>
        <w:rPr>
          <w:lang w:val="es-EC"/>
        </w:rPr>
      </w:r>
    </w:p>
    <w:p>
      <w:pPr>
        <w:pStyle w:val="Normal"/>
        <w:spacing w:before="240" w:after="0"/>
        <w:jc w:val="center"/>
        <w:rPr>
          <w:lang w:val="es-EC"/>
        </w:rPr>
      </w:pPr>
      <w:r>
        <w:rPr>
          <w:i/>
          <w:iCs/>
          <w:color w:val="2E75B6"/>
          <w:sz w:val="20"/>
          <w:szCs w:val="20"/>
          <w:lang w:val="es-EC"/>
        </w:rPr>
        <w:t>- Fin del Documento -</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swiss"/>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rPr/>
    </w:pPr>
    <w:r>
      <w:rPr>
        <w:color w:val="2E75B6"/>
        <w:sz w:val="18"/>
        <w:szCs w:val="18"/>
        <w:lang w:val="en-US"/>
      </w:rPr>
      <w:t xml:space="preserve">Pagina </w:t>
    </w:r>
    <w:r>
      <w:rPr>
        <w:color w:val="2E75B6"/>
        <w:sz w:val="18"/>
        <w:szCs w:val="18"/>
      </w:rPr>
      <w:fldChar w:fldCharType="begin"/>
    </w:r>
    <w:r>
      <w:rPr>
        <w:color w:val="2E75B6"/>
        <w:sz w:val="18"/>
        <w:szCs w:val="18"/>
      </w:rPr>
      <w:instrText xml:space="preserve"> PAGE </w:instrText>
    </w:r>
    <w:r>
      <w:rPr>
        <w:color w:val="2E75B6"/>
        <w:sz w:val="18"/>
        <w:szCs w:val="18"/>
      </w:rPr>
      <w:fldChar w:fldCharType="separate"/>
    </w:r>
    <w:r>
      <w:rPr>
        <w:color w:val="2E75B6"/>
        <w:sz w:val="18"/>
        <w:szCs w:val="18"/>
      </w:rPr>
      <w:t>3</w:t>
    </w:r>
    <w:r>
      <w:rPr>
        <w:color w:val="2E75B6"/>
        <w:sz w:val="18"/>
        <w:szCs w:val="18"/>
      </w:rPr>
      <w:fldChar w:fldCharType="end"/>
    </w:r>
    <w:r>
      <w:rPr>
        <w:color w:val="2E75B6"/>
        <w:sz w:val="18"/>
        <w:szCs w:val="18"/>
        <w:lang w:val="en-US"/>
      </w:rPr>
      <w:t xml:space="preserve"> de </w:t>
    </w:r>
    <w:r>
      <w:rPr>
        <w:color w:val="2E75B6"/>
        <w:sz w:val="18"/>
        <w:szCs w:val="18"/>
      </w:rPr>
      <w:fldChar w:fldCharType="begin"/>
    </w:r>
    <w:r>
      <w:rPr>
        <w:color w:val="2E75B6"/>
        <w:sz w:val="18"/>
        <w:szCs w:val="18"/>
      </w:rPr>
      <w:instrText xml:space="preserve"> NUMPAGES </w:instrText>
    </w:r>
    <w:r>
      <w:rPr>
        <w:color w:val="2E75B6"/>
        <w:sz w:val="18"/>
        <w:szCs w:val="18"/>
      </w:rPr>
      <w:fldChar w:fldCharType="separate"/>
    </w:r>
    <w:r>
      <w:rPr>
        <w:color w:val="2E75B6"/>
        <w:sz w:val="18"/>
        <w:szCs w:val="18"/>
      </w:rPr>
      <w:t>23</w:t>
    </w:r>
    <w:r>
      <w:rPr>
        <w:color w:val="2E75B6"/>
        <w:sz w:val="18"/>
        <w:szCs w:val="18"/>
      </w:rPr>
      <w:fldChar w:fldCharType="end"/>
    </w:r>
    <w:r>
      <w:rPr>
        <w:color w:val="2E75B6"/>
        <w:sz w:val="18"/>
        <w:szCs w:val="18"/>
        <w:lang w:val="en-US"/>
      </w:rPr>
      <w:t xml:space="preserve">     |     Version 1.0     |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rPr/>
    </w:pPr>
    <w:r>
      <w:rPr>
        <w:color w:val="2E75B6"/>
        <w:sz w:val="18"/>
        <w:szCs w:val="18"/>
        <w:lang w:val="en-US"/>
      </w:rPr>
      <w:t xml:space="preserve">Pagina </w:t>
    </w:r>
    <w:r>
      <w:rPr>
        <w:color w:val="2E75B6"/>
        <w:sz w:val="18"/>
        <w:szCs w:val="18"/>
      </w:rPr>
      <w:fldChar w:fldCharType="begin"/>
    </w:r>
    <w:r>
      <w:rPr>
        <w:color w:val="2E75B6"/>
        <w:sz w:val="18"/>
        <w:szCs w:val="18"/>
      </w:rPr>
      <w:instrText xml:space="preserve"> PAGE </w:instrText>
    </w:r>
    <w:r>
      <w:rPr>
        <w:color w:val="2E75B6"/>
        <w:sz w:val="18"/>
        <w:szCs w:val="18"/>
      </w:rPr>
      <w:fldChar w:fldCharType="separate"/>
    </w:r>
    <w:r>
      <w:rPr>
        <w:color w:val="2E75B6"/>
        <w:sz w:val="18"/>
        <w:szCs w:val="18"/>
      </w:rPr>
      <w:t>3</w:t>
    </w:r>
    <w:r>
      <w:rPr>
        <w:color w:val="2E75B6"/>
        <w:sz w:val="18"/>
        <w:szCs w:val="18"/>
      </w:rPr>
      <w:fldChar w:fldCharType="end"/>
    </w:r>
    <w:r>
      <w:rPr>
        <w:color w:val="2E75B6"/>
        <w:sz w:val="18"/>
        <w:szCs w:val="18"/>
        <w:lang w:val="en-US"/>
      </w:rPr>
      <w:t xml:space="preserve"> de </w:t>
    </w:r>
    <w:r>
      <w:rPr>
        <w:color w:val="2E75B6"/>
        <w:sz w:val="18"/>
        <w:szCs w:val="18"/>
      </w:rPr>
      <w:fldChar w:fldCharType="begin"/>
    </w:r>
    <w:r>
      <w:rPr>
        <w:color w:val="2E75B6"/>
        <w:sz w:val="18"/>
        <w:szCs w:val="18"/>
      </w:rPr>
      <w:instrText xml:space="preserve"> NUMPAGES </w:instrText>
    </w:r>
    <w:r>
      <w:rPr>
        <w:color w:val="2E75B6"/>
        <w:sz w:val="18"/>
        <w:szCs w:val="18"/>
      </w:rPr>
      <w:fldChar w:fldCharType="separate"/>
    </w:r>
    <w:r>
      <w:rPr>
        <w:color w:val="2E75B6"/>
        <w:sz w:val="18"/>
        <w:szCs w:val="18"/>
      </w:rPr>
      <w:t>23</w:t>
    </w:r>
    <w:r>
      <w:rPr>
        <w:color w:val="2E75B6"/>
        <w:sz w:val="18"/>
        <w:szCs w:val="18"/>
      </w:rPr>
      <w:fldChar w:fldCharType="end"/>
    </w:r>
    <w:r>
      <w:rPr>
        <w:color w:val="2E75B6"/>
        <w:sz w:val="18"/>
        <w:szCs w:val="18"/>
        <w:lang w:val="en-US"/>
      </w:rPr>
      <w:t xml:space="preserve">     |     Version 1.0     |     2026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rPr>
        <w:lang w:val="es-EC" w:eastAsia="ja-JP" w:bidi="ar-SA"/>
      </w:rPr>
    </w:pPr>
    <w:r>
      <w:rPr>
        <w:color w:val="2E75B6"/>
        <w:sz w:val="18"/>
        <w:szCs w:val="18"/>
        <w:lang w:val="es-EC" w:eastAsia="ja-JP" w:bidi="ar-SA"/>
      </w:rPr>
      <w:t xml:space="preserve">Página </w:t>
    </w:r>
    <w:r>
      <w:rPr>
        <w:color w:val="2E75B6"/>
        <w:sz w:val="18"/>
        <w:szCs w:val="18"/>
        <w:lang w:val="es-EC" w:eastAsia="ja-JP" w:bidi="ar-SA"/>
      </w:rPr>
      <w:fldChar w:fldCharType="begin"/>
    </w:r>
    <w:r>
      <w:rPr>
        <w:color w:val="2E75B6"/>
        <w:sz w:val="18"/>
        <w:szCs w:val="18"/>
        <w:lang w:val="es-EC" w:eastAsia="ja-JP" w:bidi="ar-SA"/>
      </w:rPr>
      <w:instrText xml:space="preserve"> PAGE </w:instrText>
    </w:r>
    <w:r>
      <w:rPr>
        <w:color w:val="2E75B6"/>
        <w:sz w:val="18"/>
        <w:szCs w:val="18"/>
        <w:lang w:val="es-EC" w:eastAsia="ja-JP" w:bidi="ar-SA"/>
      </w:rPr>
      <w:fldChar w:fldCharType="separate"/>
    </w:r>
    <w:r>
      <w:rPr>
        <w:color w:val="2E75B6"/>
        <w:sz w:val="18"/>
        <w:szCs w:val="18"/>
        <w:lang w:val="es-EC" w:eastAsia="ja-JP" w:bidi="ar-SA"/>
      </w:rPr>
      <w:t>23</w:t>
    </w:r>
    <w:r>
      <w:rPr>
        <w:color w:val="2E75B6"/>
        <w:sz w:val="18"/>
        <w:szCs w:val="18"/>
        <w:lang w:val="es-EC" w:eastAsia="ja-JP" w:bidi="ar-SA"/>
      </w:rPr>
      <w:fldChar w:fldCharType="end"/>
    </w:r>
    <w:r>
      <w:rPr>
        <w:color w:val="2E75B6"/>
        <w:sz w:val="18"/>
        <w:szCs w:val="18"/>
        <w:lang w:val="es-EC" w:eastAsia="ja-JP" w:bidi="ar-SA"/>
      </w:rPr>
      <w:t xml:space="preserve"> de </w:t>
    </w:r>
    <w:r>
      <w:rPr>
        <w:color w:val="2E75B6"/>
        <w:sz w:val="18"/>
        <w:szCs w:val="18"/>
        <w:lang w:val="es-EC" w:eastAsia="ja-JP" w:bidi="ar-SA"/>
      </w:rPr>
      <w:fldChar w:fldCharType="begin"/>
    </w:r>
    <w:r>
      <w:rPr>
        <w:color w:val="2E75B6"/>
        <w:sz w:val="18"/>
        <w:szCs w:val="18"/>
        <w:lang w:val="es-EC" w:eastAsia="ja-JP" w:bidi="ar-SA"/>
      </w:rPr>
      <w:instrText xml:space="preserve"> NUMPAGES </w:instrText>
    </w:r>
    <w:r>
      <w:rPr>
        <w:color w:val="2E75B6"/>
        <w:sz w:val="18"/>
        <w:szCs w:val="18"/>
        <w:lang w:val="es-EC" w:eastAsia="ja-JP" w:bidi="ar-SA"/>
      </w:rPr>
      <w:fldChar w:fldCharType="separate"/>
    </w:r>
    <w:r>
      <w:rPr>
        <w:color w:val="2E75B6"/>
        <w:sz w:val="18"/>
        <w:szCs w:val="18"/>
        <w:lang w:val="es-EC" w:eastAsia="ja-JP" w:bidi="ar-SA"/>
      </w:rPr>
      <w:t>23</w:t>
    </w:r>
    <w:r>
      <w:rPr>
        <w:color w:val="2E75B6"/>
        <w:sz w:val="18"/>
        <w:szCs w:val="18"/>
        <w:lang w:val="es-EC" w:eastAsia="ja-JP" w:bidi="ar-SA"/>
      </w:rPr>
      <w:fldChar w:fldCharType="end"/>
    </w:r>
    <w:r>
      <w:rPr>
        <w:color w:val="2E75B6"/>
        <w:sz w:val="18"/>
        <w:szCs w:val="18"/>
        <w:lang w:val="es-EC" w:eastAsia="ja-JP" w:bidi="ar-SA"/>
      </w:rPr>
      <w:t xml:space="preserve">     |     Versión 1.0     |     2026</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rPr>
        <w:lang w:val="es-EC" w:eastAsia="ja-JP" w:bidi="ar-SA"/>
      </w:rPr>
    </w:pPr>
    <w:r>
      <w:rPr>
        <w:color w:val="2E75B6"/>
        <w:sz w:val="18"/>
        <w:szCs w:val="18"/>
        <w:lang w:val="es-EC" w:eastAsia="ja-JP" w:bidi="ar-SA"/>
      </w:rPr>
      <w:t xml:space="preserve">Página </w:t>
    </w:r>
    <w:r>
      <w:rPr>
        <w:color w:val="2E75B6"/>
        <w:sz w:val="18"/>
        <w:szCs w:val="18"/>
        <w:lang w:val="es-EC" w:eastAsia="ja-JP" w:bidi="ar-SA"/>
      </w:rPr>
      <w:fldChar w:fldCharType="begin"/>
    </w:r>
    <w:r>
      <w:rPr>
        <w:color w:val="2E75B6"/>
        <w:sz w:val="18"/>
        <w:szCs w:val="18"/>
        <w:lang w:val="es-EC" w:eastAsia="ja-JP" w:bidi="ar-SA"/>
      </w:rPr>
      <w:instrText xml:space="preserve"> PAGE </w:instrText>
    </w:r>
    <w:r>
      <w:rPr>
        <w:color w:val="2E75B6"/>
        <w:sz w:val="18"/>
        <w:szCs w:val="18"/>
        <w:lang w:val="es-EC" w:eastAsia="ja-JP" w:bidi="ar-SA"/>
      </w:rPr>
      <w:fldChar w:fldCharType="separate"/>
    </w:r>
    <w:r>
      <w:rPr>
        <w:color w:val="2E75B6"/>
        <w:sz w:val="18"/>
        <w:szCs w:val="18"/>
        <w:lang w:val="es-EC" w:eastAsia="ja-JP" w:bidi="ar-SA"/>
      </w:rPr>
      <w:t>23</w:t>
    </w:r>
    <w:r>
      <w:rPr>
        <w:color w:val="2E75B6"/>
        <w:sz w:val="18"/>
        <w:szCs w:val="18"/>
        <w:lang w:val="es-EC" w:eastAsia="ja-JP" w:bidi="ar-SA"/>
      </w:rPr>
      <w:fldChar w:fldCharType="end"/>
    </w:r>
    <w:r>
      <w:rPr>
        <w:color w:val="2E75B6"/>
        <w:sz w:val="18"/>
        <w:szCs w:val="18"/>
        <w:lang w:val="es-EC" w:eastAsia="ja-JP" w:bidi="ar-SA"/>
      </w:rPr>
      <w:t xml:space="preserve"> de </w:t>
    </w:r>
    <w:r>
      <w:rPr>
        <w:color w:val="2E75B6"/>
        <w:sz w:val="18"/>
        <w:szCs w:val="18"/>
        <w:lang w:val="es-EC" w:eastAsia="ja-JP" w:bidi="ar-SA"/>
      </w:rPr>
      <w:fldChar w:fldCharType="begin"/>
    </w:r>
    <w:r>
      <w:rPr>
        <w:color w:val="2E75B6"/>
        <w:sz w:val="18"/>
        <w:szCs w:val="18"/>
        <w:lang w:val="es-EC" w:eastAsia="ja-JP" w:bidi="ar-SA"/>
      </w:rPr>
      <w:instrText xml:space="preserve"> NUMPAGES </w:instrText>
    </w:r>
    <w:r>
      <w:rPr>
        <w:color w:val="2E75B6"/>
        <w:sz w:val="18"/>
        <w:szCs w:val="18"/>
        <w:lang w:val="es-EC" w:eastAsia="ja-JP" w:bidi="ar-SA"/>
      </w:rPr>
      <w:fldChar w:fldCharType="separate"/>
    </w:r>
    <w:r>
      <w:rPr>
        <w:color w:val="2E75B6"/>
        <w:sz w:val="18"/>
        <w:szCs w:val="18"/>
        <w:lang w:val="es-EC" w:eastAsia="ja-JP" w:bidi="ar-SA"/>
      </w:rPr>
      <w:t>23</w:t>
    </w:r>
    <w:r>
      <w:rPr>
        <w:color w:val="2E75B6"/>
        <w:sz w:val="18"/>
        <w:szCs w:val="18"/>
        <w:lang w:val="es-EC" w:eastAsia="ja-JP" w:bidi="ar-SA"/>
      </w:rPr>
      <w:fldChar w:fldCharType="end"/>
    </w:r>
    <w:r>
      <w:rPr>
        <w:color w:val="2E75B6"/>
        <w:sz w:val="18"/>
        <w:szCs w:val="18"/>
        <w:lang w:val="es-EC" w:eastAsia="ja-JP" w:bidi="ar-SA"/>
      </w:rPr>
      <w:t xml:space="preserve">     |     Versión 1.0     |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80"/>
      <w:rPr>
        <w:color w:val="2E75B6"/>
        <w:sz w:val="18"/>
        <w:szCs w:val="18"/>
        <w:lang w:val="en-US"/>
      </w:rPr>
    </w:pPr>
    <w:r>
      <w:rPr>
        <w:color w:val="2E75B6"/>
        <w:sz w:val="18"/>
        <w:szCs w:val="18"/>
        <w:lang w:val="es-ES" w:eastAsia="ja-JP" w:bidi="ar-SA"/>
      </w:rPr>
      <w:t>HIBERUS  |  Análisis de Rendimiento de Bases de Datos  |  MULTICINES  |  Confidenci</w:t>
    </w:r>
    <w:r>
      <w:rPr>
        <w:color w:val="2E75B6"/>
        <w:sz w:val="18"/>
        <w:szCs w:val="18"/>
        <w:lang w:val="en-US"/>
      </w:rPr>
      <w:t>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80"/>
      <w:rPr>
        <w:color w:val="2E75B6"/>
        <w:sz w:val="18"/>
        <w:szCs w:val="18"/>
        <w:lang w:val="en-US"/>
      </w:rPr>
    </w:pPr>
    <w:r>
      <w:rPr>
        <w:color w:val="2E75B6"/>
        <w:sz w:val="18"/>
        <w:szCs w:val="18"/>
        <w:lang w:val="es-ES" w:eastAsia="ja-JP" w:bidi="ar-SA"/>
      </w:rPr>
      <w:t>HIBERUS  |  Análisis de Rendimiento de Bases de Datos  |  MULTICINES  |  Confidenci</w:t>
    </w:r>
    <w:r>
      <w:rPr>
        <w:color w:val="2E75B6"/>
        <w:sz w:val="18"/>
        <w:szCs w:val="18"/>
        <w:lang w:val="en-US"/>
      </w:rPr>
      <w:t>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80"/>
      <w:rPr>
        <w:lang w:val="es-EC"/>
      </w:rPr>
    </w:pPr>
    <w:r>
      <w:rPr>
        <w:color w:val="2E75B6"/>
        <w:sz w:val="18"/>
        <w:szCs w:val="18"/>
        <w:lang w:val="es-EC"/>
      </w:rPr>
      <w:t>HIBERUS  |  Análisis de Rendimiento de Bases de Datos  |  MULTICINES  |  Confidencial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80"/>
      <w:rPr>
        <w:lang w:val="es-EC"/>
      </w:rPr>
    </w:pPr>
    <w:r>
      <w:rPr>
        <w:color w:val="2E75B6"/>
        <w:sz w:val="18"/>
        <w:szCs w:val="18"/>
        <w:lang w:val="es-EC"/>
      </w:rPr>
      <w:t>HIBERUS  |  Análisis de Rendimiento de Bases de Datos  |  MULTICINES  |  Confidencial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20"/>
  <w:revisionView w:insDel="0" w:formatting="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rial" w:hAnsi="Arial" w:eastAsia="Arial" w:cs="Arial"/>
      <w:color w:val="auto"/>
      <w:kern w:val="0"/>
      <w:sz w:val="22"/>
      <w:szCs w:val="22"/>
      <w:lang w:val="es-ES" w:eastAsia="ja-JP" w:bidi="ar-SA"/>
    </w:rPr>
  </w:style>
  <w:style w:type="paragraph" w:styleId="Heading1">
    <w:name w:val="heading 1"/>
    <w:uiPriority w:val="9"/>
    <w:qFormat/>
    <w:pPr>
      <w:widowControl/>
      <w:suppressAutoHyphens w:val="true"/>
      <w:bidi w:val="0"/>
      <w:spacing w:before="0" w:after="0"/>
      <w:jc w:val="start"/>
      <w:outlineLvl w:val="0"/>
    </w:pPr>
    <w:rPr>
      <w:rFonts w:ascii="Arial" w:hAnsi="Arial" w:eastAsia="Arial" w:cs="Arial"/>
      <w:color w:val="2E74B5"/>
      <w:kern w:val="0"/>
      <w:sz w:val="32"/>
      <w:szCs w:val="32"/>
      <w:lang w:val="es-ES" w:eastAsia="ja-JP" w:bidi="ar-SA"/>
    </w:rPr>
  </w:style>
  <w:style w:type="paragraph" w:styleId="Heading2">
    <w:name w:val="heading 2"/>
    <w:uiPriority w:val="9"/>
    <w:semiHidden/>
    <w:unhideWhenUsed/>
    <w:qFormat/>
    <w:pPr>
      <w:widowControl/>
      <w:suppressAutoHyphens w:val="true"/>
      <w:bidi w:val="0"/>
      <w:spacing w:before="0" w:after="0"/>
      <w:jc w:val="start"/>
      <w:outlineLvl w:val="1"/>
    </w:pPr>
    <w:rPr>
      <w:rFonts w:ascii="Arial" w:hAnsi="Arial" w:eastAsia="Arial" w:cs="Arial"/>
      <w:color w:val="2E74B5"/>
      <w:kern w:val="0"/>
      <w:sz w:val="26"/>
      <w:szCs w:val="26"/>
      <w:lang w:val="es-ES" w:eastAsia="ja-JP"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Arial" w:hAnsi="Arial" w:eastAsia="Arial" w:cs="Arial"/>
      <w:color w:val="1F4D78"/>
      <w:kern w:val="0"/>
      <w:sz w:val="24"/>
      <w:szCs w:val="24"/>
      <w:lang w:val="es-ES" w:eastAsia="ja-JP"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Arial" w:hAnsi="Arial" w:eastAsia="Arial" w:cs="Arial"/>
      <w:i/>
      <w:iCs/>
      <w:color w:val="2E74B5"/>
      <w:kern w:val="0"/>
      <w:sz w:val="22"/>
      <w:szCs w:val="22"/>
      <w:lang w:val="es-ES" w:eastAsia="ja-JP"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Arial" w:hAnsi="Arial" w:eastAsia="Arial" w:cs="Arial"/>
      <w:color w:val="2E74B5"/>
      <w:kern w:val="0"/>
      <w:sz w:val="22"/>
      <w:szCs w:val="22"/>
      <w:lang w:val="es-ES" w:eastAsia="ja-JP"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Arial" w:hAnsi="Arial" w:eastAsia="Arial" w:cs="Arial"/>
      <w:color w:val="1F4D78"/>
      <w:kern w:val="0"/>
      <w:sz w:val="22"/>
      <w:szCs w:val="22"/>
      <w:lang w:val="es-E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Enlacedelndiceuser">
    <w:name w:val="Enlace del índice (user)"/>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uiPriority w:val="10"/>
    <w:qFormat/>
    <w:pPr>
      <w:widowControl/>
      <w:suppressAutoHyphens w:val="true"/>
      <w:bidi w:val="0"/>
      <w:spacing w:before="0" w:after="0"/>
      <w:jc w:val="start"/>
    </w:pPr>
    <w:rPr>
      <w:rFonts w:ascii="Arial" w:hAnsi="Arial" w:eastAsia="Arial" w:cs="Arial"/>
      <w:color w:val="auto"/>
      <w:kern w:val="0"/>
      <w:sz w:val="56"/>
      <w:szCs w:val="56"/>
      <w:lang w:val="es-ES" w:eastAsia="ja-JP" w:bidi="ar-SA"/>
    </w:rPr>
  </w:style>
  <w:style w:type="paragraph" w:styleId="Fuerte1" w:customStyle="1">
    <w:name w:val="Fuerte1"/>
    <w:qFormat/>
    <w:pPr>
      <w:widowControl/>
      <w:suppressAutoHyphens w:val="true"/>
      <w:bidi w:val="0"/>
      <w:spacing w:before="0" w:after="0"/>
      <w:jc w:val="start"/>
    </w:pPr>
    <w:rPr>
      <w:rFonts w:ascii="Arial" w:hAnsi="Arial" w:eastAsia="Arial" w:cs="Arial"/>
      <w:b/>
      <w:bCs/>
      <w:color w:val="auto"/>
      <w:kern w:val="0"/>
      <w:sz w:val="22"/>
      <w:szCs w:val="22"/>
      <w:lang w:val="es-ES" w:eastAsia="ja-JP" w:bidi="ar-SA"/>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s-ES" w:eastAsia="ja-JP" w:bidi="ar-SA"/>
    </w:rPr>
  </w:style>
  <w:style w:type="paragraph" w:styleId="FootnoteText">
    <w:name w:val="footnote text"/>
    <w:link w:val="TextonotapieCar"/>
    <w:uiPriority w:val="99"/>
    <w:semiHidden/>
    <w:unhideWhenUsed/>
    <w:pPr>
      <w:widowControl/>
      <w:suppressAutoHyphens w:val="true"/>
      <w:bidi w:val="0"/>
      <w:spacing w:before="0" w:after="0"/>
      <w:jc w:val="start"/>
    </w:pPr>
    <w:rPr>
      <w:rFonts w:ascii="Arial" w:hAnsi="Arial" w:eastAsia="Arial" w:cs="Arial"/>
      <w:color w:val="auto"/>
      <w:kern w:val="0"/>
      <w:sz w:val="20"/>
      <w:szCs w:val="20"/>
      <w:lang w:val="es-ES" w:eastAsia="ja-JP" w:bidi="ar-SA"/>
    </w:rPr>
  </w:style>
  <w:style w:type="paragraph" w:styleId="heading10" w:customStyle="1">
    <w:name w:val="heading 10"/>
    <w:qFormat/>
    <w:pPr>
      <w:widowControl/>
      <w:suppressAutoHyphens w:val="true"/>
      <w:bidi w:val="0"/>
      <w:spacing w:before="360" w:after="120"/>
      <w:jc w:val="start"/>
      <w:outlineLvl w:val="0"/>
    </w:pPr>
    <w:rPr>
      <w:rFonts w:ascii="Arial" w:hAnsi="Arial" w:eastAsia="Arial" w:cs="Arial"/>
      <w:b/>
      <w:bCs/>
      <w:color w:val="1F3864"/>
      <w:kern w:val="0"/>
      <w:sz w:val="28"/>
      <w:szCs w:val="28"/>
      <w:lang w:val="es-ES" w:eastAsia="ja-JP" w:bidi="ar-SA"/>
    </w:rPr>
  </w:style>
  <w:style w:type="paragraph" w:styleId="heading20" w:customStyle="1">
    <w:name w:val="heading 20"/>
    <w:qFormat/>
    <w:pPr>
      <w:widowControl/>
      <w:suppressAutoHyphens w:val="true"/>
      <w:bidi w:val="0"/>
      <w:spacing w:before="240" w:after="80"/>
      <w:jc w:val="start"/>
      <w:outlineLvl w:val="1"/>
    </w:pPr>
    <w:rPr>
      <w:rFonts w:ascii="Arial" w:hAnsi="Arial" w:eastAsia="Arial" w:cs="Arial"/>
      <w:b/>
      <w:bCs/>
      <w:color w:val="2E75B6"/>
      <w:kern w:val="0"/>
      <w:sz w:val="24"/>
      <w:szCs w:val="24"/>
      <w:lang w:val="es-ES" w:eastAsia="ja-JP" w:bidi="ar-SA"/>
    </w:rPr>
  </w:style>
  <w:style w:type="paragraph" w:styleId="heading30" w:customStyle="1">
    <w:name w:val="heading 30"/>
    <w:qFormat/>
    <w:pPr>
      <w:widowControl/>
      <w:suppressAutoHyphens w:val="true"/>
      <w:bidi w:val="0"/>
      <w:spacing w:before="160" w:after="60"/>
      <w:jc w:val="start"/>
      <w:outlineLvl w:val="2"/>
    </w:pPr>
    <w:rPr>
      <w:rFonts w:ascii="Arial" w:hAnsi="Arial" w:eastAsia="Arial" w:cs="Arial"/>
      <w:b/>
      <w:bCs/>
      <w:color w:val="1F3864"/>
      <w:kern w:val="0"/>
      <w:sz w:val="22"/>
      <w:szCs w:val="22"/>
      <w:lang w:val="es-ES" w:eastAsia="ja-JP" w:bidi="ar-SA"/>
    </w:rPr>
  </w:style>
  <w:style w:type="paragraph" w:styleId="TOC1">
    <w:name w:val="toc 1"/>
    <w:basedOn w:val="Normal"/>
    <w:next w:val="Normal"/>
    <w:autoRedefine/>
    <w:uiPriority w:val="39"/>
    <w:unhideWhenUsed/>
    <w:rsid w:val="00f2527a"/>
    <w:pPr>
      <w:spacing w:before="0" w:after="100"/>
    </w:pPr>
    <w:rPr/>
  </w:style>
  <w:style w:type="paragraph" w:styleId="TOC2">
    <w:name w:val="toc 2"/>
    <w:basedOn w:val="Normal"/>
    <w:next w:val="Normal"/>
    <w:autoRedefine/>
    <w:uiPriority w:val="39"/>
    <w:unhideWhenUsed/>
    <w:rsid w:val="00f2527a"/>
    <w:pPr>
      <w:spacing w:before="0" w:after="100"/>
      <w:ind w:start="220"/>
    </w:pPr>
    <w:rPr/>
  </w:style>
  <w:style w:type="paragraph" w:styleId="TOC3">
    <w:name w:val="toc 3"/>
    <w:basedOn w:val="Normal"/>
    <w:next w:val="Normal"/>
    <w:autoRedefine/>
    <w:uiPriority w:val="39"/>
    <w:unhideWhenUsed/>
    <w:rsid w:val="00f2527a"/>
    <w:pPr>
      <w:spacing w:before="0" w:after="100"/>
      <w:ind w:start="440"/>
    </w:pPr>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Footer">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TotalTime>
  <Application>LibreOffice/25.8.5.2$Windows_X86_64 LibreOffice_project/9c8b85f387cc00a89945a79c9e6239f32e450ac2</Application>
  <AppVersion>15.0000</AppVersion>
  <Pages>23</Pages>
  <Words>6577</Words>
  <Characters>38969</Characters>
  <CharactersWithSpaces>44660</CharactersWithSpaces>
  <Paragraphs>903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2026-03-30T14:04:00Z</dcterms:created>
  <dc:creator>Un-named</dc:creator>
  <dc:description/>
  <dc:language>es-EC</dc:language>
  <cp:lastModifiedBy/>
  <dcterms:modified xsi:type="dcterms:W3CDTF">2026-03-31T17:32:05Z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