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5451" w:rsidRDefault="00F45451" w:rsidP="00C5435F">
      <w:pPr>
        <w:pStyle w:val="Heading1"/>
        <w:rPr>
          <w:lang w:val="en-US"/>
        </w:rPr>
      </w:pPr>
      <w:bookmarkStart w:id="0" w:name="_Hlk535405043"/>
      <w:r>
        <w:rPr>
          <w:lang w:val="en-US"/>
        </w:rPr>
        <w:t>Patients and methods</w:t>
      </w:r>
    </w:p>
    <w:p w:rsidR="00F45451" w:rsidRPr="005F4BD2" w:rsidRDefault="00F45451" w:rsidP="00F45451">
      <w:pPr>
        <w:rPr>
          <w:color w:val="FF0000"/>
        </w:rPr>
      </w:pPr>
      <w:r>
        <w:rPr>
          <w:lang w:val="en-US"/>
        </w:rPr>
        <w:t xml:space="preserve">Two different groups of 15 patients were selected in order to compare the surgical technics applied from Greek and German surgeons. </w:t>
      </w:r>
      <w:r>
        <w:rPr>
          <w:color w:val="FF0000"/>
        </w:rPr>
        <w:t>Περιγραφή της τεχνικής που εφαρμόστηκε και της επέμβασης που έγινε.</w:t>
      </w:r>
    </w:p>
    <w:p w:rsidR="00A022EC" w:rsidRPr="002838A4" w:rsidRDefault="00C5435F" w:rsidP="00C5435F">
      <w:pPr>
        <w:pStyle w:val="Heading1"/>
        <w:rPr>
          <w:lang w:val="en-US"/>
        </w:rPr>
      </w:pPr>
      <w:r>
        <w:rPr>
          <w:lang w:val="en-US"/>
        </w:rPr>
        <w:t>Statistical</w:t>
      </w:r>
      <w:r w:rsidRPr="002838A4">
        <w:rPr>
          <w:lang w:val="en-US"/>
        </w:rPr>
        <w:t xml:space="preserve"> </w:t>
      </w:r>
      <w:r>
        <w:rPr>
          <w:lang w:val="en-US"/>
        </w:rPr>
        <w:t>analysis</w:t>
      </w:r>
    </w:p>
    <w:p w:rsidR="00A022EC" w:rsidRDefault="00C5435F" w:rsidP="00C5435F">
      <w:pPr>
        <w:jc w:val="both"/>
        <w:rPr>
          <w:lang w:val="en-US"/>
        </w:rPr>
      </w:pPr>
      <w:r>
        <w:rPr>
          <w:lang w:val="en-US"/>
        </w:rPr>
        <w:t>Results were recorded on an SPSS25 statistical program. Data were less than 35 (n</w:t>
      </w:r>
      <w:r>
        <w:rPr>
          <w:vertAlign w:val="subscript"/>
          <w:lang w:val="en-US"/>
        </w:rPr>
        <w:t>1</w:t>
      </w:r>
      <w:r>
        <w:rPr>
          <w:lang w:val="en-US"/>
        </w:rPr>
        <w:t>=15, n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=15) </w:t>
      </w:r>
      <w:r w:rsidR="00C57B22">
        <w:rPr>
          <w:lang w:val="en-US"/>
        </w:rPr>
        <w:t>so</w:t>
      </w:r>
      <w:r>
        <w:rPr>
          <w:lang w:val="en-US"/>
        </w:rPr>
        <w:t xml:space="preserve"> standard normality assumptions do not meet. Thus, non-parametric statistical tests were conducted. Baseline (preoperative) data, age, BMI, PADUA Score, ASA Score, </w:t>
      </w:r>
      <w:proofErr w:type="spellStart"/>
      <w:r>
        <w:rPr>
          <w:lang w:val="en-US"/>
        </w:rPr>
        <w:t>PreEgrf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Tumour’s</w:t>
      </w:r>
      <w:proofErr w:type="spellEnd"/>
      <w:r>
        <w:rPr>
          <w:lang w:val="en-US"/>
        </w:rPr>
        <w:t xml:space="preserve"> size of the two groups were compared using Mann – Whitney test. Gender and tumor’s size were compared using 2-tailed chi-square test.</w:t>
      </w:r>
    </w:p>
    <w:p w:rsidR="00C5435F" w:rsidRPr="00C5435F" w:rsidRDefault="00C5435F" w:rsidP="00C5435F">
      <w:pPr>
        <w:jc w:val="both"/>
        <w:rPr>
          <w:lang w:val="en-US"/>
        </w:rPr>
      </w:pPr>
      <w:r>
        <w:rPr>
          <w:lang w:val="en-US"/>
        </w:rPr>
        <w:t xml:space="preserve">Additionally, postoperative data, Hb 10 Hours Postoperative, Warm Ischemia time, Operative time, </w:t>
      </w:r>
      <w:proofErr w:type="spellStart"/>
      <w:r>
        <w:rPr>
          <w:lang w:val="en-US"/>
        </w:rPr>
        <w:t>Egfr</w:t>
      </w:r>
      <w:proofErr w:type="spellEnd"/>
      <w:r>
        <w:rPr>
          <w:lang w:val="en-US"/>
        </w:rPr>
        <w:t xml:space="preserve"> Difference</w:t>
      </w:r>
      <w:r w:rsidRPr="00C5435F">
        <w:rPr>
          <w:lang w:val="en-US"/>
        </w:rPr>
        <w:t xml:space="preserve"> </w:t>
      </w:r>
      <w:r>
        <w:rPr>
          <w:lang w:val="en-US"/>
        </w:rPr>
        <w:t xml:space="preserve">the two groups were compared using Mann – Whitney test. Surgical Margins and Modified </w:t>
      </w:r>
      <w:proofErr w:type="spellStart"/>
      <w:r>
        <w:rPr>
          <w:lang w:val="en-US"/>
        </w:rPr>
        <w:t>Clavien</w:t>
      </w:r>
      <w:proofErr w:type="spellEnd"/>
      <w:r>
        <w:rPr>
          <w:lang w:val="en-US"/>
        </w:rPr>
        <w:t xml:space="preserve"> System</w:t>
      </w:r>
      <w:r w:rsidR="000A12E6">
        <w:rPr>
          <w:lang w:val="en-US"/>
        </w:rPr>
        <w:t>.</w:t>
      </w:r>
    </w:p>
    <w:p w:rsidR="00BC750C" w:rsidRDefault="004B3FBC">
      <w:pPr>
        <w:rPr>
          <w:lang w:val="en-US"/>
        </w:rPr>
      </w:pPr>
      <w:r>
        <w:rPr>
          <w:b/>
          <w:lang w:val="en-US"/>
        </w:rPr>
        <w:t xml:space="preserve">Table 1. </w:t>
      </w:r>
      <w:r>
        <w:rPr>
          <w:lang w:val="en-US"/>
        </w:rPr>
        <w:t xml:space="preserve">Baseline </w:t>
      </w:r>
      <w:r w:rsidR="009E47F4">
        <w:rPr>
          <w:lang w:val="en-US"/>
        </w:rPr>
        <w:t xml:space="preserve">quantitative </w:t>
      </w:r>
      <w:r>
        <w:rPr>
          <w:lang w:val="en-US"/>
        </w:rPr>
        <w:t>characteristics of the two groups</w:t>
      </w:r>
    </w:p>
    <w:tbl>
      <w:tblPr>
        <w:tblStyle w:val="TableGrid"/>
        <w:tblW w:w="88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6"/>
        <w:gridCol w:w="1888"/>
        <w:gridCol w:w="1888"/>
        <w:gridCol w:w="2514"/>
      </w:tblGrid>
      <w:tr w:rsidR="00AE164A" w:rsidRPr="00892B95" w:rsidTr="00AE164A">
        <w:tc>
          <w:tcPr>
            <w:tcW w:w="2546" w:type="dxa"/>
            <w:tcBorders>
              <w:top w:val="single" w:sz="4" w:space="0" w:color="auto"/>
            </w:tcBorders>
          </w:tcPr>
          <w:p w:rsidR="00AE164A" w:rsidRDefault="00AE164A">
            <w:pPr>
              <w:rPr>
                <w:lang w:val="en-US"/>
              </w:rPr>
            </w:pPr>
          </w:p>
        </w:tc>
        <w:tc>
          <w:tcPr>
            <w:tcW w:w="377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E164A" w:rsidRDefault="00AE164A" w:rsidP="00EE4C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Median (25</w:t>
            </w:r>
            <w:r w:rsidRPr="004B3FBC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– 75</w:t>
            </w:r>
            <w:r w:rsidRPr="004B3FBC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centile)</w:t>
            </w:r>
          </w:p>
        </w:tc>
        <w:tc>
          <w:tcPr>
            <w:tcW w:w="2514" w:type="dxa"/>
            <w:tcBorders>
              <w:top w:val="single" w:sz="4" w:space="0" w:color="auto"/>
            </w:tcBorders>
          </w:tcPr>
          <w:p w:rsidR="00AE164A" w:rsidRDefault="00AE164A">
            <w:pPr>
              <w:rPr>
                <w:lang w:val="en-US"/>
              </w:rPr>
            </w:pPr>
            <w:r>
              <w:rPr>
                <w:lang w:val="en-US"/>
              </w:rPr>
              <w:t xml:space="preserve">P (Mann – Whitney test) </w:t>
            </w:r>
          </w:p>
          <w:p w:rsidR="00AE164A" w:rsidRDefault="00AE164A">
            <w:pPr>
              <w:rPr>
                <w:lang w:val="en-US"/>
              </w:rPr>
            </w:pPr>
            <w:r>
              <w:rPr>
                <w:lang w:val="en-US"/>
              </w:rPr>
              <w:t>(2-sided Fisher exact test)</w:t>
            </w:r>
          </w:p>
        </w:tc>
      </w:tr>
      <w:tr w:rsidR="00AE164A" w:rsidTr="00AE164A">
        <w:tc>
          <w:tcPr>
            <w:tcW w:w="2546" w:type="dxa"/>
          </w:tcPr>
          <w:p w:rsidR="00AE164A" w:rsidRDefault="00AE164A">
            <w:pPr>
              <w:rPr>
                <w:lang w:val="en-US"/>
              </w:rPr>
            </w:pPr>
          </w:p>
        </w:tc>
        <w:tc>
          <w:tcPr>
            <w:tcW w:w="1888" w:type="dxa"/>
            <w:tcBorders>
              <w:top w:val="single" w:sz="4" w:space="0" w:color="auto"/>
            </w:tcBorders>
          </w:tcPr>
          <w:p w:rsidR="00AE164A" w:rsidRPr="004B3FBC" w:rsidRDefault="00AE164A" w:rsidP="004B3FBC">
            <w:pPr>
              <w:jc w:val="center"/>
              <w:rPr>
                <w:highlight w:val="yellow"/>
                <w:lang w:val="en-US"/>
              </w:rPr>
            </w:pPr>
            <w:r w:rsidRPr="004B3FBC">
              <w:rPr>
                <w:highlight w:val="yellow"/>
                <w:lang w:val="en-US"/>
              </w:rPr>
              <w:t>Greece</w:t>
            </w:r>
          </w:p>
        </w:tc>
        <w:tc>
          <w:tcPr>
            <w:tcW w:w="1888" w:type="dxa"/>
            <w:tcBorders>
              <w:top w:val="single" w:sz="4" w:space="0" w:color="auto"/>
            </w:tcBorders>
          </w:tcPr>
          <w:p w:rsidR="00AE164A" w:rsidRPr="004B3FBC" w:rsidRDefault="00AE164A" w:rsidP="004B3FBC">
            <w:pPr>
              <w:jc w:val="center"/>
              <w:rPr>
                <w:highlight w:val="yellow"/>
                <w:lang w:val="en-US"/>
              </w:rPr>
            </w:pPr>
            <w:r w:rsidRPr="004B3FBC">
              <w:rPr>
                <w:highlight w:val="yellow"/>
                <w:lang w:val="en-US"/>
              </w:rPr>
              <w:t>Germany</w:t>
            </w:r>
          </w:p>
        </w:tc>
        <w:tc>
          <w:tcPr>
            <w:tcW w:w="2514" w:type="dxa"/>
          </w:tcPr>
          <w:p w:rsidR="00AE164A" w:rsidRDefault="00AE164A">
            <w:pPr>
              <w:rPr>
                <w:lang w:val="en-US"/>
              </w:rPr>
            </w:pPr>
          </w:p>
        </w:tc>
      </w:tr>
      <w:tr w:rsidR="00AE164A" w:rsidTr="00AE164A">
        <w:tc>
          <w:tcPr>
            <w:tcW w:w="2546" w:type="dxa"/>
          </w:tcPr>
          <w:p w:rsidR="00AE164A" w:rsidRDefault="00AE164A">
            <w:pPr>
              <w:rPr>
                <w:lang w:val="en-US"/>
              </w:rPr>
            </w:pPr>
            <w:r>
              <w:rPr>
                <w:lang w:val="en-US"/>
              </w:rPr>
              <w:t>Patient’s age, yr</w:t>
            </w:r>
          </w:p>
        </w:tc>
        <w:tc>
          <w:tcPr>
            <w:tcW w:w="1888" w:type="dxa"/>
          </w:tcPr>
          <w:p w:rsidR="00AE164A" w:rsidRDefault="00AE164A" w:rsidP="004B3F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70 (62 – 73)</w:t>
            </w:r>
          </w:p>
        </w:tc>
        <w:tc>
          <w:tcPr>
            <w:tcW w:w="1888" w:type="dxa"/>
          </w:tcPr>
          <w:p w:rsidR="00AE164A" w:rsidRDefault="00AE164A" w:rsidP="004B3F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68 (53 – 75)</w:t>
            </w:r>
          </w:p>
        </w:tc>
        <w:tc>
          <w:tcPr>
            <w:tcW w:w="2514" w:type="dxa"/>
          </w:tcPr>
          <w:p w:rsidR="00AE164A" w:rsidRDefault="00AE164A" w:rsidP="00CE3D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0.95</w:t>
            </w:r>
          </w:p>
        </w:tc>
      </w:tr>
      <w:tr w:rsidR="00AE164A" w:rsidTr="00AE164A">
        <w:tc>
          <w:tcPr>
            <w:tcW w:w="2546" w:type="dxa"/>
          </w:tcPr>
          <w:p w:rsidR="00AE164A" w:rsidRDefault="00AE164A">
            <w:pPr>
              <w:rPr>
                <w:lang w:val="en-US"/>
              </w:rPr>
            </w:pPr>
            <w:r>
              <w:rPr>
                <w:lang w:val="en-US"/>
              </w:rPr>
              <w:t>BMI</w:t>
            </w:r>
          </w:p>
        </w:tc>
        <w:tc>
          <w:tcPr>
            <w:tcW w:w="1888" w:type="dxa"/>
          </w:tcPr>
          <w:p w:rsidR="00AE164A" w:rsidRDefault="00AE164A" w:rsidP="004B3F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25.0 (24.2 – 27.3)</w:t>
            </w:r>
          </w:p>
        </w:tc>
        <w:tc>
          <w:tcPr>
            <w:tcW w:w="1888" w:type="dxa"/>
          </w:tcPr>
          <w:p w:rsidR="00AE164A" w:rsidRDefault="00AE164A" w:rsidP="004B3F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28.1 (26.1 – 30.8)</w:t>
            </w:r>
          </w:p>
        </w:tc>
        <w:tc>
          <w:tcPr>
            <w:tcW w:w="2514" w:type="dxa"/>
          </w:tcPr>
          <w:p w:rsidR="00AE164A" w:rsidRDefault="00AE164A" w:rsidP="00CE3D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0.05</w:t>
            </w:r>
          </w:p>
        </w:tc>
      </w:tr>
      <w:tr w:rsidR="00AE164A" w:rsidTr="00AE164A">
        <w:tc>
          <w:tcPr>
            <w:tcW w:w="2546" w:type="dxa"/>
          </w:tcPr>
          <w:p w:rsidR="00AE164A" w:rsidRDefault="00AE164A">
            <w:pPr>
              <w:rPr>
                <w:lang w:val="en-US"/>
              </w:rPr>
            </w:pPr>
          </w:p>
        </w:tc>
        <w:tc>
          <w:tcPr>
            <w:tcW w:w="1888" w:type="dxa"/>
          </w:tcPr>
          <w:p w:rsidR="00AE164A" w:rsidRDefault="00AE164A" w:rsidP="004E75A2">
            <w:pPr>
              <w:jc w:val="center"/>
              <w:rPr>
                <w:lang w:val="en-US"/>
              </w:rPr>
            </w:pPr>
          </w:p>
        </w:tc>
        <w:tc>
          <w:tcPr>
            <w:tcW w:w="1888" w:type="dxa"/>
          </w:tcPr>
          <w:p w:rsidR="00AE164A" w:rsidRDefault="00AE164A" w:rsidP="004B3FBC">
            <w:pPr>
              <w:jc w:val="center"/>
              <w:rPr>
                <w:lang w:val="en-US"/>
              </w:rPr>
            </w:pPr>
          </w:p>
        </w:tc>
        <w:tc>
          <w:tcPr>
            <w:tcW w:w="2514" w:type="dxa"/>
          </w:tcPr>
          <w:p w:rsidR="00AE164A" w:rsidRDefault="00AE164A" w:rsidP="00CE3D5B">
            <w:pPr>
              <w:jc w:val="center"/>
              <w:rPr>
                <w:lang w:val="en-US"/>
              </w:rPr>
            </w:pPr>
          </w:p>
        </w:tc>
      </w:tr>
      <w:tr w:rsidR="00AE164A" w:rsidTr="00AE164A">
        <w:tc>
          <w:tcPr>
            <w:tcW w:w="2546" w:type="dxa"/>
          </w:tcPr>
          <w:p w:rsidR="00AE164A" w:rsidRPr="00935B75" w:rsidRDefault="00AE164A">
            <w:pPr>
              <w:rPr>
                <w:highlight w:val="red"/>
                <w:lang w:val="en-US"/>
              </w:rPr>
            </w:pPr>
            <w:proofErr w:type="spellStart"/>
            <w:r w:rsidRPr="00935B75">
              <w:rPr>
                <w:highlight w:val="red"/>
                <w:lang w:val="en-US"/>
              </w:rPr>
              <w:t>PreoperativeHb</w:t>
            </w:r>
            <w:proofErr w:type="spellEnd"/>
          </w:p>
        </w:tc>
        <w:tc>
          <w:tcPr>
            <w:tcW w:w="1888" w:type="dxa"/>
          </w:tcPr>
          <w:p w:rsidR="00AE164A" w:rsidRPr="00935B75" w:rsidRDefault="00D304B0" w:rsidP="004E75A2">
            <w:pPr>
              <w:jc w:val="center"/>
              <w:rPr>
                <w:highlight w:val="red"/>
                <w:lang w:val="en-US"/>
              </w:rPr>
            </w:pPr>
            <w:r w:rsidRPr="00935B75">
              <w:rPr>
                <w:highlight w:val="red"/>
                <w:lang w:val="en-US"/>
              </w:rPr>
              <w:t>14.4 (12.7 – 15.1)</w:t>
            </w:r>
          </w:p>
        </w:tc>
        <w:tc>
          <w:tcPr>
            <w:tcW w:w="1888" w:type="dxa"/>
          </w:tcPr>
          <w:p w:rsidR="00AE164A" w:rsidRPr="00935B75" w:rsidRDefault="00D304B0" w:rsidP="00D304B0">
            <w:pPr>
              <w:jc w:val="center"/>
              <w:rPr>
                <w:highlight w:val="red"/>
                <w:lang w:val="en-US"/>
              </w:rPr>
            </w:pPr>
            <w:r w:rsidRPr="00935B75">
              <w:rPr>
                <w:highlight w:val="red"/>
                <w:lang w:val="en-US"/>
              </w:rPr>
              <w:t>13</w:t>
            </w:r>
            <w:r w:rsidRPr="00935B75">
              <w:rPr>
                <w:highlight w:val="red"/>
              </w:rPr>
              <w:t>.0 (11.8 – 14.4)</w:t>
            </w:r>
          </w:p>
        </w:tc>
        <w:tc>
          <w:tcPr>
            <w:tcW w:w="2514" w:type="dxa"/>
          </w:tcPr>
          <w:p w:rsidR="00AE164A" w:rsidRPr="007E7078" w:rsidRDefault="007E7078" w:rsidP="00CE3D5B">
            <w:pPr>
              <w:jc w:val="center"/>
              <w:rPr>
                <w:lang w:val="en-US"/>
              </w:rPr>
            </w:pPr>
            <w:r w:rsidRPr="00935B75">
              <w:rPr>
                <w:highlight w:val="red"/>
              </w:rPr>
              <w:t>0.201</w:t>
            </w:r>
          </w:p>
        </w:tc>
      </w:tr>
      <w:tr w:rsidR="00AE164A" w:rsidRPr="00A41C93" w:rsidTr="00AE164A">
        <w:tc>
          <w:tcPr>
            <w:tcW w:w="2546" w:type="dxa"/>
          </w:tcPr>
          <w:p w:rsidR="00AE164A" w:rsidRDefault="00AE164A">
            <w:pPr>
              <w:rPr>
                <w:lang w:val="en-US"/>
              </w:rPr>
            </w:pPr>
            <w:r>
              <w:rPr>
                <w:lang w:val="en-US"/>
              </w:rPr>
              <w:t>PADUA Score</w:t>
            </w:r>
          </w:p>
        </w:tc>
        <w:tc>
          <w:tcPr>
            <w:tcW w:w="1888" w:type="dxa"/>
          </w:tcPr>
          <w:p w:rsidR="00AE164A" w:rsidRDefault="00AE164A" w:rsidP="00A41C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7.</w:t>
            </w:r>
            <w:r w:rsidR="00563125">
              <w:rPr>
                <w:lang w:val="en-US"/>
              </w:rPr>
              <w:t>5</w:t>
            </w:r>
            <w:r>
              <w:rPr>
                <w:lang w:val="en-US"/>
              </w:rPr>
              <w:t xml:space="preserve"> (</w:t>
            </w:r>
            <w:r w:rsidR="00A41C93">
              <w:rPr>
                <w:lang w:val="en-US"/>
              </w:rPr>
              <w:t>6.8</w:t>
            </w:r>
            <w:r>
              <w:rPr>
                <w:lang w:val="en-US"/>
              </w:rPr>
              <w:t xml:space="preserve"> – 9.0)</w:t>
            </w:r>
          </w:p>
        </w:tc>
        <w:tc>
          <w:tcPr>
            <w:tcW w:w="1888" w:type="dxa"/>
          </w:tcPr>
          <w:p w:rsidR="00AE164A" w:rsidRDefault="00AE164A" w:rsidP="004B3F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7.0 (6.0 – 10.0)</w:t>
            </w:r>
          </w:p>
        </w:tc>
        <w:tc>
          <w:tcPr>
            <w:tcW w:w="2514" w:type="dxa"/>
          </w:tcPr>
          <w:p w:rsidR="00AE164A" w:rsidRDefault="00AE164A" w:rsidP="00CE3D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0.798</w:t>
            </w:r>
          </w:p>
        </w:tc>
      </w:tr>
      <w:tr w:rsidR="00AE164A" w:rsidRPr="00A41C93" w:rsidTr="00AE164A">
        <w:tc>
          <w:tcPr>
            <w:tcW w:w="2546" w:type="dxa"/>
          </w:tcPr>
          <w:p w:rsidR="00AE164A" w:rsidRDefault="00AE164A">
            <w:pPr>
              <w:rPr>
                <w:lang w:val="en-US"/>
              </w:rPr>
            </w:pPr>
            <w:r>
              <w:rPr>
                <w:lang w:val="en-US"/>
              </w:rPr>
              <w:t>ASA Score</w:t>
            </w:r>
          </w:p>
        </w:tc>
        <w:tc>
          <w:tcPr>
            <w:tcW w:w="1888" w:type="dxa"/>
          </w:tcPr>
          <w:p w:rsidR="00AE164A" w:rsidRDefault="00AE164A" w:rsidP="006941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2.0 (1.0 – 2.0)</w:t>
            </w:r>
          </w:p>
        </w:tc>
        <w:tc>
          <w:tcPr>
            <w:tcW w:w="1888" w:type="dxa"/>
          </w:tcPr>
          <w:p w:rsidR="00AE164A" w:rsidRDefault="00AE164A" w:rsidP="004B3F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2.0 (2.0 – 3.0)</w:t>
            </w:r>
          </w:p>
        </w:tc>
        <w:tc>
          <w:tcPr>
            <w:tcW w:w="2514" w:type="dxa"/>
          </w:tcPr>
          <w:p w:rsidR="00AE164A" w:rsidRDefault="00AE164A" w:rsidP="00CE3D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0.140</w:t>
            </w:r>
          </w:p>
        </w:tc>
      </w:tr>
      <w:tr w:rsidR="00AE164A" w:rsidTr="00AE164A">
        <w:tc>
          <w:tcPr>
            <w:tcW w:w="2546" w:type="dxa"/>
          </w:tcPr>
          <w:p w:rsidR="00AE164A" w:rsidRPr="007D2791" w:rsidRDefault="00AE164A">
            <w:pPr>
              <w:rPr>
                <w:vertAlign w:val="superscript"/>
                <w:lang w:val="en-US"/>
              </w:rPr>
            </w:pPr>
            <w:proofErr w:type="spellStart"/>
            <w:r>
              <w:rPr>
                <w:lang w:val="en-US"/>
              </w:rPr>
              <w:t>PreEgfr</w:t>
            </w:r>
            <w:proofErr w:type="spellEnd"/>
            <w:r>
              <w:rPr>
                <w:lang w:val="en-US"/>
              </w:rPr>
              <w:t>, ml/min/1.73m</w:t>
            </w:r>
            <w:r>
              <w:rPr>
                <w:vertAlign w:val="superscript"/>
                <w:lang w:val="en-US"/>
              </w:rPr>
              <w:t>2</w:t>
            </w:r>
          </w:p>
        </w:tc>
        <w:tc>
          <w:tcPr>
            <w:tcW w:w="1888" w:type="dxa"/>
          </w:tcPr>
          <w:p w:rsidR="00AE164A" w:rsidRDefault="00AE164A" w:rsidP="004B3F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76.3 (69.7 – 85.1)</w:t>
            </w:r>
          </w:p>
        </w:tc>
        <w:tc>
          <w:tcPr>
            <w:tcW w:w="1888" w:type="dxa"/>
          </w:tcPr>
          <w:p w:rsidR="00AE164A" w:rsidRDefault="00AE164A" w:rsidP="004B3F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68.0 (63.8 – 87.8)</w:t>
            </w:r>
          </w:p>
        </w:tc>
        <w:tc>
          <w:tcPr>
            <w:tcW w:w="2514" w:type="dxa"/>
          </w:tcPr>
          <w:p w:rsidR="00AE164A" w:rsidRDefault="00AE164A" w:rsidP="00CE3D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0.458</w:t>
            </w:r>
          </w:p>
        </w:tc>
      </w:tr>
      <w:tr w:rsidR="00AE164A" w:rsidTr="00AE164A">
        <w:tc>
          <w:tcPr>
            <w:tcW w:w="2546" w:type="dxa"/>
          </w:tcPr>
          <w:p w:rsidR="00AE164A" w:rsidRDefault="00AE164A">
            <w:pPr>
              <w:rPr>
                <w:lang w:val="en-US"/>
              </w:rPr>
            </w:pPr>
            <w:r>
              <w:rPr>
                <w:lang w:val="en-US"/>
              </w:rPr>
              <w:t>Tumor’s size, cm</w:t>
            </w:r>
          </w:p>
        </w:tc>
        <w:tc>
          <w:tcPr>
            <w:tcW w:w="1888" w:type="dxa"/>
          </w:tcPr>
          <w:p w:rsidR="00AE164A" w:rsidRDefault="00AE164A" w:rsidP="004B3F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3.5 (2.5 – 3.8)</w:t>
            </w:r>
          </w:p>
        </w:tc>
        <w:tc>
          <w:tcPr>
            <w:tcW w:w="1888" w:type="dxa"/>
          </w:tcPr>
          <w:p w:rsidR="00AE164A" w:rsidRDefault="00AE164A" w:rsidP="004B3F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4.5 (2.2 – 5.0)</w:t>
            </w:r>
          </w:p>
        </w:tc>
        <w:tc>
          <w:tcPr>
            <w:tcW w:w="2514" w:type="dxa"/>
          </w:tcPr>
          <w:p w:rsidR="00AE164A" w:rsidRDefault="00AE164A" w:rsidP="00CE3D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0.271</w:t>
            </w:r>
          </w:p>
        </w:tc>
      </w:tr>
    </w:tbl>
    <w:bookmarkEnd w:id="0"/>
    <w:p w:rsidR="004B3FBC" w:rsidRDefault="00F45451">
      <w:pPr>
        <w:rPr>
          <w:lang w:val="en-US"/>
        </w:rPr>
      </w:pPr>
      <w:r>
        <w:rPr>
          <w:lang w:val="en-US"/>
        </w:rPr>
        <w:t>BMI: Body Mass Index</w:t>
      </w:r>
    </w:p>
    <w:p w:rsidR="00AE164A" w:rsidRPr="00AE164A" w:rsidRDefault="00AE164A" w:rsidP="00AE16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241AA" w:rsidRDefault="00C241AA" w:rsidP="00C241AA">
      <w:pPr>
        <w:rPr>
          <w:lang w:val="en-US"/>
        </w:rPr>
      </w:pPr>
      <w:proofErr w:type="gramStart"/>
      <w:r>
        <w:rPr>
          <w:b/>
          <w:lang w:val="en-US"/>
        </w:rPr>
        <w:t>Table 2.</w:t>
      </w:r>
      <w:proofErr w:type="gramEnd"/>
      <w:r>
        <w:rPr>
          <w:b/>
          <w:lang w:val="en-US"/>
        </w:rPr>
        <w:t xml:space="preserve"> </w:t>
      </w:r>
      <w:r>
        <w:rPr>
          <w:lang w:val="en-US"/>
        </w:rPr>
        <w:t>Baseline</w:t>
      </w:r>
      <w:r w:rsidR="009E47F4">
        <w:rPr>
          <w:lang w:val="en-US"/>
        </w:rPr>
        <w:t xml:space="preserve"> qualitative</w:t>
      </w:r>
      <w:r>
        <w:rPr>
          <w:lang w:val="en-US"/>
        </w:rPr>
        <w:t xml:space="preserve"> characteristics of the two groups</w:t>
      </w:r>
    </w:p>
    <w:tbl>
      <w:tblPr>
        <w:tblStyle w:val="TableGrid"/>
        <w:tblW w:w="6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85"/>
        <w:gridCol w:w="978"/>
        <w:gridCol w:w="963"/>
        <w:gridCol w:w="1147"/>
        <w:gridCol w:w="1465"/>
      </w:tblGrid>
      <w:tr w:rsidR="00C241AA" w:rsidRPr="00892B95" w:rsidTr="00931250">
        <w:tc>
          <w:tcPr>
            <w:tcW w:w="1585" w:type="dxa"/>
            <w:tcBorders>
              <w:top w:val="single" w:sz="4" w:space="0" w:color="auto"/>
            </w:tcBorders>
          </w:tcPr>
          <w:p w:rsidR="00C241AA" w:rsidRDefault="00C241AA" w:rsidP="00CA73AA">
            <w:pPr>
              <w:rPr>
                <w:lang w:val="en-US"/>
              </w:rPr>
            </w:pP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C241AA" w:rsidRDefault="00C241AA" w:rsidP="00CA73AA">
            <w:pPr>
              <w:jc w:val="center"/>
              <w:rPr>
                <w:lang w:val="en-US"/>
              </w:rPr>
            </w:pPr>
          </w:p>
        </w:tc>
        <w:tc>
          <w:tcPr>
            <w:tcW w:w="211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241AA" w:rsidRDefault="00605AFE" w:rsidP="00CA73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C0749A">
              <w:rPr>
                <w:lang w:val="en-US"/>
              </w:rPr>
              <w:t>ercentage</w:t>
            </w:r>
          </w:p>
        </w:tc>
        <w:tc>
          <w:tcPr>
            <w:tcW w:w="1465" w:type="dxa"/>
            <w:tcBorders>
              <w:top w:val="single" w:sz="4" w:space="0" w:color="auto"/>
            </w:tcBorders>
          </w:tcPr>
          <w:p w:rsidR="00C241AA" w:rsidRDefault="00C241AA" w:rsidP="00C074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 (</w:t>
            </w:r>
            <w:r w:rsidR="00C0749A">
              <w:rPr>
                <w:lang w:val="en-US"/>
              </w:rPr>
              <w:t>X</w:t>
            </w:r>
            <w:r w:rsidR="00C0749A">
              <w:rPr>
                <w:vertAlign w:val="superscript"/>
                <w:lang w:val="en-US"/>
              </w:rPr>
              <w:t>2</w:t>
            </w:r>
            <w:r w:rsidR="00C0749A">
              <w:rPr>
                <w:lang w:val="en-US"/>
              </w:rPr>
              <w:t xml:space="preserve"> test</w:t>
            </w:r>
            <w:r w:rsidR="00931250">
              <w:rPr>
                <w:lang w:val="en-US"/>
              </w:rPr>
              <w:t>, Fisher’s test</w:t>
            </w:r>
            <w:r>
              <w:rPr>
                <w:lang w:val="en-US"/>
              </w:rPr>
              <w:t>)</w:t>
            </w:r>
          </w:p>
        </w:tc>
      </w:tr>
      <w:tr w:rsidR="00C241AA" w:rsidTr="00931250">
        <w:tc>
          <w:tcPr>
            <w:tcW w:w="1585" w:type="dxa"/>
          </w:tcPr>
          <w:p w:rsidR="00C241AA" w:rsidRDefault="00C241AA" w:rsidP="00CA73AA">
            <w:pPr>
              <w:rPr>
                <w:lang w:val="en-US"/>
              </w:rPr>
            </w:pPr>
          </w:p>
        </w:tc>
        <w:tc>
          <w:tcPr>
            <w:tcW w:w="978" w:type="dxa"/>
          </w:tcPr>
          <w:p w:rsidR="00C241AA" w:rsidRPr="004B3FBC" w:rsidRDefault="00C241AA" w:rsidP="00CA73AA">
            <w:pPr>
              <w:jc w:val="center"/>
              <w:rPr>
                <w:highlight w:val="yellow"/>
                <w:lang w:val="en-US"/>
              </w:rPr>
            </w:pPr>
          </w:p>
        </w:tc>
        <w:tc>
          <w:tcPr>
            <w:tcW w:w="963" w:type="dxa"/>
            <w:tcBorders>
              <w:top w:val="single" w:sz="4" w:space="0" w:color="auto"/>
            </w:tcBorders>
          </w:tcPr>
          <w:p w:rsidR="00C241AA" w:rsidRPr="004B3FBC" w:rsidRDefault="00C241AA" w:rsidP="00CA73AA">
            <w:pPr>
              <w:jc w:val="center"/>
              <w:rPr>
                <w:highlight w:val="yellow"/>
                <w:lang w:val="en-US"/>
              </w:rPr>
            </w:pPr>
            <w:r w:rsidRPr="004B3FBC">
              <w:rPr>
                <w:highlight w:val="yellow"/>
                <w:lang w:val="en-US"/>
              </w:rPr>
              <w:t>Greece</w:t>
            </w:r>
          </w:p>
        </w:tc>
        <w:tc>
          <w:tcPr>
            <w:tcW w:w="1147" w:type="dxa"/>
            <w:tcBorders>
              <w:top w:val="single" w:sz="4" w:space="0" w:color="auto"/>
            </w:tcBorders>
          </w:tcPr>
          <w:p w:rsidR="00C241AA" w:rsidRPr="004B3FBC" w:rsidRDefault="00C241AA" w:rsidP="00CA73AA">
            <w:pPr>
              <w:jc w:val="center"/>
              <w:rPr>
                <w:highlight w:val="yellow"/>
                <w:lang w:val="en-US"/>
              </w:rPr>
            </w:pPr>
            <w:r w:rsidRPr="004B3FBC">
              <w:rPr>
                <w:highlight w:val="yellow"/>
                <w:lang w:val="en-US"/>
              </w:rPr>
              <w:t>Germany</w:t>
            </w:r>
          </w:p>
        </w:tc>
        <w:tc>
          <w:tcPr>
            <w:tcW w:w="1465" w:type="dxa"/>
          </w:tcPr>
          <w:p w:rsidR="00C241AA" w:rsidRDefault="00C241AA" w:rsidP="00CA73AA">
            <w:pPr>
              <w:rPr>
                <w:lang w:val="en-US"/>
              </w:rPr>
            </w:pPr>
          </w:p>
        </w:tc>
      </w:tr>
      <w:tr w:rsidR="009371DE" w:rsidTr="00931250">
        <w:tc>
          <w:tcPr>
            <w:tcW w:w="1585" w:type="dxa"/>
            <w:vMerge w:val="restart"/>
          </w:tcPr>
          <w:p w:rsidR="009371DE" w:rsidRDefault="009371DE" w:rsidP="00CA73AA">
            <w:pPr>
              <w:rPr>
                <w:lang w:val="en-US"/>
              </w:rPr>
            </w:pPr>
            <w:r>
              <w:rPr>
                <w:lang w:val="en-US"/>
              </w:rPr>
              <w:t>Gender (%)</w:t>
            </w:r>
          </w:p>
        </w:tc>
        <w:tc>
          <w:tcPr>
            <w:tcW w:w="978" w:type="dxa"/>
          </w:tcPr>
          <w:p w:rsidR="009371DE" w:rsidRDefault="009371DE" w:rsidP="00CA73AA">
            <w:pPr>
              <w:rPr>
                <w:lang w:val="en-US"/>
              </w:rPr>
            </w:pPr>
            <w:r>
              <w:rPr>
                <w:lang w:val="en-US"/>
              </w:rPr>
              <w:t>Male</w:t>
            </w:r>
          </w:p>
        </w:tc>
        <w:tc>
          <w:tcPr>
            <w:tcW w:w="963" w:type="dxa"/>
          </w:tcPr>
          <w:p w:rsidR="009371DE" w:rsidRDefault="009371DE" w:rsidP="00CA73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40.9</w:t>
            </w:r>
          </w:p>
        </w:tc>
        <w:tc>
          <w:tcPr>
            <w:tcW w:w="1147" w:type="dxa"/>
          </w:tcPr>
          <w:p w:rsidR="009371DE" w:rsidRDefault="009371DE" w:rsidP="00CA73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59.1</w:t>
            </w:r>
          </w:p>
        </w:tc>
        <w:tc>
          <w:tcPr>
            <w:tcW w:w="1465" w:type="dxa"/>
            <w:vMerge w:val="restart"/>
          </w:tcPr>
          <w:p w:rsidR="009371DE" w:rsidRDefault="009371DE" w:rsidP="00CA73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0.09</w:t>
            </w:r>
          </w:p>
        </w:tc>
      </w:tr>
      <w:tr w:rsidR="009371DE" w:rsidTr="00931250">
        <w:tc>
          <w:tcPr>
            <w:tcW w:w="1585" w:type="dxa"/>
            <w:vMerge/>
          </w:tcPr>
          <w:p w:rsidR="009371DE" w:rsidRDefault="009371DE" w:rsidP="00CA73AA">
            <w:pPr>
              <w:rPr>
                <w:lang w:val="en-US"/>
              </w:rPr>
            </w:pPr>
          </w:p>
        </w:tc>
        <w:tc>
          <w:tcPr>
            <w:tcW w:w="978" w:type="dxa"/>
          </w:tcPr>
          <w:p w:rsidR="009371DE" w:rsidRDefault="009371DE" w:rsidP="00CA73AA">
            <w:pPr>
              <w:rPr>
                <w:lang w:val="en-US"/>
              </w:rPr>
            </w:pPr>
            <w:r>
              <w:rPr>
                <w:lang w:val="en-US"/>
              </w:rPr>
              <w:t>Female</w:t>
            </w:r>
          </w:p>
        </w:tc>
        <w:tc>
          <w:tcPr>
            <w:tcW w:w="963" w:type="dxa"/>
          </w:tcPr>
          <w:p w:rsidR="009371DE" w:rsidRDefault="009371DE" w:rsidP="00CA73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75.0</w:t>
            </w:r>
          </w:p>
        </w:tc>
        <w:tc>
          <w:tcPr>
            <w:tcW w:w="1147" w:type="dxa"/>
          </w:tcPr>
          <w:p w:rsidR="009371DE" w:rsidRDefault="009371DE" w:rsidP="00CA73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25.0</w:t>
            </w:r>
          </w:p>
        </w:tc>
        <w:tc>
          <w:tcPr>
            <w:tcW w:w="1465" w:type="dxa"/>
            <w:vMerge/>
          </w:tcPr>
          <w:p w:rsidR="009371DE" w:rsidRDefault="009371DE" w:rsidP="00CA73AA">
            <w:pPr>
              <w:jc w:val="center"/>
              <w:rPr>
                <w:lang w:val="en-US"/>
              </w:rPr>
            </w:pPr>
          </w:p>
        </w:tc>
      </w:tr>
      <w:tr w:rsidR="009371DE" w:rsidTr="00931250">
        <w:tc>
          <w:tcPr>
            <w:tcW w:w="1585" w:type="dxa"/>
            <w:vMerge w:val="restart"/>
          </w:tcPr>
          <w:p w:rsidR="009371DE" w:rsidRDefault="009371DE" w:rsidP="00CA73AA">
            <w:pPr>
              <w:rPr>
                <w:lang w:val="en-US"/>
              </w:rPr>
            </w:pPr>
            <w:r>
              <w:rPr>
                <w:lang w:val="en-US"/>
              </w:rPr>
              <w:t>Tumor’s side</w:t>
            </w:r>
          </w:p>
        </w:tc>
        <w:tc>
          <w:tcPr>
            <w:tcW w:w="978" w:type="dxa"/>
          </w:tcPr>
          <w:p w:rsidR="009371DE" w:rsidRDefault="009371DE" w:rsidP="00CA73AA">
            <w:pPr>
              <w:rPr>
                <w:lang w:val="en-US"/>
              </w:rPr>
            </w:pPr>
            <w:r>
              <w:rPr>
                <w:lang w:val="en-US"/>
              </w:rPr>
              <w:t>Right</w:t>
            </w:r>
          </w:p>
        </w:tc>
        <w:tc>
          <w:tcPr>
            <w:tcW w:w="963" w:type="dxa"/>
          </w:tcPr>
          <w:p w:rsidR="009371DE" w:rsidRDefault="009371DE" w:rsidP="00CA73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33.3</w:t>
            </w:r>
          </w:p>
        </w:tc>
        <w:tc>
          <w:tcPr>
            <w:tcW w:w="1147" w:type="dxa"/>
          </w:tcPr>
          <w:p w:rsidR="009371DE" w:rsidRDefault="009371DE" w:rsidP="00CA73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66.7</w:t>
            </w:r>
          </w:p>
        </w:tc>
        <w:tc>
          <w:tcPr>
            <w:tcW w:w="1465" w:type="dxa"/>
            <w:vMerge w:val="restart"/>
          </w:tcPr>
          <w:p w:rsidR="009371DE" w:rsidRDefault="009371DE" w:rsidP="00CA73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0.07</w:t>
            </w:r>
          </w:p>
        </w:tc>
      </w:tr>
      <w:tr w:rsidR="009371DE" w:rsidTr="00931250">
        <w:tc>
          <w:tcPr>
            <w:tcW w:w="1585" w:type="dxa"/>
            <w:vMerge/>
          </w:tcPr>
          <w:p w:rsidR="009371DE" w:rsidRDefault="009371DE" w:rsidP="00CA73AA">
            <w:pPr>
              <w:rPr>
                <w:lang w:val="en-US"/>
              </w:rPr>
            </w:pPr>
          </w:p>
        </w:tc>
        <w:tc>
          <w:tcPr>
            <w:tcW w:w="978" w:type="dxa"/>
          </w:tcPr>
          <w:p w:rsidR="009371DE" w:rsidRDefault="009371DE" w:rsidP="00CA73AA">
            <w:pPr>
              <w:rPr>
                <w:lang w:val="en-US"/>
              </w:rPr>
            </w:pPr>
            <w:r>
              <w:rPr>
                <w:lang w:val="en-US"/>
              </w:rPr>
              <w:t>Left</w:t>
            </w:r>
          </w:p>
        </w:tc>
        <w:tc>
          <w:tcPr>
            <w:tcW w:w="963" w:type="dxa"/>
          </w:tcPr>
          <w:p w:rsidR="009371DE" w:rsidRDefault="009371DE" w:rsidP="00CA73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66.7</w:t>
            </w:r>
          </w:p>
        </w:tc>
        <w:tc>
          <w:tcPr>
            <w:tcW w:w="1147" w:type="dxa"/>
          </w:tcPr>
          <w:p w:rsidR="009371DE" w:rsidRDefault="009371DE" w:rsidP="00CA73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33.3</w:t>
            </w:r>
          </w:p>
        </w:tc>
        <w:tc>
          <w:tcPr>
            <w:tcW w:w="1465" w:type="dxa"/>
            <w:vMerge/>
          </w:tcPr>
          <w:p w:rsidR="009371DE" w:rsidRDefault="009371DE" w:rsidP="00CA73AA">
            <w:pPr>
              <w:jc w:val="center"/>
              <w:rPr>
                <w:lang w:val="en-US"/>
              </w:rPr>
            </w:pPr>
          </w:p>
        </w:tc>
      </w:tr>
      <w:tr w:rsidR="00931250" w:rsidTr="00931250">
        <w:tc>
          <w:tcPr>
            <w:tcW w:w="1585" w:type="dxa"/>
            <w:vMerge w:val="restart"/>
          </w:tcPr>
          <w:p w:rsidR="00931250" w:rsidRDefault="00931250" w:rsidP="00CA73A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Interoperative</w:t>
            </w:r>
            <w:proofErr w:type="spellEnd"/>
            <w:r>
              <w:rPr>
                <w:lang w:val="en-US"/>
              </w:rPr>
              <w:t xml:space="preserve"> tran</w:t>
            </w:r>
            <w:r w:rsidR="00356BB0">
              <w:rPr>
                <w:lang w:val="en-US"/>
              </w:rPr>
              <w:t>s</w:t>
            </w:r>
            <w:r>
              <w:rPr>
                <w:lang w:val="en-US"/>
              </w:rPr>
              <w:t>fusion</w:t>
            </w:r>
          </w:p>
        </w:tc>
        <w:tc>
          <w:tcPr>
            <w:tcW w:w="978" w:type="dxa"/>
          </w:tcPr>
          <w:p w:rsidR="00931250" w:rsidRDefault="00931250" w:rsidP="00CA73AA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63" w:type="dxa"/>
          </w:tcPr>
          <w:p w:rsidR="00931250" w:rsidRDefault="00931250" w:rsidP="00CA73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100.0</w:t>
            </w:r>
          </w:p>
        </w:tc>
        <w:tc>
          <w:tcPr>
            <w:tcW w:w="1147" w:type="dxa"/>
          </w:tcPr>
          <w:p w:rsidR="00931250" w:rsidRDefault="00931250" w:rsidP="00CA73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</w:t>
            </w:r>
          </w:p>
        </w:tc>
        <w:tc>
          <w:tcPr>
            <w:tcW w:w="1465" w:type="dxa"/>
            <w:vMerge w:val="restart"/>
          </w:tcPr>
          <w:p w:rsidR="00931250" w:rsidRDefault="00931250" w:rsidP="00CA73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0.10</w:t>
            </w:r>
          </w:p>
        </w:tc>
      </w:tr>
      <w:tr w:rsidR="00931250" w:rsidRPr="00F54F15" w:rsidTr="00931250">
        <w:tc>
          <w:tcPr>
            <w:tcW w:w="1585" w:type="dxa"/>
            <w:vMerge/>
          </w:tcPr>
          <w:p w:rsidR="00931250" w:rsidRDefault="00931250" w:rsidP="00CA73AA">
            <w:pPr>
              <w:rPr>
                <w:lang w:val="en-US"/>
              </w:rPr>
            </w:pPr>
          </w:p>
        </w:tc>
        <w:tc>
          <w:tcPr>
            <w:tcW w:w="978" w:type="dxa"/>
          </w:tcPr>
          <w:p w:rsidR="00931250" w:rsidRDefault="00931250" w:rsidP="00CA73AA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63" w:type="dxa"/>
          </w:tcPr>
          <w:p w:rsidR="00931250" w:rsidRDefault="00931250" w:rsidP="00CA73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42.3</w:t>
            </w:r>
          </w:p>
        </w:tc>
        <w:tc>
          <w:tcPr>
            <w:tcW w:w="1147" w:type="dxa"/>
          </w:tcPr>
          <w:p w:rsidR="00931250" w:rsidRDefault="00931250" w:rsidP="00CA73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57.7</w:t>
            </w:r>
          </w:p>
        </w:tc>
        <w:tc>
          <w:tcPr>
            <w:tcW w:w="1465" w:type="dxa"/>
            <w:vMerge/>
          </w:tcPr>
          <w:p w:rsidR="00931250" w:rsidRDefault="00931250" w:rsidP="00CA73AA">
            <w:pPr>
              <w:jc w:val="center"/>
              <w:rPr>
                <w:lang w:val="en-US"/>
              </w:rPr>
            </w:pPr>
          </w:p>
        </w:tc>
      </w:tr>
    </w:tbl>
    <w:p w:rsidR="00EA7C55" w:rsidRPr="005F4BD2" w:rsidRDefault="00EA7C55" w:rsidP="006C56A2">
      <w:pPr>
        <w:rPr>
          <w:lang w:val="en-US"/>
        </w:rPr>
      </w:pPr>
    </w:p>
    <w:p w:rsidR="006C56A2" w:rsidRDefault="006C56A2" w:rsidP="006C56A2">
      <w:pPr>
        <w:rPr>
          <w:lang w:val="en-US"/>
        </w:rPr>
      </w:pPr>
      <w:proofErr w:type="gramStart"/>
      <w:r>
        <w:rPr>
          <w:b/>
          <w:lang w:val="en-US"/>
        </w:rPr>
        <w:t xml:space="preserve">Table </w:t>
      </w:r>
      <w:r w:rsidR="00605AFE">
        <w:rPr>
          <w:b/>
          <w:lang w:val="en-US"/>
        </w:rPr>
        <w:t>3</w:t>
      </w:r>
      <w:r>
        <w:rPr>
          <w:b/>
          <w:lang w:val="en-US"/>
        </w:rPr>
        <w:t>.</w:t>
      </w:r>
      <w:proofErr w:type="gramEnd"/>
      <w:r>
        <w:rPr>
          <w:b/>
          <w:lang w:val="en-US"/>
        </w:rPr>
        <w:t xml:space="preserve"> </w:t>
      </w:r>
      <w:r w:rsidR="00C860BC">
        <w:rPr>
          <w:lang w:val="en-US"/>
        </w:rPr>
        <w:t>Postoperative</w:t>
      </w:r>
      <w:r w:rsidR="00605AFE">
        <w:rPr>
          <w:lang w:val="en-US"/>
        </w:rPr>
        <w:t xml:space="preserve"> quantitative</w:t>
      </w:r>
      <w:r w:rsidR="00C860BC">
        <w:rPr>
          <w:lang w:val="en-US"/>
        </w:rPr>
        <w:t xml:space="preserve"> data of the two groups</w:t>
      </w:r>
    </w:p>
    <w:tbl>
      <w:tblPr>
        <w:tblStyle w:val="TableGrid"/>
        <w:tblW w:w="9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6"/>
        <w:gridCol w:w="2124"/>
        <w:gridCol w:w="2056"/>
        <w:gridCol w:w="2514"/>
      </w:tblGrid>
      <w:tr w:rsidR="006C56A2" w:rsidRPr="00892B95" w:rsidTr="00FB4323">
        <w:tc>
          <w:tcPr>
            <w:tcW w:w="2546" w:type="dxa"/>
            <w:tcBorders>
              <w:top w:val="single" w:sz="4" w:space="0" w:color="auto"/>
            </w:tcBorders>
          </w:tcPr>
          <w:p w:rsidR="006C56A2" w:rsidRDefault="006C56A2" w:rsidP="00CA73AA">
            <w:pPr>
              <w:rPr>
                <w:lang w:val="en-US"/>
              </w:rPr>
            </w:pPr>
          </w:p>
        </w:tc>
        <w:tc>
          <w:tcPr>
            <w:tcW w:w="41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6C56A2" w:rsidRDefault="006C56A2" w:rsidP="00CA73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Median (25</w:t>
            </w:r>
            <w:r w:rsidRPr="004B3FBC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– 75</w:t>
            </w:r>
            <w:r w:rsidRPr="004B3FBC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centile)</w:t>
            </w:r>
          </w:p>
        </w:tc>
        <w:tc>
          <w:tcPr>
            <w:tcW w:w="2514" w:type="dxa"/>
            <w:tcBorders>
              <w:top w:val="single" w:sz="4" w:space="0" w:color="auto"/>
            </w:tcBorders>
          </w:tcPr>
          <w:p w:rsidR="006C56A2" w:rsidRDefault="006C56A2" w:rsidP="00CA73AA">
            <w:pPr>
              <w:rPr>
                <w:lang w:val="en-US"/>
              </w:rPr>
            </w:pPr>
            <w:r>
              <w:rPr>
                <w:lang w:val="en-US"/>
              </w:rPr>
              <w:t xml:space="preserve">P (Mann – Whitney test) </w:t>
            </w:r>
          </w:p>
          <w:p w:rsidR="006C56A2" w:rsidRDefault="006C56A2" w:rsidP="00CA73AA">
            <w:pPr>
              <w:rPr>
                <w:lang w:val="en-US"/>
              </w:rPr>
            </w:pPr>
            <w:r>
              <w:rPr>
                <w:lang w:val="en-US"/>
              </w:rPr>
              <w:t>(2-sided Fisher exact test)</w:t>
            </w:r>
          </w:p>
        </w:tc>
      </w:tr>
      <w:tr w:rsidR="006C56A2" w:rsidTr="00FB4323">
        <w:tc>
          <w:tcPr>
            <w:tcW w:w="2546" w:type="dxa"/>
          </w:tcPr>
          <w:p w:rsidR="006C56A2" w:rsidRDefault="006C56A2" w:rsidP="00CA73AA">
            <w:pPr>
              <w:rPr>
                <w:lang w:val="en-US"/>
              </w:rPr>
            </w:pPr>
          </w:p>
        </w:tc>
        <w:tc>
          <w:tcPr>
            <w:tcW w:w="2124" w:type="dxa"/>
            <w:tcBorders>
              <w:top w:val="single" w:sz="4" w:space="0" w:color="auto"/>
            </w:tcBorders>
          </w:tcPr>
          <w:p w:rsidR="006C56A2" w:rsidRPr="004B3FBC" w:rsidRDefault="006C56A2" w:rsidP="00CA73AA">
            <w:pPr>
              <w:jc w:val="center"/>
              <w:rPr>
                <w:highlight w:val="yellow"/>
                <w:lang w:val="en-US"/>
              </w:rPr>
            </w:pPr>
            <w:r w:rsidRPr="004B3FBC">
              <w:rPr>
                <w:highlight w:val="yellow"/>
                <w:lang w:val="en-US"/>
              </w:rPr>
              <w:t>Greece</w:t>
            </w:r>
          </w:p>
        </w:tc>
        <w:tc>
          <w:tcPr>
            <w:tcW w:w="2056" w:type="dxa"/>
            <w:tcBorders>
              <w:top w:val="single" w:sz="4" w:space="0" w:color="auto"/>
            </w:tcBorders>
          </w:tcPr>
          <w:p w:rsidR="006C56A2" w:rsidRPr="004B3FBC" w:rsidRDefault="006C56A2" w:rsidP="00CA73AA">
            <w:pPr>
              <w:jc w:val="center"/>
              <w:rPr>
                <w:highlight w:val="yellow"/>
                <w:lang w:val="en-US"/>
              </w:rPr>
            </w:pPr>
            <w:r w:rsidRPr="004B3FBC">
              <w:rPr>
                <w:highlight w:val="yellow"/>
                <w:lang w:val="en-US"/>
              </w:rPr>
              <w:t>Germany</w:t>
            </w:r>
          </w:p>
        </w:tc>
        <w:tc>
          <w:tcPr>
            <w:tcW w:w="2514" w:type="dxa"/>
          </w:tcPr>
          <w:p w:rsidR="006C56A2" w:rsidRDefault="006C56A2" w:rsidP="00CA73AA">
            <w:pPr>
              <w:rPr>
                <w:lang w:val="en-US"/>
              </w:rPr>
            </w:pPr>
          </w:p>
        </w:tc>
      </w:tr>
      <w:tr w:rsidR="006C56A2" w:rsidTr="00FB4323">
        <w:tc>
          <w:tcPr>
            <w:tcW w:w="2546" w:type="dxa"/>
          </w:tcPr>
          <w:p w:rsidR="006C56A2" w:rsidRDefault="00E12EF0" w:rsidP="00CA73AA">
            <w:pPr>
              <w:rPr>
                <w:lang w:val="en-US"/>
              </w:rPr>
            </w:pPr>
            <w:bookmarkStart w:id="1" w:name="_Hlk535780937"/>
            <w:r>
              <w:rPr>
                <w:lang w:val="en-US"/>
              </w:rPr>
              <w:t xml:space="preserve">Hb 10 Hours </w:t>
            </w:r>
            <w:r>
              <w:rPr>
                <w:lang w:val="en-US"/>
              </w:rPr>
              <w:lastRenderedPageBreak/>
              <w:t>Postoperative</w:t>
            </w:r>
          </w:p>
        </w:tc>
        <w:tc>
          <w:tcPr>
            <w:tcW w:w="2124" w:type="dxa"/>
          </w:tcPr>
          <w:p w:rsidR="006C56A2" w:rsidRDefault="00FB4323" w:rsidP="00CA73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11.8 (11.3 – 13.5)</w:t>
            </w:r>
          </w:p>
        </w:tc>
        <w:tc>
          <w:tcPr>
            <w:tcW w:w="2056" w:type="dxa"/>
          </w:tcPr>
          <w:p w:rsidR="006C56A2" w:rsidRDefault="00FB4323" w:rsidP="00CA73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11.1 (10.</w:t>
            </w:r>
            <w:r w:rsidR="002838A4">
              <w:rPr>
                <w:lang w:val="en-US"/>
              </w:rPr>
              <w:t>5</w:t>
            </w:r>
            <w:r>
              <w:rPr>
                <w:lang w:val="en-US"/>
              </w:rPr>
              <w:t xml:space="preserve"> – 13.3)</w:t>
            </w:r>
          </w:p>
        </w:tc>
        <w:tc>
          <w:tcPr>
            <w:tcW w:w="2514" w:type="dxa"/>
          </w:tcPr>
          <w:p w:rsidR="006C56A2" w:rsidRDefault="006B6D3D" w:rsidP="00CA73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654240">
              <w:rPr>
                <w:lang w:val="en-US"/>
              </w:rPr>
              <w:t>256</w:t>
            </w:r>
          </w:p>
        </w:tc>
      </w:tr>
      <w:tr w:rsidR="007E7078" w:rsidTr="00FB4323">
        <w:tc>
          <w:tcPr>
            <w:tcW w:w="2546" w:type="dxa"/>
          </w:tcPr>
          <w:p w:rsidR="007E7078" w:rsidRPr="007E7078" w:rsidRDefault="007E7078" w:rsidP="00CA73AA">
            <w:pPr>
              <w:rPr>
                <w:highlight w:val="red"/>
                <w:lang w:val="en-US"/>
              </w:rPr>
            </w:pPr>
            <w:r w:rsidRPr="007E7078">
              <w:rPr>
                <w:highlight w:val="red"/>
                <w:lang w:val="en-US"/>
              </w:rPr>
              <w:lastRenderedPageBreak/>
              <w:t>Follow up</w:t>
            </w:r>
          </w:p>
        </w:tc>
        <w:tc>
          <w:tcPr>
            <w:tcW w:w="2124" w:type="dxa"/>
          </w:tcPr>
          <w:p w:rsidR="007E7078" w:rsidRPr="007E7078" w:rsidRDefault="007E7078" w:rsidP="00CA73AA">
            <w:pPr>
              <w:jc w:val="center"/>
              <w:rPr>
                <w:highlight w:val="red"/>
                <w:lang w:val="en-US"/>
              </w:rPr>
            </w:pPr>
            <w:r w:rsidRPr="007E7078">
              <w:rPr>
                <w:highlight w:val="red"/>
                <w:lang w:val="en-US"/>
              </w:rPr>
              <w:t>23.0 (19.8 – 22.3)</w:t>
            </w:r>
          </w:p>
        </w:tc>
        <w:tc>
          <w:tcPr>
            <w:tcW w:w="2056" w:type="dxa"/>
          </w:tcPr>
          <w:p w:rsidR="007E7078" w:rsidRPr="007E7078" w:rsidRDefault="007E7078" w:rsidP="00CA73AA">
            <w:pPr>
              <w:jc w:val="center"/>
              <w:rPr>
                <w:highlight w:val="red"/>
                <w:lang w:val="en-US"/>
              </w:rPr>
            </w:pPr>
            <w:r w:rsidRPr="007E7078">
              <w:rPr>
                <w:highlight w:val="red"/>
                <w:lang w:val="en-US"/>
              </w:rPr>
              <w:t>17.0 (15.0 – 24.3)</w:t>
            </w:r>
          </w:p>
        </w:tc>
        <w:tc>
          <w:tcPr>
            <w:tcW w:w="2514" w:type="dxa"/>
          </w:tcPr>
          <w:p w:rsidR="007E7078" w:rsidRDefault="007E7078" w:rsidP="00CA73AA">
            <w:pPr>
              <w:jc w:val="center"/>
              <w:rPr>
                <w:lang w:val="en-US"/>
              </w:rPr>
            </w:pPr>
            <w:r w:rsidRPr="007E7078">
              <w:rPr>
                <w:highlight w:val="red"/>
                <w:lang w:val="en-US"/>
              </w:rPr>
              <w:t>0.137</w:t>
            </w:r>
          </w:p>
        </w:tc>
      </w:tr>
      <w:tr w:rsidR="006C56A2" w:rsidTr="00FB4323">
        <w:tc>
          <w:tcPr>
            <w:tcW w:w="2546" w:type="dxa"/>
          </w:tcPr>
          <w:p w:rsidR="006C56A2" w:rsidRDefault="00E12EF0" w:rsidP="00CA73A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Hb</w:t>
            </w:r>
            <w:proofErr w:type="spellEnd"/>
            <w:r>
              <w:rPr>
                <w:lang w:val="en-US"/>
              </w:rPr>
              <w:t xml:space="preserve"> difference</w:t>
            </w:r>
          </w:p>
        </w:tc>
        <w:tc>
          <w:tcPr>
            <w:tcW w:w="2124" w:type="dxa"/>
          </w:tcPr>
          <w:p w:rsidR="006C56A2" w:rsidRDefault="00FB4323" w:rsidP="00CA73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1.4 (0.8 – 3.4)</w:t>
            </w:r>
          </w:p>
        </w:tc>
        <w:tc>
          <w:tcPr>
            <w:tcW w:w="2056" w:type="dxa"/>
          </w:tcPr>
          <w:p w:rsidR="006C56A2" w:rsidRPr="00DE20A7" w:rsidRDefault="00FB4323" w:rsidP="00DE20A7">
            <w:pPr>
              <w:jc w:val="center"/>
            </w:pPr>
            <w:r w:rsidRPr="00DE20A7">
              <w:rPr>
                <w:highlight w:val="magenta"/>
                <w:lang w:val="en-US"/>
              </w:rPr>
              <w:t>1.</w:t>
            </w:r>
            <w:r w:rsidR="00DE20A7" w:rsidRPr="00DE20A7">
              <w:rPr>
                <w:highlight w:val="magenta"/>
                <w:lang w:val="en-US"/>
              </w:rPr>
              <w:t>35</w:t>
            </w:r>
            <w:r w:rsidRPr="00DE20A7">
              <w:rPr>
                <w:highlight w:val="magenta"/>
                <w:lang w:val="en-US"/>
              </w:rPr>
              <w:t xml:space="preserve"> (0.</w:t>
            </w:r>
            <w:r w:rsidR="00DE20A7" w:rsidRPr="00DE20A7">
              <w:rPr>
                <w:highlight w:val="magenta"/>
                <w:lang w:val="en-US"/>
              </w:rPr>
              <w:t>675</w:t>
            </w:r>
            <w:r w:rsidRPr="00DE20A7">
              <w:rPr>
                <w:highlight w:val="magenta"/>
                <w:lang w:val="en-US"/>
              </w:rPr>
              <w:t xml:space="preserve"> – 1.</w:t>
            </w:r>
            <w:r w:rsidR="00DE20A7" w:rsidRPr="00DE20A7">
              <w:rPr>
                <w:highlight w:val="magenta"/>
                <w:lang w:val="en-US"/>
              </w:rPr>
              <w:t>925</w:t>
            </w:r>
            <w:r w:rsidRPr="00DE20A7">
              <w:rPr>
                <w:highlight w:val="magenta"/>
                <w:lang w:val="en-US"/>
              </w:rPr>
              <w:t>)</w:t>
            </w:r>
          </w:p>
        </w:tc>
        <w:tc>
          <w:tcPr>
            <w:tcW w:w="2514" w:type="dxa"/>
          </w:tcPr>
          <w:p w:rsidR="006C56A2" w:rsidRDefault="006B6D3D" w:rsidP="00CA73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654240">
              <w:rPr>
                <w:lang w:val="en-US"/>
              </w:rPr>
              <w:t>646</w:t>
            </w:r>
          </w:p>
        </w:tc>
      </w:tr>
      <w:tr w:rsidR="006C56A2" w:rsidRPr="004112C7" w:rsidTr="00FB4323">
        <w:tc>
          <w:tcPr>
            <w:tcW w:w="2546" w:type="dxa"/>
          </w:tcPr>
          <w:p w:rsidR="006C56A2" w:rsidRPr="004112C7" w:rsidRDefault="00E12EF0" w:rsidP="00CA73AA">
            <w:pPr>
              <w:rPr>
                <w:highlight w:val="magenta"/>
                <w:lang w:val="en-US"/>
              </w:rPr>
            </w:pPr>
            <w:r w:rsidRPr="004112C7">
              <w:rPr>
                <w:highlight w:val="magenta"/>
                <w:lang w:val="en-US"/>
              </w:rPr>
              <w:t>Warm Ischemia time</w:t>
            </w:r>
          </w:p>
        </w:tc>
        <w:tc>
          <w:tcPr>
            <w:tcW w:w="2124" w:type="dxa"/>
          </w:tcPr>
          <w:p w:rsidR="006C56A2" w:rsidRPr="004112C7" w:rsidRDefault="004112C7" w:rsidP="004112C7">
            <w:pPr>
              <w:jc w:val="center"/>
              <w:rPr>
                <w:highlight w:val="magenta"/>
                <w:lang w:val="en-US"/>
              </w:rPr>
            </w:pPr>
            <w:r w:rsidRPr="004112C7">
              <w:rPr>
                <w:highlight w:val="magenta"/>
                <w:lang w:val="en-US"/>
              </w:rPr>
              <w:t>1</w:t>
            </w:r>
            <w:r w:rsidRPr="004112C7">
              <w:rPr>
                <w:highlight w:val="magenta"/>
              </w:rPr>
              <w:t>6</w:t>
            </w:r>
            <w:r w:rsidR="00FB4323" w:rsidRPr="004112C7">
              <w:rPr>
                <w:highlight w:val="magenta"/>
                <w:lang w:val="en-US"/>
              </w:rPr>
              <w:t>.0 (</w:t>
            </w:r>
            <w:r w:rsidRPr="004112C7">
              <w:rPr>
                <w:highlight w:val="magenta"/>
              </w:rPr>
              <w:t>14.0</w:t>
            </w:r>
            <w:r w:rsidR="00FB4323" w:rsidRPr="004112C7">
              <w:rPr>
                <w:highlight w:val="magenta"/>
                <w:lang w:val="en-US"/>
              </w:rPr>
              <w:t xml:space="preserve"> – 20.0)</w:t>
            </w:r>
          </w:p>
        </w:tc>
        <w:tc>
          <w:tcPr>
            <w:tcW w:w="2056" w:type="dxa"/>
          </w:tcPr>
          <w:p w:rsidR="006C56A2" w:rsidRPr="004112C7" w:rsidRDefault="004112C7" w:rsidP="004112C7">
            <w:pPr>
              <w:jc w:val="center"/>
              <w:rPr>
                <w:highlight w:val="magenta"/>
                <w:lang w:val="en-US"/>
              </w:rPr>
            </w:pPr>
            <w:r w:rsidRPr="004112C7">
              <w:rPr>
                <w:highlight w:val="magenta"/>
                <w:lang w:val="en-US"/>
              </w:rPr>
              <w:t>23</w:t>
            </w:r>
            <w:r w:rsidR="00FB4323" w:rsidRPr="004112C7">
              <w:rPr>
                <w:highlight w:val="magenta"/>
                <w:lang w:val="en-US"/>
              </w:rPr>
              <w:t>.0 (</w:t>
            </w:r>
            <w:r w:rsidRPr="004112C7">
              <w:rPr>
                <w:highlight w:val="magenta"/>
                <w:lang w:val="en-US"/>
              </w:rPr>
              <w:t>20.</w:t>
            </w:r>
            <w:r w:rsidRPr="004112C7">
              <w:rPr>
                <w:highlight w:val="magenta"/>
              </w:rPr>
              <w:t>0</w:t>
            </w:r>
            <w:r w:rsidR="00FB4323" w:rsidRPr="004112C7">
              <w:rPr>
                <w:highlight w:val="magenta"/>
                <w:lang w:val="en-US"/>
              </w:rPr>
              <w:t xml:space="preserve"> – </w:t>
            </w:r>
            <w:r w:rsidRPr="004112C7">
              <w:rPr>
                <w:highlight w:val="magenta"/>
              </w:rPr>
              <w:t>28.5</w:t>
            </w:r>
            <w:r w:rsidR="00FB4323" w:rsidRPr="004112C7">
              <w:rPr>
                <w:highlight w:val="magenta"/>
                <w:lang w:val="en-US"/>
              </w:rPr>
              <w:t>)</w:t>
            </w:r>
          </w:p>
        </w:tc>
        <w:tc>
          <w:tcPr>
            <w:tcW w:w="2514" w:type="dxa"/>
          </w:tcPr>
          <w:p w:rsidR="006C56A2" w:rsidRPr="004112C7" w:rsidRDefault="006B6D3D" w:rsidP="004112C7">
            <w:pPr>
              <w:jc w:val="center"/>
              <w:rPr>
                <w:highlight w:val="magenta"/>
                <w:lang w:val="en-US"/>
              </w:rPr>
            </w:pPr>
            <w:r w:rsidRPr="004112C7">
              <w:rPr>
                <w:highlight w:val="magenta"/>
                <w:lang w:val="en-US"/>
              </w:rPr>
              <w:t>0.</w:t>
            </w:r>
            <w:r w:rsidR="004112C7" w:rsidRPr="004112C7">
              <w:rPr>
                <w:highlight w:val="magenta"/>
                <w:lang w:val="en-US"/>
              </w:rPr>
              <w:t>160</w:t>
            </w:r>
          </w:p>
        </w:tc>
      </w:tr>
      <w:tr w:rsidR="006C56A2" w:rsidRPr="004112C7" w:rsidTr="00FB4323">
        <w:tc>
          <w:tcPr>
            <w:tcW w:w="2546" w:type="dxa"/>
          </w:tcPr>
          <w:p w:rsidR="006C56A2" w:rsidRDefault="0068559E" w:rsidP="00CA73AA">
            <w:pPr>
              <w:rPr>
                <w:highlight w:val="red"/>
                <w:lang w:val="en-US"/>
              </w:rPr>
            </w:pPr>
            <w:r w:rsidRPr="00E658D9">
              <w:rPr>
                <w:highlight w:val="red"/>
                <w:lang w:val="en-US"/>
              </w:rPr>
              <w:t>Operative time</w:t>
            </w:r>
          </w:p>
          <w:p w:rsidR="00DA19A7" w:rsidRPr="00E658D9" w:rsidRDefault="00DA19A7" w:rsidP="009E6C9E">
            <w:pPr>
              <w:rPr>
                <w:highlight w:val="red"/>
                <w:lang w:val="en-US"/>
              </w:rPr>
            </w:pPr>
            <w:r w:rsidRPr="009E6C9E">
              <w:rPr>
                <w:highlight w:val="magenta"/>
                <w:lang w:val="en-US"/>
              </w:rPr>
              <w:t>Hospital time</w:t>
            </w:r>
            <w:r w:rsidR="009E6C9E" w:rsidRPr="009E6C9E">
              <w:rPr>
                <w:highlight w:val="magenta"/>
                <w:lang w:val="en-US"/>
              </w:rPr>
              <w:t xml:space="preserve">            </w:t>
            </w:r>
          </w:p>
        </w:tc>
        <w:tc>
          <w:tcPr>
            <w:tcW w:w="2124" w:type="dxa"/>
          </w:tcPr>
          <w:p w:rsidR="006C56A2" w:rsidRDefault="00FB4323" w:rsidP="00935B75">
            <w:pPr>
              <w:jc w:val="center"/>
              <w:rPr>
                <w:highlight w:val="red"/>
                <w:lang w:val="en-US"/>
              </w:rPr>
            </w:pPr>
            <w:r w:rsidRPr="00E658D9">
              <w:rPr>
                <w:highlight w:val="red"/>
                <w:lang w:val="en-US"/>
              </w:rPr>
              <w:t>199 (1</w:t>
            </w:r>
            <w:r w:rsidR="00935B75" w:rsidRPr="00E658D9">
              <w:rPr>
                <w:highlight w:val="red"/>
                <w:lang w:val="en-US"/>
              </w:rPr>
              <w:t>50</w:t>
            </w:r>
            <w:r w:rsidRPr="00E658D9">
              <w:rPr>
                <w:highlight w:val="red"/>
                <w:lang w:val="en-US"/>
              </w:rPr>
              <w:t>.0 – 220.0)</w:t>
            </w:r>
          </w:p>
          <w:p w:rsidR="009E6C9E" w:rsidRPr="00E658D9" w:rsidRDefault="009E6C9E" w:rsidP="00935B75">
            <w:pPr>
              <w:jc w:val="center"/>
              <w:rPr>
                <w:highlight w:val="red"/>
                <w:lang w:val="en-US"/>
              </w:rPr>
            </w:pPr>
            <w:r w:rsidRPr="009E6C9E">
              <w:rPr>
                <w:highlight w:val="magenta"/>
                <w:lang w:val="en-US"/>
              </w:rPr>
              <w:t>5(4-7)</w:t>
            </w:r>
          </w:p>
        </w:tc>
        <w:tc>
          <w:tcPr>
            <w:tcW w:w="2056" w:type="dxa"/>
          </w:tcPr>
          <w:p w:rsidR="006C56A2" w:rsidRDefault="00FB4323" w:rsidP="00055734">
            <w:pPr>
              <w:jc w:val="center"/>
              <w:rPr>
                <w:highlight w:val="red"/>
                <w:lang w:val="en-US"/>
              </w:rPr>
            </w:pPr>
            <w:r w:rsidRPr="00E658D9">
              <w:rPr>
                <w:highlight w:val="red"/>
                <w:lang w:val="en-US"/>
              </w:rPr>
              <w:t xml:space="preserve">115 (100.0 – </w:t>
            </w:r>
            <w:r w:rsidR="009E6C9E" w:rsidRPr="009E6C9E">
              <w:rPr>
                <w:highlight w:val="magenta"/>
                <w:lang w:val="en-US"/>
              </w:rPr>
              <w:t>180.0</w:t>
            </w:r>
            <w:r w:rsidRPr="009E6C9E">
              <w:rPr>
                <w:highlight w:val="magenta"/>
                <w:lang w:val="en-US"/>
              </w:rPr>
              <w:t>)</w:t>
            </w:r>
          </w:p>
          <w:p w:rsidR="00665E60" w:rsidRPr="004112C7" w:rsidRDefault="003C2798" w:rsidP="00055734">
            <w:pPr>
              <w:jc w:val="center"/>
              <w:rPr>
                <w:highlight w:val="red"/>
                <w:lang w:val="en-US"/>
              </w:rPr>
            </w:pPr>
            <w:r>
              <w:rPr>
                <w:highlight w:val="magenta"/>
                <w:lang w:val="en-US"/>
              </w:rPr>
              <w:t>6(5-6</w:t>
            </w:r>
            <w:r w:rsidR="009B42B5" w:rsidRPr="004112C7">
              <w:rPr>
                <w:highlight w:val="magenta"/>
                <w:lang w:val="en-US"/>
              </w:rPr>
              <w:t>)</w:t>
            </w:r>
          </w:p>
        </w:tc>
        <w:tc>
          <w:tcPr>
            <w:tcW w:w="2514" w:type="dxa"/>
          </w:tcPr>
          <w:p w:rsidR="006C56A2" w:rsidRDefault="006B6D3D" w:rsidP="00CA73AA">
            <w:pPr>
              <w:jc w:val="center"/>
              <w:rPr>
                <w:b/>
                <w:lang w:val="en-US"/>
              </w:rPr>
            </w:pPr>
            <w:r w:rsidRPr="00E658D9">
              <w:rPr>
                <w:b/>
                <w:highlight w:val="red"/>
                <w:lang w:val="en-US"/>
              </w:rPr>
              <w:t>0.00</w:t>
            </w:r>
            <w:r w:rsidR="00E658D9" w:rsidRPr="00E658D9">
              <w:rPr>
                <w:b/>
                <w:highlight w:val="red"/>
                <w:lang w:val="en-US"/>
              </w:rPr>
              <w:t>1</w:t>
            </w:r>
          </w:p>
          <w:p w:rsidR="009E6C9E" w:rsidRPr="00DA76E0" w:rsidRDefault="009E6C9E" w:rsidP="00CA73AA">
            <w:pPr>
              <w:jc w:val="center"/>
              <w:rPr>
                <w:b/>
                <w:lang w:val="en-US"/>
              </w:rPr>
            </w:pPr>
            <w:r w:rsidRPr="009E6C9E">
              <w:rPr>
                <w:b/>
                <w:highlight w:val="magenta"/>
                <w:lang w:val="en-US"/>
              </w:rPr>
              <w:t>0.233</w:t>
            </w:r>
          </w:p>
        </w:tc>
      </w:tr>
      <w:tr w:rsidR="006C56A2" w:rsidTr="00FB4323">
        <w:tc>
          <w:tcPr>
            <w:tcW w:w="2546" w:type="dxa"/>
          </w:tcPr>
          <w:p w:rsidR="006C56A2" w:rsidRDefault="00050425" w:rsidP="00CA73A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Egfr</w:t>
            </w:r>
            <w:proofErr w:type="spellEnd"/>
            <w:r>
              <w:rPr>
                <w:lang w:val="en-US"/>
              </w:rPr>
              <w:t xml:space="preserve"> Difference</w:t>
            </w:r>
          </w:p>
        </w:tc>
        <w:tc>
          <w:tcPr>
            <w:tcW w:w="2124" w:type="dxa"/>
          </w:tcPr>
          <w:p w:rsidR="006C56A2" w:rsidRDefault="00FB4323" w:rsidP="00CA73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6.8 (0.0 – 14.1)</w:t>
            </w:r>
          </w:p>
        </w:tc>
        <w:tc>
          <w:tcPr>
            <w:tcW w:w="2056" w:type="dxa"/>
          </w:tcPr>
          <w:p w:rsidR="006C56A2" w:rsidRDefault="00FB4323" w:rsidP="00CA73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 (-5.0 – 13.8)</w:t>
            </w:r>
          </w:p>
        </w:tc>
        <w:tc>
          <w:tcPr>
            <w:tcW w:w="2514" w:type="dxa"/>
          </w:tcPr>
          <w:p w:rsidR="006C56A2" w:rsidRDefault="006B6D3D" w:rsidP="00CA73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0.352</w:t>
            </w:r>
          </w:p>
        </w:tc>
      </w:tr>
      <w:bookmarkEnd w:id="1"/>
    </w:tbl>
    <w:p w:rsidR="006C56A2" w:rsidRDefault="006C56A2" w:rsidP="006C56A2">
      <w:pPr>
        <w:rPr>
          <w:lang w:val="en-US"/>
        </w:rPr>
      </w:pPr>
    </w:p>
    <w:p w:rsidR="00605AFE" w:rsidRDefault="00605AFE" w:rsidP="00605AFE">
      <w:pPr>
        <w:rPr>
          <w:lang w:val="en-US"/>
        </w:rPr>
      </w:pPr>
      <w:r>
        <w:rPr>
          <w:b/>
          <w:lang w:val="en-US"/>
        </w:rPr>
        <w:t xml:space="preserve">Table </w:t>
      </w:r>
      <w:r w:rsidR="00F45451">
        <w:rPr>
          <w:b/>
          <w:lang w:val="en-US"/>
        </w:rPr>
        <w:t>4</w:t>
      </w:r>
      <w:r>
        <w:rPr>
          <w:b/>
          <w:lang w:val="en-US"/>
        </w:rPr>
        <w:t xml:space="preserve">. </w:t>
      </w:r>
      <w:r>
        <w:rPr>
          <w:lang w:val="en-US"/>
        </w:rPr>
        <w:t>Postoperative qualitative data of the two groups</w:t>
      </w:r>
    </w:p>
    <w:tbl>
      <w:tblPr>
        <w:tblStyle w:val="TableGrid"/>
        <w:tblW w:w="82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2"/>
        <w:gridCol w:w="1499"/>
        <w:gridCol w:w="960"/>
        <w:gridCol w:w="1144"/>
        <w:gridCol w:w="2073"/>
      </w:tblGrid>
      <w:tr w:rsidR="00605AFE" w:rsidRPr="00892B95" w:rsidTr="009569BB">
        <w:tc>
          <w:tcPr>
            <w:tcW w:w="2532" w:type="dxa"/>
            <w:tcBorders>
              <w:top w:val="single" w:sz="4" w:space="0" w:color="auto"/>
            </w:tcBorders>
          </w:tcPr>
          <w:p w:rsidR="00605AFE" w:rsidRDefault="00605AFE" w:rsidP="00CA73AA">
            <w:pPr>
              <w:rPr>
                <w:lang w:val="en-US"/>
              </w:rPr>
            </w:pPr>
          </w:p>
        </w:tc>
        <w:tc>
          <w:tcPr>
            <w:tcW w:w="1499" w:type="dxa"/>
            <w:tcBorders>
              <w:top w:val="single" w:sz="4" w:space="0" w:color="auto"/>
            </w:tcBorders>
          </w:tcPr>
          <w:p w:rsidR="00605AFE" w:rsidRDefault="00605AFE" w:rsidP="00CA73AA">
            <w:pPr>
              <w:jc w:val="center"/>
              <w:rPr>
                <w:lang w:val="en-US"/>
              </w:rPr>
            </w:pPr>
          </w:p>
        </w:tc>
        <w:tc>
          <w:tcPr>
            <w:tcW w:w="210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605AFE" w:rsidRDefault="00605AFE" w:rsidP="00CA73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Percentage</w:t>
            </w:r>
          </w:p>
        </w:tc>
        <w:tc>
          <w:tcPr>
            <w:tcW w:w="2073" w:type="dxa"/>
            <w:tcBorders>
              <w:top w:val="single" w:sz="4" w:space="0" w:color="auto"/>
            </w:tcBorders>
          </w:tcPr>
          <w:p w:rsidR="00605AFE" w:rsidRDefault="00605AFE" w:rsidP="00FF4A10">
            <w:pPr>
              <w:jc w:val="center"/>
              <w:rPr>
                <w:lang w:val="en-US"/>
              </w:rPr>
            </w:pPr>
            <w:bookmarkStart w:id="2" w:name="_GoBack"/>
            <w:r>
              <w:rPr>
                <w:lang w:val="en-US"/>
              </w:rPr>
              <w:t>P (X</w:t>
            </w:r>
            <w:r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 xml:space="preserve"> test</w:t>
            </w:r>
            <w:r w:rsidR="001C5C4B">
              <w:rPr>
                <w:lang w:val="en-US"/>
              </w:rPr>
              <w:t xml:space="preserve"> 2-sided</w:t>
            </w:r>
            <w:r w:rsidR="00FF4A10">
              <w:rPr>
                <w:lang w:val="en-US"/>
              </w:rPr>
              <w:t>,</w:t>
            </w:r>
            <w:r w:rsidR="001C5C4B">
              <w:rPr>
                <w:lang w:val="en-US"/>
              </w:rPr>
              <w:t xml:space="preserve"> Fisher exact test)</w:t>
            </w:r>
            <w:bookmarkEnd w:id="2"/>
          </w:p>
        </w:tc>
      </w:tr>
      <w:tr w:rsidR="00605AFE" w:rsidTr="009569BB">
        <w:tc>
          <w:tcPr>
            <w:tcW w:w="2532" w:type="dxa"/>
          </w:tcPr>
          <w:p w:rsidR="00605AFE" w:rsidRDefault="00605AFE" w:rsidP="00CA73AA">
            <w:pPr>
              <w:rPr>
                <w:lang w:val="en-US"/>
              </w:rPr>
            </w:pPr>
          </w:p>
        </w:tc>
        <w:tc>
          <w:tcPr>
            <w:tcW w:w="1499" w:type="dxa"/>
          </w:tcPr>
          <w:p w:rsidR="00605AFE" w:rsidRPr="004B3FBC" w:rsidRDefault="00605AFE" w:rsidP="00CA73AA">
            <w:pPr>
              <w:jc w:val="center"/>
              <w:rPr>
                <w:highlight w:val="yellow"/>
                <w:lang w:val="en-US"/>
              </w:rPr>
            </w:pPr>
          </w:p>
        </w:tc>
        <w:tc>
          <w:tcPr>
            <w:tcW w:w="960" w:type="dxa"/>
            <w:tcBorders>
              <w:top w:val="single" w:sz="4" w:space="0" w:color="auto"/>
            </w:tcBorders>
          </w:tcPr>
          <w:p w:rsidR="00605AFE" w:rsidRPr="004B3FBC" w:rsidRDefault="00605AFE" w:rsidP="00CA73AA">
            <w:pPr>
              <w:jc w:val="center"/>
              <w:rPr>
                <w:highlight w:val="yellow"/>
                <w:lang w:val="en-US"/>
              </w:rPr>
            </w:pPr>
            <w:r w:rsidRPr="004B3FBC">
              <w:rPr>
                <w:highlight w:val="yellow"/>
                <w:lang w:val="en-US"/>
              </w:rPr>
              <w:t>Greece</w:t>
            </w:r>
          </w:p>
        </w:tc>
        <w:tc>
          <w:tcPr>
            <w:tcW w:w="1144" w:type="dxa"/>
            <w:tcBorders>
              <w:top w:val="single" w:sz="4" w:space="0" w:color="auto"/>
            </w:tcBorders>
          </w:tcPr>
          <w:p w:rsidR="00605AFE" w:rsidRPr="004B3FBC" w:rsidRDefault="00605AFE" w:rsidP="00CA73AA">
            <w:pPr>
              <w:jc w:val="center"/>
              <w:rPr>
                <w:highlight w:val="yellow"/>
                <w:lang w:val="en-US"/>
              </w:rPr>
            </w:pPr>
            <w:r w:rsidRPr="004B3FBC">
              <w:rPr>
                <w:highlight w:val="yellow"/>
                <w:lang w:val="en-US"/>
              </w:rPr>
              <w:t>Germany</w:t>
            </w:r>
          </w:p>
        </w:tc>
        <w:tc>
          <w:tcPr>
            <w:tcW w:w="2073" w:type="dxa"/>
          </w:tcPr>
          <w:p w:rsidR="00605AFE" w:rsidRDefault="00605AFE" w:rsidP="00CA73AA">
            <w:pPr>
              <w:rPr>
                <w:lang w:val="en-US"/>
              </w:rPr>
            </w:pPr>
          </w:p>
        </w:tc>
      </w:tr>
      <w:tr w:rsidR="00605AFE" w:rsidTr="009569BB">
        <w:tc>
          <w:tcPr>
            <w:tcW w:w="2532" w:type="dxa"/>
          </w:tcPr>
          <w:p w:rsidR="00605AFE" w:rsidRDefault="00605AFE" w:rsidP="00CA73AA">
            <w:pPr>
              <w:rPr>
                <w:lang w:val="en-US"/>
              </w:rPr>
            </w:pPr>
            <w:r>
              <w:rPr>
                <w:lang w:val="en-US"/>
              </w:rPr>
              <w:t>Surgical Margins</w:t>
            </w:r>
          </w:p>
        </w:tc>
        <w:tc>
          <w:tcPr>
            <w:tcW w:w="1499" w:type="dxa"/>
          </w:tcPr>
          <w:p w:rsidR="00605AFE" w:rsidRDefault="00605AFE" w:rsidP="00CA73AA">
            <w:pPr>
              <w:rPr>
                <w:lang w:val="en-US"/>
              </w:rPr>
            </w:pPr>
            <w:r>
              <w:rPr>
                <w:lang w:val="en-US"/>
              </w:rPr>
              <w:t>Negative</w:t>
            </w:r>
          </w:p>
        </w:tc>
        <w:tc>
          <w:tcPr>
            <w:tcW w:w="960" w:type="dxa"/>
          </w:tcPr>
          <w:p w:rsidR="00605AFE" w:rsidRDefault="00605AFE" w:rsidP="00CA73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50.0</w:t>
            </w:r>
          </w:p>
        </w:tc>
        <w:tc>
          <w:tcPr>
            <w:tcW w:w="1144" w:type="dxa"/>
          </w:tcPr>
          <w:p w:rsidR="00605AFE" w:rsidRDefault="00605AFE" w:rsidP="00CA73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50.0</w:t>
            </w:r>
          </w:p>
        </w:tc>
        <w:tc>
          <w:tcPr>
            <w:tcW w:w="2073" w:type="dxa"/>
            <w:vMerge w:val="restart"/>
          </w:tcPr>
          <w:p w:rsidR="00605AFE" w:rsidRDefault="00605AFE" w:rsidP="00CA73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1.00</w:t>
            </w:r>
          </w:p>
        </w:tc>
      </w:tr>
      <w:tr w:rsidR="00605AFE" w:rsidTr="009569BB">
        <w:tc>
          <w:tcPr>
            <w:tcW w:w="2532" w:type="dxa"/>
          </w:tcPr>
          <w:p w:rsidR="00605AFE" w:rsidRDefault="00605AFE" w:rsidP="00CA73AA">
            <w:pPr>
              <w:rPr>
                <w:lang w:val="en-US"/>
              </w:rPr>
            </w:pPr>
          </w:p>
        </w:tc>
        <w:tc>
          <w:tcPr>
            <w:tcW w:w="1499" w:type="dxa"/>
          </w:tcPr>
          <w:p w:rsidR="00605AFE" w:rsidRDefault="00605AFE" w:rsidP="00CA73AA">
            <w:pPr>
              <w:rPr>
                <w:lang w:val="en-US"/>
              </w:rPr>
            </w:pPr>
            <w:r>
              <w:rPr>
                <w:lang w:val="en-US"/>
              </w:rPr>
              <w:t>Positive</w:t>
            </w:r>
          </w:p>
        </w:tc>
        <w:tc>
          <w:tcPr>
            <w:tcW w:w="960" w:type="dxa"/>
          </w:tcPr>
          <w:p w:rsidR="00605AFE" w:rsidRDefault="00605AFE" w:rsidP="00CA73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50.0</w:t>
            </w:r>
          </w:p>
        </w:tc>
        <w:tc>
          <w:tcPr>
            <w:tcW w:w="1144" w:type="dxa"/>
          </w:tcPr>
          <w:p w:rsidR="00605AFE" w:rsidRDefault="00605AFE" w:rsidP="00CA73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50.0</w:t>
            </w:r>
          </w:p>
        </w:tc>
        <w:tc>
          <w:tcPr>
            <w:tcW w:w="2073" w:type="dxa"/>
            <w:vMerge/>
          </w:tcPr>
          <w:p w:rsidR="00605AFE" w:rsidRDefault="00605AFE" w:rsidP="00CA73AA">
            <w:pPr>
              <w:jc w:val="center"/>
              <w:rPr>
                <w:lang w:val="en-US"/>
              </w:rPr>
            </w:pPr>
          </w:p>
        </w:tc>
      </w:tr>
      <w:tr w:rsidR="00605AFE" w:rsidTr="009569BB">
        <w:tc>
          <w:tcPr>
            <w:tcW w:w="2532" w:type="dxa"/>
          </w:tcPr>
          <w:p w:rsidR="00605AFE" w:rsidRDefault="00605AFE" w:rsidP="00CA73AA">
            <w:pPr>
              <w:rPr>
                <w:lang w:val="en-US"/>
              </w:rPr>
            </w:pPr>
            <w:r>
              <w:rPr>
                <w:lang w:val="en-US"/>
              </w:rPr>
              <w:t xml:space="preserve">Modified </w:t>
            </w:r>
            <w:proofErr w:type="spellStart"/>
            <w:r>
              <w:rPr>
                <w:lang w:val="en-US"/>
              </w:rPr>
              <w:t>Clavien</w:t>
            </w:r>
            <w:proofErr w:type="spellEnd"/>
            <w:r>
              <w:rPr>
                <w:lang w:val="en-US"/>
              </w:rPr>
              <w:t xml:space="preserve"> System</w:t>
            </w:r>
          </w:p>
        </w:tc>
        <w:tc>
          <w:tcPr>
            <w:tcW w:w="1499" w:type="dxa"/>
          </w:tcPr>
          <w:p w:rsidR="00605AFE" w:rsidRDefault="00605AFE" w:rsidP="00CA73AA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960" w:type="dxa"/>
          </w:tcPr>
          <w:p w:rsidR="00605AFE" w:rsidRDefault="00605AFE" w:rsidP="00CA73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37.5</w:t>
            </w:r>
          </w:p>
        </w:tc>
        <w:tc>
          <w:tcPr>
            <w:tcW w:w="1144" w:type="dxa"/>
          </w:tcPr>
          <w:p w:rsidR="00605AFE" w:rsidRDefault="00605AFE" w:rsidP="00CA73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62.5</w:t>
            </w:r>
          </w:p>
        </w:tc>
        <w:tc>
          <w:tcPr>
            <w:tcW w:w="2073" w:type="dxa"/>
            <w:vMerge w:val="restart"/>
          </w:tcPr>
          <w:p w:rsidR="00605AFE" w:rsidRDefault="000D307C" w:rsidP="00CA73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0.06</w:t>
            </w:r>
          </w:p>
        </w:tc>
      </w:tr>
      <w:tr w:rsidR="00605AFE" w:rsidTr="009569BB">
        <w:tc>
          <w:tcPr>
            <w:tcW w:w="2532" w:type="dxa"/>
          </w:tcPr>
          <w:p w:rsidR="00605AFE" w:rsidRDefault="00605AFE" w:rsidP="00CA73AA">
            <w:pPr>
              <w:rPr>
                <w:lang w:val="en-US"/>
              </w:rPr>
            </w:pPr>
          </w:p>
        </w:tc>
        <w:tc>
          <w:tcPr>
            <w:tcW w:w="1499" w:type="dxa"/>
          </w:tcPr>
          <w:p w:rsidR="00605AFE" w:rsidRDefault="00605AFE" w:rsidP="00CA73AA">
            <w:pPr>
              <w:rPr>
                <w:lang w:val="en-US"/>
              </w:rPr>
            </w:pPr>
            <w:r>
              <w:rPr>
                <w:lang w:val="en-US"/>
              </w:rPr>
              <w:t>Grade (1,2,5)</w:t>
            </w:r>
          </w:p>
        </w:tc>
        <w:tc>
          <w:tcPr>
            <w:tcW w:w="960" w:type="dxa"/>
          </w:tcPr>
          <w:p w:rsidR="00605AFE" w:rsidRPr="00892B95" w:rsidRDefault="00892B95" w:rsidP="00CA73AA">
            <w:pPr>
              <w:jc w:val="center"/>
              <w:rPr>
                <w:highlight w:val="magenta"/>
                <w:lang w:val="en-US"/>
              </w:rPr>
            </w:pPr>
            <w:r w:rsidRPr="00892B95">
              <w:rPr>
                <w:highlight w:val="magenta"/>
                <w:lang w:val="en-US"/>
              </w:rPr>
              <w:t>85.7</w:t>
            </w:r>
          </w:p>
        </w:tc>
        <w:tc>
          <w:tcPr>
            <w:tcW w:w="1144" w:type="dxa"/>
          </w:tcPr>
          <w:p w:rsidR="00605AFE" w:rsidRPr="00892B95" w:rsidRDefault="00892B95" w:rsidP="00CA73AA">
            <w:pPr>
              <w:jc w:val="center"/>
              <w:rPr>
                <w:highlight w:val="magenta"/>
                <w:lang w:val="en-US"/>
              </w:rPr>
            </w:pPr>
            <w:r w:rsidRPr="00892B95">
              <w:rPr>
                <w:highlight w:val="magenta"/>
                <w:lang w:val="en-US"/>
              </w:rPr>
              <w:t>14.3</w:t>
            </w:r>
          </w:p>
        </w:tc>
        <w:tc>
          <w:tcPr>
            <w:tcW w:w="2073" w:type="dxa"/>
            <w:vMerge/>
          </w:tcPr>
          <w:p w:rsidR="00605AFE" w:rsidRDefault="00605AFE" w:rsidP="00CA73AA">
            <w:pPr>
              <w:jc w:val="center"/>
              <w:rPr>
                <w:lang w:val="en-US"/>
              </w:rPr>
            </w:pPr>
          </w:p>
        </w:tc>
      </w:tr>
      <w:tr w:rsidR="000D1234" w:rsidTr="009569BB">
        <w:tc>
          <w:tcPr>
            <w:tcW w:w="2532" w:type="dxa"/>
          </w:tcPr>
          <w:p w:rsidR="000D1234" w:rsidRPr="00A61CE2" w:rsidRDefault="000D1234" w:rsidP="00CA73AA">
            <w:pPr>
              <w:rPr>
                <w:lang w:val="en-US"/>
              </w:rPr>
            </w:pPr>
            <w:r>
              <w:rPr>
                <w:lang w:val="en-US"/>
              </w:rPr>
              <w:t>Major complications</w:t>
            </w:r>
          </w:p>
        </w:tc>
        <w:tc>
          <w:tcPr>
            <w:tcW w:w="1499" w:type="dxa"/>
          </w:tcPr>
          <w:p w:rsidR="000D1234" w:rsidRPr="00A61CE2" w:rsidRDefault="000D1234" w:rsidP="00CA73AA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60" w:type="dxa"/>
          </w:tcPr>
          <w:p w:rsidR="000D1234" w:rsidRDefault="000D1234" w:rsidP="00CA73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100.0</w:t>
            </w:r>
          </w:p>
        </w:tc>
        <w:tc>
          <w:tcPr>
            <w:tcW w:w="1144" w:type="dxa"/>
          </w:tcPr>
          <w:p w:rsidR="000D1234" w:rsidRDefault="000D1234" w:rsidP="00CA73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</w:t>
            </w:r>
          </w:p>
        </w:tc>
        <w:tc>
          <w:tcPr>
            <w:tcW w:w="2073" w:type="dxa"/>
            <w:vMerge w:val="restart"/>
          </w:tcPr>
          <w:p w:rsidR="000D1234" w:rsidRDefault="000D1234" w:rsidP="001C5C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  <w:r w:rsidR="001C5C4B">
              <w:rPr>
                <w:lang w:val="en-US"/>
              </w:rPr>
              <w:t>1</w:t>
            </w:r>
          </w:p>
        </w:tc>
      </w:tr>
      <w:tr w:rsidR="000D1234" w:rsidTr="009569BB">
        <w:tc>
          <w:tcPr>
            <w:tcW w:w="2532" w:type="dxa"/>
          </w:tcPr>
          <w:p w:rsidR="000D1234" w:rsidRDefault="000D1234" w:rsidP="00CA73AA">
            <w:pPr>
              <w:rPr>
                <w:lang w:val="en-US"/>
              </w:rPr>
            </w:pPr>
          </w:p>
        </w:tc>
        <w:tc>
          <w:tcPr>
            <w:tcW w:w="1499" w:type="dxa"/>
          </w:tcPr>
          <w:p w:rsidR="000D1234" w:rsidRDefault="000D1234" w:rsidP="00CA73AA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60" w:type="dxa"/>
          </w:tcPr>
          <w:p w:rsidR="000D1234" w:rsidRDefault="000D1234" w:rsidP="00CA73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48.3</w:t>
            </w:r>
          </w:p>
        </w:tc>
        <w:tc>
          <w:tcPr>
            <w:tcW w:w="1144" w:type="dxa"/>
          </w:tcPr>
          <w:p w:rsidR="000D1234" w:rsidRDefault="000D1234" w:rsidP="00CA73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51.7</w:t>
            </w:r>
          </w:p>
        </w:tc>
        <w:tc>
          <w:tcPr>
            <w:tcW w:w="2073" w:type="dxa"/>
            <w:vMerge/>
          </w:tcPr>
          <w:p w:rsidR="000D1234" w:rsidRDefault="000D1234" w:rsidP="00CA73AA">
            <w:pPr>
              <w:jc w:val="center"/>
              <w:rPr>
                <w:lang w:val="en-US"/>
              </w:rPr>
            </w:pPr>
          </w:p>
        </w:tc>
      </w:tr>
      <w:tr w:rsidR="000F666A" w:rsidTr="009569BB">
        <w:tc>
          <w:tcPr>
            <w:tcW w:w="2532" w:type="dxa"/>
          </w:tcPr>
          <w:p w:rsidR="000F666A" w:rsidRDefault="000F666A" w:rsidP="00CA73AA">
            <w:pPr>
              <w:rPr>
                <w:lang w:val="en-US"/>
              </w:rPr>
            </w:pPr>
            <w:r>
              <w:rPr>
                <w:lang w:val="en-US"/>
              </w:rPr>
              <w:t>Minor complications</w:t>
            </w:r>
          </w:p>
        </w:tc>
        <w:tc>
          <w:tcPr>
            <w:tcW w:w="1499" w:type="dxa"/>
          </w:tcPr>
          <w:p w:rsidR="000F666A" w:rsidRPr="00A61CE2" w:rsidRDefault="000F666A" w:rsidP="00162448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60" w:type="dxa"/>
          </w:tcPr>
          <w:p w:rsidR="000F666A" w:rsidRDefault="000F666A" w:rsidP="00CA73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83.9</w:t>
            </w:r>
          </w:p>
        </w:tc>
        <w:tc>
          <w:tcPr>
            <w:tcW w:w="1144" w:type="dxa"/>
          </w:tcPr>
          <w:p w:rsidR="000F666A" w:rsidRDefault="000F666A" w:rsidP="00CA73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16.7</w:t>
            </w:r>
          </w:p>
        </w:tc>
        <w:tc>
          <w:tcPr>
            <w:tcW w:w="2073" w:type="dxa"/>
            <w:vMerge w:val="restart"/>
          </w:tcPr>
          <w:p w:rsidR="000F666A" w:rsidRDefault="000F666A" w:rsidP="001C5C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  <w:r w:rsidR="001C5C4B">
              <w:rPr>
                <w:lang w:val="en-US"/>
              </w:rPr>
              <w:t>7</w:t>
            </w:r>
          </w:p>
        </w:tc>
      </w:tr>
      <w:tr w:rsidR="000F666A" w:rsidTr="009569BB">
        <w:tc>
          <w:tcPr>
            <w:tcW w:w="2532" w:type="dxa"/>
          </w:tcPr>
          <w:p w:rsidR="000F666A" w:rsidRDefault="000F666A" w:rsidP="00CA73AA">
            <w:pPr>
              <w:rPr>
                <w:lang w:val="en-US"/>
              </w:rPr>
            </w:pPr>
          </w:p>
        </w:tc>
        <w:tc>
          <w:tcPr>
            <w:tcW w:w="1499" w:type="dxa"/>
          </w:tcPr>
          <w:p w:rsidR="000F666A" w:rsidRDefault="000F666A" w:rsidP="00162448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60" w:type="dxa"/>
          </w:tcPr>
          <w:p w:rsidR="000F666A" w:rsidRDefault="000F666A" w:rsidP="00CA73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41.7</w:t>
            </w:r>
          </w:p>
        </w:tc>
        <w:tc>
          <w:tcPr>
            <w:tcW w:w="1144" w:type="dxa"/>
          </w:tcPr>
          <w:p w:rsidR="000F666A" w:rsidRDefault="000F666A" w:rsidP="00CA73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58.3</w:t>
            </w:r>
          </w:p>
        </w:tc>
        <w:tc>
          <w:tcPr>
            <w:tcW w:w="2073" w:type="dxa"/>
            <w:vMerge/>
          </w:tcPr>
          <w:p w:rsidR="000F666A" w:rsidRDefault="000F666A" w:rsidP="00CA73AA">
            <w:pPr>
              <w:jc w:val="center"/>
              <w:rPr>
                <w:lang w:val="en-US"/>
              </w:rPr>
            </w:pPr>
          </w:p>
        </w:tc>
      </w:tr>
      <w:tr w:rsidR="00FF4A10" w:rsidTr="009569BB">
        <w:tc>
          <w:tcPr>
            <w:tcW w:w="2532" w:type="dxa"/>
          </w:tcPr>
          <w:p w:rsidR="00FF4A10" w:rsidRDefault="00FF4A10" w:rsidP="001C5C4B">
            <w:pPr>
              <w:rPr>
                <w:lang w:val="en-US"/>
              </w:rPr>
            </w:pPr>
            <w:r>
              <w:rPr>
                <w:lang w:val="en-US"/>
              </w:rPr>
              <w:t>Ischemia</w:t>
            </w:r>
          </w:p>
        </w:tc>
        <w:tc>
          <w:tcPr>
            <w:tcW w:w="1499" w:type="dxa"/>
          </w:tcPr>
          <w:p w:rsidR="00FF4A10" w:rsidRDefault="00FF4A10" w:rsidP="00162448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60" w:type="dxa"/>
          </w:tcPr>
          <w:p w:rsidR="00FF4A10" w:rsidRDefault="00FF4A10" w:rsidP="00CA73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54.5</w:t>
            </w:r>
          </w:p>
        </w:tc>
        <w:tc>
          <w:tcPr>
            <w:tcW w:w="1144" w:type="dxa"/>
          </w:tcPr>
          <w:p w:rsidR="00FF4A10" w:rsidRDefault="00FF4A10" w:rsidP="00CA73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45.5</w:t>
            </w:r>
          </w:p>
        </w:tc>
        <w:tc>
          <w:tcPr>
            <w:tcW w:w="2073" w:type="dxa"/>
            <w:vMerge w:val="restart"/>
          </w:tcPr>
          <w:p w:rsidR="00FF4A10" w:rsidRPr="009569BB" w:rsidRDefault="00FF4A10" w:rsidP="009569BB">
            <w:pPr>
              <w:jc w:val="center"/>
            </w:pPr>
            <w:r>
              <w:rPr>
                <w:lang w:val="en-US"/>
              </w:rPr>
              <w:t>0.68</w:t>
            </w:r>
          </w:p>
        </w:tc>
      </w:tr>
      <w:tr w:rsidR="00FF4A10" w:rsidTr="009569BB">
        <w:tc>
          <w:tcPr>
            <w:tcW w:w="2532" w:type="dxa"/>
          </w:tcPr>
          <w:p w:rsidR="00FF4A10" w:rsidRPr="001C5C4B" w:rsidRDefault="00FF4A10" w:rsidP="00CA73AA"/>
        </w:tc>
        <w:tc>
          <w:tcPr>
            <w:tcW w:w="1499" w:type="dxa"/>
          </w:tcPr>
          <w:p w:rsidR="00FF4A10" w:rsidRDefault="00FF4A10" w:rsidP="00162448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60" w:type="dxa"/>
          </w:tcPr>
          <w:p w:rsidR="00FF4A10" w:rsidRDefault="00FF4A10" w:rsidP="00CA73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37.5</w:t>
            </w:r>
          </w:p>
        </w:tc>
        <w:tc>
          <w:tcPr>
            <w:tcW w:w="1144" w:type="dxa"/>
          </w:tcPr>
          <w:p w:rsidR="00FF4A10" w:rsidRDefault="00FF4A10" w:rsidP="00CA73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62.5</w:t>
            </w:r>
          </w:p>
        </w:tc>
        <w:tc>
          <w:tcPr>
            <w:tcW w:w="2073" w:type="dxa"/>
            <w:vMerge/>
          </w:tcPr>
          <w:p w:rsidR="00FF4A10" w:rsidRDefault="00FF4A10" w:rsidP="00CA73AA">
            <w:pPr>
              <w:jc w:val="center"/>
              <w:rPr>
                <w:lang w:val="en-US"/>
              </w:rPr>
            </w:pPr>
          </w:p>
        </w:tc>
      </w:tr>
      <w:tr w:rsidR="009569BB" w:rsidRPr="00F54F15" w:rsidTr="009569B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32" w:type="dxa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569BB" w:rsidRDefault="009569BB" w:rsidP="00162448">
            <w:pPr>
              <w:rPr>
                <w:lang w:val="en-US"/>
              </w:rPr>
            </w:pPr>
            <w:r>
              <w:rPr>
                <w:lang w:val="en-US"/>
              </w:rPr>
              <w:t>Malignancy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</w:tcPr>
          <w:p w:rsidR="009569BB" w:rsidRDefault="009569BB" w:rsidP="00162448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569BB" w:rsidRPr="00F54F15" w:rsidRDefault="009569BB" w:rsidP="00162448">
            <w:pPr>
              <w:jc w:val="center"/>
            </w:pPr>
            <w:r>
              <w:rPr>
                <w:lang w:val="en-US"/>
              </w:rPr>
              <w:t>46</w:t>
            </w:r>
            <w:r>
              <w:t>.2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</w:tcPr>
          <w:p w:rsidR="009569BB" w:rsidRPr="00F54F15" w:rsidRDefault="009569BB" w:rsidP="00162448">
            <w:pPr>
              <w:jc w:val="center"/>
              <w:rPr>
                <w:lang w:val="en-US"/>
              </w:rPr>
            </w:pPr>
            <w:r>
              <w:t>53</w:t>
            </w:r>
            <w:r>
              <w:rPr>
                <w:lang w:val="en-US"/>
              </w:rPr>
              <w:t>.8</w:t>
            </w:r>
          </w:p>
        </w:tc>
        <w:tc>
          <w:tcPr>
            <w:tcW w:w="2073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569BB" w:rsidRDefault="009569BB" w:rsidP="001624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0.28</w:t>
            </w:r>
          </w:p>
        </w:tc>
      </w:tr>
      <w:tr w:rsidR="009569BB" w:rsidRPr="00F54F15" w:rsidTr="009569B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569BB" w:rsidRDefault="009569BB" w:rsidP="00162448">
            <w:pPr>
              <w:rPr>
                <w:lang w:val="en-US"/>
              </w:rPr>
            </w:pP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569BB" w:rsidRDefault="009569BB" w:rsidP="00162448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569BB" w:rsidRDefault="009569BB" w:rsidP="001624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75.0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569BB" w:rsidRDefault="009569BB" w:rsidP="001624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25.0</w:t>
            </w:r>
          </w:p>
        </w:tc>
        <w:tc>
          <w:tcPr>
            <w:tcW w:w="2073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569BB" w:rsidRDefault="009569BB" w:rsidP="00162448">
            <w:pPr>
              <w:jc w:val="center"/>
              <w:rPr>
                <w:lang w:val="en-US"/>
              </w:rPr>
            </w:pPr>
          </w:p>
        </w:tc>
      </w:tr>
    </w:tbl>
    <w:p w:rsidR="001C5C4B" w:rsidRDefault="001C5C4B" w:rsidP="006C56A2">
      <w:pPr>
        <w:rPr>
          <w:lang w:val="en-US"/>
        </w:rPr>
      </w:pPr>
    </w:p>
    <w:p w:rsidR="00F45451" w:rsidRDefault="00F45451" w:rsidP="00F45451">
      <w:pPr>
        <w:pStyle w:val="Heading1"/>
        <w:rPr>
          <w:lang w:val="en-US"/>
        </w:rPr>
      </w:pPr>
      <w:r>
        <w:rPr>
          <w:lang w:val="en-US"/>
        </w:rPr>
        <w:t>Results</w:t>
      </w:r>
    </w:p>
    <w:p w:rsidR="00F45451" w:rsidRDefault="00F45451" w:rsidP="00F45451">
      <w:pPr>
        <w:jc w:val="both"/>
        <w:rPr>
          <w:lang w:val="en-US"/>
        </w:rPr>
      </w:pPr>
      <w:r>
        <w:rPr>
          <w:lang w:val="en-US"/>
        </w:rPr>
        <w:t>Baseline characteristics, are listed in tables 1</w:t>
      </w:r>
      <w:r w:rsidR="0065232C">
        <w:rPr>
          <w:lang w:val="en-US"/>
        </w:rPr>
        <w:t xml:space="preserve"> and</w:t>
      </w:r>
      <w:r>
        <w:rPr>
          <w:lang w:val="en-US"/>
        </w:rPr>
        <w:t xml:space="preserve"> 2. </w:t>
      </w:r>
      <w:r w:rsidR="0065232C">
        <w:rPr>
          <w:lang w:val="en-US"/>
        </w:rPr>
        <w:t>The median age of Greek patients was 70yrs while Germans was 68yrs and no statistica</w:t>
      </w:r>
      <w:r w:rsidR="00EB27C6">
        <w:rPr>
          <w:lang w:val="en-US"/>
        </w:rPr>
        <w:t>l</w:t>
      </w:r>
      <w:r w:rsidR="0065232C">
        <w:rPr>
          <w:lang w:val="en-US"/>
        </w:rPr>
        <w:t>l</w:t>
      </w:r>
      <w:r w:rsidR="00EB27C6">
        <w:rPr>
          <w:lang w:val="en-US"/>
        </w:rPr>
        <w:t>y</w:t>
      </w:r>
      <w:r w:rsidR="0065232C">
        <w:rPr>
          <w:lang w:val="en-US"/>
        </w:rPr>
        <w:t xml:space="preserve"> significant differences were detected among the two groups under examination. </w:t>
      </w:r>
      <w:r w:rsidR="008131CC">
        <w:rPr>
          <w:lang w:val="en-US"/>
        </w:rPr>
        <w:t>T</w:t>
      </w:r>
      <w:r>
        <w:rPr>
          <w:lang w:val="en-US"/>
        </w:rPr>
        <w:t xml:space="preserve">he </w:t>
      </w:r>
      <w:r w:rsidR="00A53FA8">
        <w:rPr>
          <w:lang w:val="en-US"/>
        </w:rPr>
        <w:t xml:space="preserve">median </w:t>
      </w:r>
      <w:r>
        <w:rPr>
          <w:lang w:val="en-US"/>
        </w:rPr>
        <w:t xml:space="preserve">BMI </w:t>
      </w:r>
      <w:r w:rsidR="00A53FA8">
        <w:rPr>
          <w:lang w:val="en-US"/>
        </w:rPr>
        <w:t>of Greek patients was 25 while that of the German patients was 28.1 with no statistical</w:t>
      </w:r>
      <w:r w:rsidR="00EB27C6">
        <w:rPr>
          <w:lang w:val="en-US"/>
        </w:rPr>
        <w:t>ly</w:t>
      </w:r>
      <w:r w:rsidR="00A53FA8">
        <w:rPr>
          <w:lang w:val="en-US"/>
        </w:rPr>
        <w:t xml:space="preserve"> significant difference.</w:t>
      </w:r>
    </w:p>
    <w:p w:rsidR="00EB27C6" w:rsidRDefault="00EB27C6" w:rsidP="00F45451">
      <w:pPr>
        <w:jc w:val="both"/>
        <w:rPr>
          <w:lang w:val="en-US"/>
        </w:rPr>
      </w:pPr>
      <w:r>
        <w:rPr>
          <w:lang w:val="en-US"/>
        </w:rPr>
        <w:t>Regarding the median PADUA Scores of both Greek and German patients were 7, with no statistically significant differences. Similarly, the median ASA Scores of both Greek and German patients were 2 with no statistically significant ml/min/1.73m</w:t>
      </w:r>
      <w:r>
        <w:rPr>
          <w:vertAlign w:val="superscript"/>
          <w:lang w:val="en-US"/>
        </w:rPr>
        <w:t>2</w:t>
      </w:r>
      <w:r>
        <w:rPr>
          <w:lang w:val="en-US"/>
        </w:rPr>
        <w:t xml:space="preserve">difference. The median value of the preoperational </w:t>
      </w:r>
      <w:proofErr w:type="spellStart"/>
      <w:r>
        <w:rPr>
          <w:lang w:val="en-US"/>
        </w:rPr>
        <w:t>Egrf</w:t>
      </w:r>
      <w:proofErr w:type="spellEnd"/>
      <w:r>
        <w:rPr>
          <w:lang w:val="en-US"/>
        </w:rPr>
        <w:t xml:space="preserve"> for the Greek patients was 76.3</w:t>
      </w:r>
      <w:r w:rsidRPr="00EB27C6">
        <w:rPr>
          <w:lang w:val="en-US"/>
        </w:rPr>
        <w:t xml:space="preserve"> </w:t>
      </w:r>
      <w:r>
        <w:rPr>
          <w:lang w:val="en-US"/>
        </w:rPr>
        <w:t>ml/min/1.73m</w:t>
      </w:r>
      <w:r>
        <w:rPr>
          <w:vertAlign w:val="superscript"/>
          <w:lang w:val="en-US"/>
        </w:rPr>
        <w:t>2</w:t>
      </w:r>
      <w:r>
        <w:rPr>
          <w:lang w:val="en-US"/>
        </w:rPr>
        <w:t>, while for the German patients it was 68.0 ml/min/1.73m</w:t>
      </w:r>
      <w:r>
        <w:rPr>
          <w:vertAlign w:val="superscript"/>
          <w:lang w:val="en-US"/>
        </w:rPr>
        <w:t>2</w:t>
      </w:r>
      <w:r>
        <w:rPr>
          <w:lang w:val="en-US"/>
        </w:rPr>
        <w:t xml:space="preserve"> and no statistically significant difference was found. </w:t>
      </w:r>
      <w:r w:rsidR="00C91389">
        <w:rPr>
          <w:lang w:val="en-US"/>
        </w:rPr>
        <w:t>Finally, the median tumor’s size of the Greek patients was 3.5 while for the German patients it was 68.0 again with no statistically significant differences (table 1).</w:t>
      </w:r>
    </w:p>
    <w:p w:rsidR="00C91389" w:rsidRPr="00C91389" w:rsidRDefault="00C91389" w:rsidP="00F45451">
      <w:pPr>
        <w:jc w:val="both"/>
        <w:rPr>
          <w:lang w:val="en-US"/>
        </w:rPr>
      </w:pPr>
      <w:r>
        <w:rPr>
          <w:lang w:val="en-US"/>
        </w:rPr>
        <w:t>With reference to the genders’ distribution as well as the tumors’ sizes of the two groups no statistically significant differences were located either (table 2).</w:t>
      </w:r>
    </w:p>
    <w:p w:rsidR="00C91389" w:rsidRPr="00EB27C6" w:rsidRDefault="00C91389" w:rsidP="00F45451">
      <w:pPr>
        <w:jc w:val="both"/>
        <w:rPr>
          <w:lang w:val="en-US"/>
        </w:rPr>
      </w:pPr>
      <w:r>
        <w:rPr>
          <w:lang w:val="en-US"/>
        </w:rPr>
        <w:t>According to the above, the patients of the two groups seem to have similar baseline characteristics.</w:t>
      </w:r>
    </w:p>
    <w:p w:rsidR="00F45451" w:rsidRDefault="00B274B9" w:rsidP="006C56A2">
      <w:pPr>
        <w:rPr>
          <w:lang w:val="en-US"/>
        </w:rPr>
      </w:pPr>
      <w:r>
        <w:rPr>
          <w:lang w:val="en-US"/>
        </w:rPr>
        <w:t>The differences among the postoperative characteristics were tested with the Mann – Whitney test for the quantitative data and with the X</w:t>
      </w:r>
      <w:r>
        <w:rPr>
          <w:vertAlign w:val="superscript"/>
          <w:lang w:val="en-US"/>
        </w:rPr>
        <w:t>2</w:t>
      </w:r>
      <w:r>
        <w:rPr>
          <w:lang w:val="en-US"/>
        </w:rPr>
        <w:t xml:space="preserve"> test for the qualitative data. The results are shown in tables 3 and 4.</w:t>
      </w:r>
    </w:p>
    <w:p w:rsidR="00B274B9" w:rsidRDefault="00B274B9" w:rsidP="00DA76E0">
      <w:pPr>
        <w:jc w:val="both"/>
        <w:rPr>
          <w:lang w:val="en-US"/>
        </w:rPr>
      </w:pPr>
      <w:r>
        <w:rPr>
          <w:lang w:val="en-US"/>
        </w:rPr>
        <w:lastRenderedPageBreak/>
        <w:t>The Greeks median Hb 10 Hours Postoperative was 11.8 while the Germans was 11.1 with no statistically significant difference</w:t>
      </w:r>
      <w:r w:rsidR="00DA76E0">
        <w:rPr>
          <w:lang w:val="en-US"/>
        </w:rPr>
        <w:t xml:space="preserve">, while the same results hold for the Hb difference. </w:t>
      </w:r>
      <w:r w:rsidR="00DA76E0" w:rsidRPr="004112C7">
        <w:rPr>
          <w:highlight w:val="magenta"/>
          <w:lang w:val="en-US"/>
        </w:rPr>
        <w:t>The Greeks median Warm Ischemia time was 1</w:t>
      </w:r>
      <w:r w:rsidR="004112C7" w:rsidRPr="004112C7">
        <w:rPr>
          <w:highlight w:val="magenta"/>
          <w:lang w:val="en-US"/>
        </w:rPr>
        <w:t>6</w:t>
      </w:r>
      <w:r w:rsidR="00DA76E0" w:rsidRPr="004112C7">
        <w:rPr>
          <w:highlight w:val="magenta"/>
          <w:lang w:val="en-US"/>
        </w:rPr>
        <w:t xml:space="preserve">.0 while the Germans </w:t>
      </w:r>
      <w:proofErr w:type="gramStart"/>
      <w:r w:rsidR="00DA76E0" w:rsidRPr="004112C7">
        <w:rPr>
          <w:highlight w:val="magenta"/>
          <w:lang w:val="en-US"/>
        </w:rPr>
        <w:t>was</w:t>
      </w:r>
      <w:proofErr w:type="gramEnd"/>
      <w:r w:rsidR="00DA76E0" w:rsidRPr="004112C7">
        <w:rPr>
          <w:highlight w:val="magenta"/>
          <w:lang w:val="en-US"/>
        </w:rPr>
        <w:t xml:space="preserve"> 2</w:t>
      </w:r>
      <w:r w:rsidR="004112C7" w:rsidRPr="004112C7">
        <w:rPr>
          <w:highlight w:val="magenta"/>
          <w:lang w:val="en-US"/>
        </w:rPr>
        <w:t>3</w:t>
      </w:r>
      <w:r w:rsidR="00DA76E0" w:rsidRPr="004112C7">
        <w:rPr>
          <w:highlight w:val="magenta"/>
          <w:lang w:val="en-US"/>
        </w:rPr>
        <w:t>.0 with no statistically significant difference</w:t>
      </w:r>
      <w:r w:rsidR="00DA76E0">
        <w:rPr>
          <w:lang w:val="en-US"/>
        </w:rPr>
        <w:t xml:space="preserve">. The Greeks median </w:t>
      </w:r>
      <w:proofErr w:type="spellStart"/>
      <w:r w:rsidR="00DA76E0">
        <w:rPr>
          <w:lang w:val="en-US"/>
        </w:rPr>
        <w:t>Egfr</w:t>
      </w:r>
      <w:proofErr w:type="spellEnd"/>
      <w:r w:rsidR="00DA76E0">
        <w:rPr>
          <w:lang w:val="en-US"/>
        </w:rPr>
        <w:t xml:space="preserve"> Difference was 6.8 while the Germans was 0.0 with no statistically significant </w:t>
      </w:r>
      <w:proofErr w:type="spellStart"/>
      <w:r w:rsidR="00DA76E0">
        <w:rPr>
          <w:lang w:val="en-US"/>
        </w:rPr>
        <w:t>difference.</w:t>
      </w:r>
      <w:r w:rsidR="009E6C9E" w:rsidRPr="004112C7">
        <w:rPr>
          <w:highlight w:val="magenta"/>
          <w:lang w:val="en-US"/>
        </w:rPr>
        <w:t>The</w:t>
      </w:r>
      <w:proofErr w:type="spellEnd"/>
      <w:r w:rsidR="009E6C9E" w:rsidRPr="004112C7">
        <w:rPr>
          <w:highlight w:val="magenta"/>
          <w:lang w:val="en-US"/>
        </w:rPr>
        <w:t xml:space="preserve"> total hospital stay</w:t>
      </w:r>
      <w:r w:rsidR="009C042A" w:rsidRPr="004112C7">
        <w:rPr>
          <w:highlight w:val="magenta"/>
          <w:lang w:val="en-US"/>
        </w:rPr>
        <w:t xml:space="preserve"> of the </w:t>
      </w:r>
      <w:proofErr w:type="spellStart"/>
      <w:r w:rsidR="009C042A" w:rsidRPr="004112C7">
        <w:rPr>
          <w:highlight w:val="magenta"/>
          <w:lang w:val="en-US"/>
        </w:rPr>
        <w:t>greeks</w:t>
      </w:r>
      <w:proofErr w:type="spellEnd"/>
      <w:r w:rsidR="009C042A" w:rsidRPr="004112C7">
        <w:rPr>
          <w:highlight w:val="magenta"/>
          <w:lang w:val="en-US"/>
        </w:rPr>
        <w:t xml:space="preserve"> patients was</w:t>
      </w:r>
      <w:r w:rsidR="009E6C9E" w:rsidRPr="004112C7">
        <w:rPr>
          <w:highlight w:val="magenta"/>
          <w:lang w:val="en-US"/>
        </w:rPr>
        <w:t xml:space="preserve"> 5.0</w:t>
      </w:r>
      <w:r w:rsidR="009C042A" w:rsidRPr="004112C7">
        <w:rPr>
          <w:highlight w:val="magenta"/>
          <w:lang w:val="en-US"/>
        </w:rPr>
        <w:t xml:space="preserve"> while the </w:t>
      </w:r>
      <w:r w:rsidR="009E6C9E" w:rsidRPr="004112C7">
        <w:rPr>
          <w:highlight w:val="magenta"/>
          <w:lang w:val="en-US"/>
        </w:rPr>
        <w:t>total hospital time</w:t>
      </w:r>
      <w:r w:rsidR="009C042A" w:rsidRPr="004112C7">
        <w:rPr>
          <w:highlight w:val="magenta"/>
          <w:lang w:val="en-US"/>
        </w:rPr>
        <w:t xml:space="preserve"> of the </w:t>
      </w:r>
      <w:proofErr w:type="spellStart"/>
      <w:r w:rsidR="009C042A" w:rsidRPr="004112C7">
        <w:rPr>
          <w:highlight w:val="magenta"/>
          <w:lang w:val="en-US"/>
        </w:rPr>
        <w:t>german</w:t>
      </w:r>
      <w:proofErr w:type="spellEnd"/>
      <w:r w:rsidR="009C042A" w:rsidRPr="004112C7">
        <w:rPr>
          <w:highlight w:val="magenta"/>
          <w:lang w:val="en-US"/>
        </w:rPr>
        <w:t xml:space="preserve"> patients</w:t>
      </w:r>
      <w:r w:rsidR="009E6C9E" w:rsidRPr="004112C7">
        <w:rPr>
          <w:highlight w:val="magenta"/>
          <w:lang w:val="en-US"/>
        </w:rPr>
        <w:t xml:space="preserve"> was 6.0</w:t>
      </w:r>
      <w:r w:rsidR="009C042A" w:rsidRPr="004112C7">
        <w:rPr>
          <w:highlight w:val="magenta"/>
          <w:lang w:val="en-US"/>
        </w:rPr>
        <w:t xml:space="preserve"> was with no statistically significant </w:t>
      </w:r>
      <w:proofErr w:type="spellStart"/>
      <w:r w:rsidR="009C042A" w:rsidRPr="004112C7">
        <w:rPr>
          <w:highlight w:val="magenta"/>
          <w:lang w:val="en-US"/>
        </w:rPr>
        <w:t>difference</w:t>
      </w:r>
      <w:r w:rsidR="009C042A">
        <w:rPr>
          <w:lang w:val="en-US"/>
        </w:rPr>
        <w:t>.</w:t>
      </w:r>
      <w:r w:rsidR="00DA76E0">
        <w:rPr>
          <w:lang w:val="en-US"/>
        </w:rPr>
        <w:t>The</w:t>
      </w:r>
      <w:proofErr w:type="spellEnd"/>
      <w:r w:rsidR="00DA76E0">
        <w:rPr>
          <w:lang w:val="en-US"/>
        </w:rPr>
        <w:t xml:space="preserve"> operative time of the Greeks patients was 199</w:t>
      </w:r>
      <w:r w:rsidR="00DA76E0" w:rsidRPr="00DA76E0">
        <w:rPr>
          <w:color w:val="FF0000"/>
          <w:lang w:val="en-US"/>
        </w:rPr>
        <w:t>min</w:t>
      </w:r>
      <w:r w:rsidR="00DA76E0">
        <w:rPr>
          <w:lang w:val="en-US"/>
        </w:rPr>
        <w:t xml:space="preserve"> while the operative time of the German patients was 115</w:t>
      </w:r>
      <w:r w:rsidR="00DA76E0" w:rsidRPr="00DA76E0">
        <w:rPr>
          <w:color w:val="FF0000"/>
          <w:lang w:val="en-US"/>
        </w:rPr>
        <w:t xml:space="preserve"> min</w:t>
      </w:r>
      <w:r w:rsidR="00DA76E0">
        <w:rPr>
          <w:lang w:val="en-US"/>
        </w:rPr>
        <w:t xml:space="preserve"> and a statistically significant difference was detected (p-value=0.002&lt;0.05) as shown in table 3.</w:t>
      </w:r>
    </w:p>
    <w:p w:rsidR="00DA76E0" w:rsidRPr="00C91389" w:rsidRDefault="00DA76E0" w:rsidP="00DA76E0">
      <w:pPr>
        <w:jc w:val="both"/>
        <w:rPr>
          <w:lang w:val="en-US"/>
        </w:rPr>
      </w:pPr>
      <w:r>
        <w:rPr>
          <w:lang w:val="en-US"/>
        </w:rPr>
        <w:t xml:space="preserve">With reference to the surgical margins’ distribution as well as the modified </w:t>
      </w:r>
      <w:proofErr w:type="spellStart"/>
      <w:r>
        <w:rPr>
          <w:lang w:val="en-US"/>
        </w:rPr>
        <w:t>clavien</w:t>
      </w:r>
      <w:proofErr w:type="spellEnd"/>
      <w:r>
        <w:rPr>
          <w:lang w:val="en-US"/>
        </w:rPr>
        <w:t xml:space="preserve"> system siz</w:t>
      </w:r>
      <w:r w:rsidR="002838A4">
        <w:rPr>
          <w:lang w:val="en-US"/>
        </w:rPr>
        <w:t>e</w:t>
      </w:r>
      <w:r>
        <w:rPr>
          <w:lang w:val="en-US"/>
        </w:rPr>
        <w:t xml:space="preserve"> of the two groups no statistically significant differences were located either (table 4).</w:t>
      </w:r>
    </w:p>
    <w:p w:rsidR="00DA76E0" w:rsidRPr="00DA76E0" w:rsidRDefault="00EA7C55" w:rsidP="00DA76E0">
      <w:pPr>
        <w:jc w:val="both"/>
        <w:rPr>
          <w:lang w:val="en-US"/>
        </w:rPr>
      </w:pPr>
      <w:r w:rsidRPr="00EA7C55">
        <w:rPr>
          <w:noProof/>
          <w:lang w:val="en-US"/>
        </w:rPr>
        <w:drawing>
          <wp:inline distT="0" distB="0" distL="0" distR="0">
            <wp:extent cx="5274310" cy="4225925"/>
            <wp:effectExtent l="0" t="0" r="2540" b="3175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76E0" w:rsidRPr="00DA76E0" w:rsidSect="005145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6CF"/>
    <w:rsid w:val="00050425"/>
    <w:rsid w:val="00055734"/>
    <w:rsid w:val="000977B0"/>
    <w:rsid w:val="000A12E6"/>
    <w:rsid w:val="000D1234"/>
    <w:rsid w:val="000D307C"/>
    <w:rsid w:val="000D58B3"/>
    <w:rsid w:val="000F666A"/>
    <w:rsid w:val="001A6B95"/>
    <w:rsid w:val="001C5C4B"/>
    <w:rsid w:val="002743C1"/>
    <w:rsid w:val="002838A4"/>
    <w:rsid w:val="00356BB0"/>
    <w:rsid w:val="003C2798"/>
    <w:rsid w:val="004112C7"/>
    <w:rsid w:val="004320D5"/>
    <w:rsid w:val="004B3FBC"/>
    <w:rsid w:val="004E75A2"/>
    <w:rsid w:val="005145AB"/>
    <w:rsid w:val="00523013"/>
    <w:rsid w:val="00563125"/>
    <w:rsid w:val="005876CF"/>
    <w:rsid w:val="005F4BD2"/>
    <w:rsid w:val="00605AFE"/>
    <w:rsid w:val="0065232C"/>
    <w:rsid w:val="00654240"/>
    <w:rsid w:val="00665E60"/>
    <w:rsid w:val="0068559E"/>
    <w:rsid w:val="006941E2"/>
    <w:rsid w:val="006B6D3D"/>
    <w:rsid w:val="006C56A2"/>
    <w:rsid w:val="006D6679"/>
    <w:rsid w:val="007D2791"/>
    <w:rsid w:val="007E3455"/>
    <w:rsid w:val="007E7078"/>
    <w:rsid w:val="008131CC"/>
    <w:rsid w:val="008661A2"/>
    <w:rsid w:val="00890BA8"/>
    <w:rsid w:val="00892B95"/>
    <w:rsid w:val="00931250"/>
    <w:rsid w:val="00935B75"/>
    <w:rsid w:val="009371DE"/>
    <w:rsid w:val="009569BB"/>
    <w:rsid w:val="009B42B5"/>
    <w:rsid w:val="009C042A"/>
    <w:rsid w:val="009E47F4"/>
    <w:rsid w:val="009E6C9E"/>
    <w:rsid w:val="00A022EC"/>
    <w:rsid w:val="00A41C93"/>
    <w:rsid w:val="00A53FA8"/>
    <w:rsid w:val="00A61CE2"/>
    <w:rsid w:val="00AA75E4"/>
    <w:rsid w:val="00AE164A"/>
    <w:rsid w:val="00B274B9"/>
    <w:rsid w:val="00B30120"/>
    <w:rsid w:val="00BC750C"/>
    <w:rsid w:val="00BD2F1F"/>
    <w:rsid w:val="00C0749A"/>
    <w:rsid w:val="00C241AA"/>
    <w:rsid w:val="00C51A14"/>
    <w:rsid w:val="00C5435F"/>
    <w:rsid w:val="00C57B22"/>
    <w:rsid w:val="00C860BC"/>
    <w:rsid w:val="00C91389"/>
    <w:rsid w:val="00CB2785"/>
    <w:rsid w:val="00CE3D5B"/>
    <w:rsid w:val="00D304B0"/>
    <w:rsid w:val="00D75713"/>
    <w:rsid w:val="00DA19A7"/>
    <w:rsid w:val="00DA76E0"/>
    <w:rsid w:val="00DE20A7"/>
    <w:rsid w:val="00DE2584"/>
    <w:rsid w:val="00E12EF0"/>
    <w:rsid w:val="00E658D9"/>
    <w:rsid w:val="00EA7C55"/>
    <w:rsid w:val="00EB27C6"/>
    <w:rsid w:val="00ED028F"/>
    <w:rsid w:val="00EE4CE4"/>
    <w:rsid w:val="00F45451"/>
    <w:rsid w:val="00F54F15"/>
    <w:rsid w:val="00FB4323"/>
    <w:rsid w:val="00FF4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45AB"/>
  </w:style>
  <w:style w:type="paragraph" w:styleId="Heading1">
    <w:name w:val="heading 1"/>
    <w:basedOn w:val="Normal"/>
    <w:next w:val="Normal"/>
    <w:link w:val="Heading1Char"/>
    <w:uiPriority w:val="9"/>
    <w:qFormat/>
    <w:rsid w:val="00C543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76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5435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57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57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45AB"/>
  </w:style>
  <w:style w:type="paragraph" w:styleId="Heading1">
    <w:name w:val="heading 1"/>
    <w:basedOn w:val="Normal"/>
    <w:next w:val="Normal"/>
    <w:link w:val="Heading1Char"/>
    <w:uiPriority w:val="9"/>
    <w:qFormat/>
    <w:rsid w:val="00C543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76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5435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57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57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3</Pages>
  <Words>779</Words>
  <Characters>4442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5211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parents</dc:creator>
  <cp:lastModifiedBy>Windows User</cp:lastModifiedBy>
  <cp:revision>4</cp:revision>
  <cp:lastPrinted>2019-06-27T07:44:00Z</cp:lastPrinted>
  <dcterms:created xsi:type="dcterms:W3CDTF">2019-08-25T16:56:00Z</dcterms:created>
  <dcterms:modified xsi:type="dcterms:W3CDTF">2019-08-25T19:55:00Z</dcterms:modified>
</cp:coreProperties>
</file>