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sz w:val="40"/>
          <w:szCs w:val="40"/>
        </w:rPr>
        <w:t xml:space="preserve">EARS Availability-Prediction Project</w:t>
      </w:r>
    </w:p>
    <w:p>
      <w:pPr>
        <w:spacing w:after="320"/>
      </w:pPr>
      <w:r>
        <w:rPr>
          <w:color w:val="444444"/>
          <w:sz w:val="24"/>
          <w:szCs w:val="24"/>
        </w:rPr>
        <w:t xml:space="preserve">Consolidated review of three student reports: stated limitations, stated future work, and further observations</w:t>
      </w:r>
    </w:p>
    <w:p>
      <w:pPr>
        <w:spacing w:after="120" w:before="80"/>
      </w:pPr>
      <w:r>
        <w:rPr>
          <w:b w:val="false"/>
          <w:bCs w:val="false"/>
          <w:i w:val="false"/>
          <w:iCs w:val="false"/>
          <w:sz w:val="21"/>
          <w:szCs w:val="21"/>
        </w:rPr>
        <w:t xml:space="preserve">Purpose. This document collects every limitation and improvement item raised across the three reports, plus additional issues identified during review that the authors did not state. Each item carries a locator so it can be checked against the source.</w:t>
      </w:r>
    </w:p>
    <w:p>
      <w:pPr>
        <w:spacing w:after="120" w:before="80"/>
      </w:pPr>
      <w:r>
        <w:rPr>
          <w:b w:val="false"/>
          <w:bCs w:val="false"/>
          <w:i w:val="false"/>
          <w:iCs w:val="false"/>
          <w:sz w:val="21"/>
          <w:szCs w:val="21"/>
        </w:rPr>
        <w:t xml:space="preserve">How to read the locators. References are given as section number, table/figure number, and printed page number as shown in the page footer of each report (not the PDF viewer page index; in Simran's report these differ by zero, in the other two the footer number is authoritative). Where a section is unnumbered, the chapter and heading name is given instead.</w:t>
      </w:r>
    </w:p>
    <w:p>
      <w:pPr>
        <w:spacing w:after="120" w:before="80"/>
      </w:pPr>
      <w:r>
        <w:rPr>
          <w:b/>
          <w:bCs/>
          <w:i w:val="false"/>
          <w:iCs w:val="false"/>
          <w:sz w:val="21"/>
          <w:szCs w:val="21"/>
        </w:rPr>
        <w:t xml:space="preserve">Two accuracy caveats you should be aware of before checking:</w:t>
      </w:r>
    </w:p>
    <w:p>
      <w:pPr>
        <w:spacing w:after="120" w:before="80"/>
      </w:pPr>
      <w:r>
        <w:rPr>
          <w:b w:val="false"/>
          <w:bCs w:val="false"/>
          <w:i w:val="false"/>
          <w:iCs w:val="false"/>
          <w:sz w:val="21"/>
          <w:szCs w:val="21"/>
        </w:rPr>
        <w:t xml:space="preserve">1. Parikshit Sharma's PDF was produced by "Microsoft: Print To PDF" and contains no extractable text layer. Its content was recovered by OCR of rasterised pages. Wording is therefore paraphrased rather than quoted, and page numbers come from OCR of the printed footers. Treat every Parikshit locator as needing visual confirmation.</w:t>
      </w:r>
    </w:p>
    <w:p>
      <w:pPr>
        <w:spacing w:after="120" w:before="80"/>
      </w:pPr>
      <w:r>
        <w:rPr>
          <w:b w:val="false"/>
          <w:bCs w:val="false"/>
          <w:i w:val="false"/>
          <w:iCs w:val="false"/>
          <w:sz w:val="21"/>
          <w:szCs w:val="21"/>
        </w:rPr>
        <w:t xml:space="preserve">2. Simran Kukreja's and Adithya Malgond's PDFs have clean text layers and their locators are directly verifiable.</w:t>
      </w:r>
    </w:p>
    <w:p>
      <w:pPr>
        <w:pStyle w:val="Heading2"/>
        <w:spacing w:after="120" w:before="240"/>
      </w:pPr>
      <w:r>
        <w:t xml:space="preserve">Source documents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500"/>
      </w:tblGrid>
      <w:tr>
        <w:trPr>
          <w:tblHeader/>
        </w:trPr>
        <w:tc>
          <w:tcPr>
            <w:tcW w:type="dxa" w:w="2200"/>
            <w:shd w:fill="D9E2F3" w:color="auto" w:val="clear"/>
            <w:tcMar>
              <w:top w:type="dxa" w:w="60"/>
              <w:left w:type="dxa" w:w="100"/>
              <w:bottom w:type="dxa" w:w="60"/>
              <w:right w:type="dxa" w:w="100"/>
            </w:tcMar>
          </w:tcPr>
          <w:p>
            <w:pPr>
              <w:spacing w:after="20"/>
            </w:pPr>
            <w:r>
              <w:rPr>
                <w:b/>
                <w:bCs/>
                <w:i w:val="false"/>
                <w:iCs w:val="false"/>
                <w:sz w:val="19"/>
                <w:szCs w:val="19"/>
              </w:rPr>
              <w:t xml:space="preserve">Author</w:t>
            </w:r>
          </w:p>
        </w:tc>
        <w:tc>
          <w:tcPr>
            <w:tcW w:type="dxa" w:w="5000"/>
            <w:shd w:fill="D9E2F3" w:color="auto" w:val="clear"/>
            <w:tcMar>
              <w:top w:type="dxa" w:w="60"/>
              <w:left w:type="dxa" w:w="100"/>
              <w:bottom w:type="dxa" w:w="60"/>
              <w:right w:type="dxa" w:w="100"/>
            </w:tcMar>
          </w:tcPr>
          <w:p>
            <w:pPr>
              <w:spacing w:after="20"/>
            </w:pPr>
            <w:r>
              <w:rPr>
                <w:b/>
                <w:bCs/>
                <w:i w:val="false"/>
                <w:iCs w:val="false"/>
                <w:sz w:val="19"/>
                <w:szCs w:val="19"/>
              </w:rPr>
              <w:t xml:space="preserve">Title / award</w:t>
            </w:r>
          </w:p>
        </w:tc>
        <w:tc>
          <w:tcPr>
            <w:tcW w:type="dxa" w:w="2500"/>
            <w:shd w:fill="D9E2F3" w:color="auto" w:val="clear"/>
            <w:tcMar>
              <w:top w:type="dxa" w:w="60"/>
              <w:left w:type="dxa" w:w="100"/>
              <w:bottom w:type="dxa" w:w="60"/>
              <w:right w:type="dxa" w:w="100"/>
            </w:tcMar>
          </w:tcPr>
          <w:p>
            <w:pPr>
              <w:spacing w:after="20"/>
            </w:pPr>
            <w:r>
              <w:rPr>
                <w:b/>
                <w:bCs/>
                <w:i w:val="false"/>
                <w:iCs w:val="false"/>
                <w:sz w:val="19"/>
                <w:szCs w:val="19"/>
              </w:rPr>
              <w:t xml:space="preserve">Date on title page</w:t>
            </w:r>
          </w:p>
        </w:tc>
      </w:tr>
      <w:tr>
        <w:tc>
          <w:tcPr>
            <w:tcW w:type="dxa" w:w="2200"/>
            <w:tcMar>
              <w:top w:type="dxa" w:w="60"/>
              <w:left w:type="dxa" w:w="100"/>
              <w:bottom w:type="dxa" w:w="60"/>
              <w:right w:type="dxa" w:w="100"/>
            </w:tcMar>
          </w:tcPr>
          <w:p>
            <w:pPr>
              <w:spacing w:after="20"/>
            </w:pPr>
            <w:r>
              <w:rPr>
                <w:b w:val="false"/>
                <w:bCs w:val="false"/>
                <w:i w:val="false"/>
                <w:iCs w:val="false"/>
                <w:sz w:val="19"/>
                <w:szCs w:val="19"/>
              </w:rPr>
              <w:t xml:space="preserve">Simran Kukreja (25141104)</w:t>
            </w:r>
          </w:p>
        </w:tc>
        <w:tc>
          <w:tcPr>
            <w:tcW w:type="dxa" w:w="5000"/>
            <w:tcMar>
              <w:top w:type="dxa" w:w="60"/>
              <w:left w:type="dxa" w:w="100"/>
              <w:bottom w:type="dxa" w:w="60"/>
              <w:right w:type="dxa" w:w="100"/>
            </w:tcMar>
          </w:tcPr>
          <w:p>
            <w:pPr>
              <w:spacing w:after="20"/>
            </w:pPr>
            <w:r>
              <w:rPr>
                <w:b w:val="false"/>
                <w:bCs w:val="false"/>
                <w:i w:val="false"/>
                <w:iCs w:val="false"/>
                <w:sz w:val="19"/>
                <w:szCs w:val="19"/>
              </w:rPr>
              <w:t xml:space="preserve">Predicting Intervention Availability of a User Based on Ecological Momentary Assessment and Smartphone Sensor Data Using Convolutional Neural Networks. MSc Artificial Intelligence &amp; Machine Learning. Supervisor: Prof. Pepijn Van de Ven. 38 pp.</w:t>
            </w:r>
          </w:p>
        </w:tc>
        <w:tc>
          <w:tcPr>
            <w:tcW w:type="dxa" w:w="2500"/>
            <w:tcMar>
              <w:top w:type="dxa" w:w="60"/>
              <w:left w:type="dxa" w:w="100"/>
              <w:bottom w:type="dxa" w:w="60"/>
              <w:right w:type="dxa" w:w="100"/>
            </w:tcMar>
          </w:tcPr>
          <w:p>
            <w:pPr>
              <w:spacing w:after="20"/>
            </w:pPr>
            <w:r>
              <w:rPr>
                <w:b w:val="false"/>
                <w:bCs w:val="false"/>
                <w:i w:val="false"/>
                <w:iCs w:val="false"/>
                <w:sz w:val="19"/>
                <w:szCs w:val="19"/>
              </w:rPr>
              <w:t xml:space="preserve">20 August 2025 (see Observation S-15 — this may be a typo)</w:t>
            </w:r>
          </w:p>
        </w:tc>
      </w:tr>
      <w:tr>
        <w:tc>
          <w:tcPr>
            <w:tcW w:type="dxa" w:w="22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Adithya Malgond (25262688)</w:t>
            </w:r>
          </w:p>
        </w:tc>
        <w:tc>
          <w:tcPr>
            <w:tcW w:type="dxa" w:w="50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CNN-Based Behavioural Availability Prediction from Smartphone Sensor Data. LK489 MEng Computer Vision and AI. Supervisor: Prof. Pepijn Van de Ven. 70 pp.</w:t>
            </w:r>
          </w:p>
        </w:tc>
        <w:tc>
          <w:tcPr>
            <w:tcW w:type="dxa" w:w="25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26 August 2026</w:t>
            </w:r>
          </w:p>
        </w:tc>
      </w:tr>
      <w:tr>
        <w:tc>
          <w:tcPr>
            <w:tcW w:type="dxa" w:w="2200"/>
            <w:tcMar>
              <w:top w:type="dxa" w:w="60"/>
              <w:left w:type="dxa" w:w="100"/>
              <w:bottom w:type="dxa" w:w="60"/>
              <w:right w:type="dxa" w:w="100"/>
            </w:tcMar>
          </w:tcPr>
          <w:p>
            <w:pPr>
              <w:spacing w:after="20"/>
            </w:pPr>
            <w:r>
              <w:rPr>
                <w:b w:val="false"/>
                <w:bCs w:val="false"/>
                <w:i w:val="false"/>
                <w:iCs w:val="false"/>
                <w:sz w:val="19"/>
                <w:szCs w:val="19"/>
              </w:rPr>
              <w:t xml:space="preserve">Parikshit Sharma (24303909)</w:t>
            </w:r>
          </w:p>
        </w:tc>
        <w:tc>
          <w:tcPr>
            <w:tcW w:type="dxa" w:w="5000"/>
            <w:tcMar>
              <w:top w:type="dxa" w:w="60"/>
              <w:left w:type="dxa" w:w="100"/>
              <w:bottom w:type="dxa" w:w="60"/>
              <w:right w:type="dxa" w:w="100"/>
            </w:tcMar>
          </w:tcPr>
          <w:p>
            <w:pPr>
              <w:spacing w:after="20"/>
            </w:pPr>
            <w:r>
              <w:rPr>
                <w:b w:val="false"/>
                <w:bCs w:val="false"/>
                <w:i w:val="false"/>
                <w:iCs w:val="false"/>
                <w:sz w:val="19"/>
                <w:szCs w:val="19"/>
              </w:rPr>
              <w:t xml:space="preserve">Transformer-Based Modelling of Smartphone Behavioural Sequences for Intervention Availability Prediction. LK489 MEng Computer Vision and AI. Supervisor: Prof. Pepijn Van de Ven. 48 pp.</w:t>
            </w:r>
          </w:p>
        </w:tc>
        <w:tc>
          <w:tcPr>
            <w:tcW w:type="dxa" w:w="2500"/>
            <w:tcMar>
              <w:top w:type="dxa" w:w="60"/>
              <w:left w:type="dxa" w:w="100"/>
              <w:bottom w:type="dxa" w:w="60"/>
              <w:right w:type="dxa" w:w="100"/>
            </w:tcMar>
          </w:tcPr>
          <w:p>
            <w:pPr>
              <w:spacing w:after="20"/>
            </w:pPr>
            <w:r>
              <w:rPr>
                <w:b w:val="false"/>
                <w:bCs w:val="false"/>
                <w:i w:val="false"/>
                <w:iCs w:val="false"/>
                <w:sz w:val="19"/>
                <w:szCs w:val="19"/>
              </w:rPr>
              <w:t xml:space="preserve">26 August 2026</w:t>
            </w:r>
          </w:p>
        </w:tc>
      </w:tr>
    </w:tbl>
    <w:p>
      <w:pPr>
        <w:spacing w:after="120" w:before="80"/>
      </w:pPr>
      <w:r>
        <w:rPr>
          <w:b w:val="false"/>
          <w:bCs w:val="false"/>
          <w:i/>
          <w:iCs/>
          <w:sz w:val="21"/>
          <w:szCs w:val="21"/>
        </w:rPr>
        <w:t xml:space="preserve">Shared dataset and split. All three use the EARS cohort (University of Virginia study led by Dr Chow, collected August 2023 – June 2024, participants monitored ~35 days), a 48-hour window binned hourly, and a participant-disjoint split at random seed 42 giving 803 training / 182 validation / 168 test events across 257 / 55 / 56 participants. Test-set positive prevalence 0.685.</w:t>
      </w:r>
    </w:p>
    <w:p>
      <w:r>
        <w:br w:type="page"/>
      </w:r>
    </w:p>
    <w:p>
      <w:pPr>
        <w:pStyle w:val="Heading1"/>
        <w:spacing w:after="160" w:before="320"/>
      </w:pPr>
      <w:r>
        <w:t xml:space="preserve">Part A — Simran Kukreja</w:t>
      </w:r>
    </w:p>
    <w:p>
      <w:pPr>
        <w:pStyle w:val="Heading2"/>
        <w:spacing w:after="120" w:before="240"/>
      </w:pPr>
      <w:r>
        <w:t xml:space="preserve">A.1 Limitations stated by the author</w:t>
      </w:r>
    </w:p>
    <w:p>
      <w:pPr>
        <w:spacing w:after="120" w:before="80"/>
      </w:pPr>
      <w:r>
        <w:rPr>
          <w:b w:val="false"/>
          <w:bCs w:val="false"/>
          <w:i/>
          <w:iCs/>
          <w:sz w:val="21"/>
          <w:szCs w:val="21"/>
        </w:rPr>
        <w:t xml:space="preserve">Source: Chapter 7, section "Limitations", printed page 35.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Item</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S-L1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Sensor coverage is highly uneven. Several modalities appear in only a minority of hourly bins and application usage in a small fraction, so a large share of the input window contains no readings. Stated as placing an upper bound on achievable performance independent of model choice.</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7, Limitations, bullet 1, p. 35. Coverage figures in Table 4.1, p. 21.</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S-L2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number of labelled EMA responses is small relative to the capacity of deep models, constraining architecture complexity. Stated as the motivation for compact designs.</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Ch. 7, Limitations, bullet 2, p. 35.</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S-L3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portal-access label is a proxy for intervention availability rather than a direct measurement of receptivity, so label noise is expected.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7, Limitations, bullet 3, p. 35. Label definition in Ch. 4, "Label Preparation", p. 21.</w:t>
            </w:r>
          </w:p>
        </w:tc>
      </w:tr>
    </w:tbl>
    <w:p>
      <w:pPr>
        <w:pStyle w:val="Heading2"/>
        <w:spacing w:after="120" w:before="240"/>
      </w:pPr>
      <w:r>
        <w:t xml:space="preserve">A.2 Future work stated by the author</w:t>
      </w:r>
    </w:p>
    <w:p>
      <w:pPr>
        <w:spacing w:after="120" w:before="80"/>
      </w:pPr>
      <w:r>
        <w:rPr>
          <w:b w:val="false"/>
          <w:bCs w:val="false"/>
          <w:i/>
          <w:iCs/>
          <w:sz w:val="21"/>
          <w:szCs w:val="21"/>
        </w:rPr>
        <w:t xml:space="preserve">Source: Chapter 7, section "Future Work", printed page 36, unless noted.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Item</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S-F1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Richer EMA history features — the full sequence of prior responses and additional EMA items beyond the portal-review label, rather than the three summary statistics currently used.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7, Future Work, bullet 1, p. 36. Current features described in Ch. 4, "Causal History Features", p. 22.</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S-F2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Quantify each sensor's ablation. Pipeline supports removing feature groups but no full ablation was completed. Proposes retraining with and without accelerometer channels and depersonalised GPS features to establish whether location information helps or is redundant.</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Ch. 7, Future Work, bullet 2, p. 36.</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S-F3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Architecture search over kernel sizes (3,5,7) and dilations (1,2,4,8), which were chosen as sensible defaults rather than tuned.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7, Future Work, bullet 3, p. 36. Values in Table 5.1, p. 30.</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S-F4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Address sensor sparsity through learned imputation, coverage-aware masking within the convolutional stack, or explicit modelling of missingness, so the model does more than learn from absence.</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Ch. 7, Future Work, bullet 4, p. 36.</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S-F5</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Robust temporal evaluation — complement the participant-disjoint split with time-series cross-validation using expanding training windows to reduce sensitivity to a single temporal boundary.</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7, Future Work, bullet 5, p. 36.</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S-F6</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Interpretability — analyse which time steps and channels most influence predictions, to identify the behavioural cues the models rely on.</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Ch. 7, Future Work, bullet 6, p. 36.</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S-F7</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Systematic search over focal-loss balancing weight (α) and focusing parameter (γ). Both were adopted as published defaults (α=0.25, γ=2.0) rather than tuned on this dataset.</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5, "Training Objective and Procedure", p. 29 (explicitly deferred to Ch. 7).</w:t>
            </w:r>
          </w:p>
        </w:tc>
      </w:tr>
    </w:tbl>
    <w:p>
      <w:pPr>
        <w:pStyle w:val="Heading2"/>
        <w:spacing w:after="120" w:before="240"/>
      </w:pPr>
      <w:r>
        <w:t xml:space="preserve">A.3 Further observations — not stated in the report</w:t>
      </w:r>
    </w:p>
    <w:p>
      <w:pPr>
        <w:spacing w:after="120" w:before="80"/>
      </w:pPr>
      <w:r>
        <w:rPr>
          <w:b w:val="false"/>
          <w:bCs w:val="false"/>
          <w:i/>
          <w:iCs/>
          <w:sz w:val="21"/>
          <w:szCs w:val="21"/>
        </w:rPr>
        <w:t xml:space="preserve">These were identified during review. They are my assessment, not the author's, and each should be confirmed against the source before you rely on it.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Observation</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 to check</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accelerometer ablation is announced twice but never reported. Chapter 6 opens by saying it "presents the accelerometer ablation" and the chapter summary repeats that it was covered. Table 6.1 contains only two rows (Multi-Scale ResNet, Dilated TCN) and no ablation appears anywhere in the chapter. Chapter 7 then lists the ablation as not completed.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6 Overview p. 31; Table 6.1 p. 33; Ch. 6 Summary p. 34; contrast Ch. 7 Future Work bullet 2, p. 36.</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S-O2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Transformer baseline is referenced four times but never reported. It appears in the Objectives, in the training procedure ("matches with the same used for the Transformer baseline"), in the sentence introducing Table 6.1 ("along with the Transformer baseline"), and in the Conclusion ("evaluated against a Transformer and CNN baseline under identical preprocessing"). No Transformer row exists in Table 6.1. Vaswani et al. 2017 is listed in References but is never cited in the body.</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Objectives p. 10; Ch. 5 p. 29; Ch. 6 p. 33; Ch. 7 Conclusion p. 35; References p. 37.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Label count is inconsistent within the report. The Abstract states 1153 EMA labelled events after cleaning; the Dataset Description and Figure 4.1 state 1158 EMA responses. The split shown in Figure 4.1 (803 + 182 + 168) sums to 1153. Parikshit and Adithya both report 1153 from 368 participants.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Abstract p. 2; Figure 4.1 p. 20; Dataset Description p. 21.</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S-O4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Positive-class prevalence disagrees with Parikshit for the same labels: 55.8% here versus 57.7% in Parikshit's Figure 4-1. Both report a test-set baseline of 0.685, so the discrepancy is in the full set rather than the test partition.</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Ch. 4 "Label Preparation" p. 21 and Figure 4.1 p. 20; compare Parikshit Figure 4-1, p. 21.</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S-O5</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Figure 4.1 shows a chronological split with a 12 May 2024 cutoff (Train to 12 May, Test Jun 2024) labelled "Chronological split", alongside the participant-disjoint bar. The Data Splitting text on the next page describes only a participant-disjoint split with a fixed random seed. Which was actually used, or whether both constraints were applied simultaneously, is not resolved in the text.</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Figure 4.1 p. 20; "Data Splitting" p. 21.</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S-O6</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Figure 3.2 caption states three parallel branches with kernel sizes 3, 5 and 7. All three boxes inside the figure read "Residual Block medium range (kernel = 5)". The caption and the code (Figure 5.5) agree on 3/5/7, so the figure artwork appears to be wrong.</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Figure 3.2 p. 17; compare Figure 5.4 p. 26 and Figure 5.5 p. 27.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S-O7</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Decision-threshold inconsistency for the Dilated TCN. The confusion-matrix panel is labelled thr = 0.46 and the probability histogram is labelled threshold 0.46, but the narrative text describes "the tuned threshold of 0.44". The confusion counts (48/5/70/45) are identical in both places, so one of the two numbers is a transcription error.</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Figure 6.2 p. 32; narrative p. 33; histogram panel p. 33.</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S-O8</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Draft placeholder language retained in the submitted text: "The tables and figures below are structured to receive the results after the final experiments are being completed. No results are asserted in advance of the experiments." This sits at the opening of the results chapter, which does contain results.</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Ch. 6 opening paragraph, p. 31.</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S-O9</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Single-seed evaluation with no confidence intervals, yet a comparative conclusion is drawn. Table 6.1 reports 0.6932 vs 0.7314 ROC-AUC and the text concludes the Dilated TCN "is the stronger model overall" and attributes the difference to the dilation scheme. On the same 168-event test set, Adithya reports a ~0.18-wide bootstrap interval and Parikshit reports a five-seed range of 0.6891–0.7275 for a single fixed configuration. The 0.038 gap is smaller than the seed variation measured by the other two students.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Table 6.1 p. 33; "Multi-Scale ResNet versus Dilated TCN" p. 34. Compare Adithya §7.3 p. 42 and Parikshit Figure 6-6 p. 35.</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S-O10</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Contribution statement is internally ambiguous. The CNN modelling is described as "a joint effort" with Adithya Malgond and, in the following sentence, as implemented "entirely by the author of this dissertation".</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Ch. 1, "Contributions", bullet 1, p. 10.</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S-O11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GPS-derived channels are never enumerated. The depersonalisation procedure is described (anchors, grid snapping, Haversine distance, time-of-day context), but the resulting feature channels are not listed. The 31-channel sequence count is only recoverable from the architecture figure. The 4-channel difference against the other two students' 27 channels is therefore inferred, not documented.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4 "GPS Depersonalisation" p. 22; "Feature Engineering" p. 23; channel count visible only in Figure 5.4 p. 26 and Figure 5.7 p. 28.</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S-O12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Sensor coverage percentages conflict with the other two reports and no denominator is stated. Table 4.1 gives Motion Activity 58% and ACCEL 55%; Adithya gives MotionActivity 63.4% and accelerometer 35.4% of training windows; Parikshit gives MotionActivity 63.4% and MUS 8.7% of 48-hour windows. "Time bins" versus "windows" is the likely cause but is not made explicit anywhere.</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Table 4.1 p. 21; compare Adithya §7.2 p. 41 and §7.3 p. 42; Parikshit Ch. 4, p. 21 area.</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S-O13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focal-loss description contains a garbled sentence: "The focusing parameter γ ≥ 0 controls the strength of this effect at gamma = 0. The focal loss reduces exactly to log loss, and larger values push the model to concentrate on hard cases." The intended statement is that at γ = 0 the focal loss reduces to log loss.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Ch. 3, "Class Imbalance and Focal-Loss Objective", p. 18.</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S-O14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Chapter 6 is listed in the Table of Contents as starting on page 30; the chapter heading appears on page 31. Minor, but worth fixing before anyone cites page numbers from the TOC.</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Table of Contents p. 6; Ch. 6 heading p. 31.</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S-O15</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Title page is dated 20 August 2025 while every page footer reads "Dissertation Year 2025-2026" and the two companion reports are dated 26 August 2026. Likely a typo on the title page. Confirm before citing a date.</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Title page; page footers throughout.</w:t>
            </w:r>
          </w:p>
        </w:tc>
      </w:tr>
    </w:tbl>
    <w:p>
      <w:r>
        <w:br w:type="page"/>
      </w:r>
    </w:p>
    <w:p>
      <w:pPr>
        <w:pStyle w:val="Heading1"/>
        <w:spacing w:after="160" w:before="320"/>
      </w:pPr>
      <w:r>
        <w:t xml:space="preserve">Part B — Adithya Malgond</w:t>
      </w:r>
    </w:p>
    <w:p>
      <w:pPr>
        <w:pStyle w:val="Heading2"/>
        <w:spacing w:after="120" w:before="240"/>
      </w:pPr>
      <w:r>
        <w:t xml:space="preserve">B.1 Limitations stated by the author</w:t>
      </w:r>
    </w:p>
    <w:p>
      <w:pPr>
        <w:spacing w:after="120" w:before="80"/>
      </w:pPr>
      <w:r>
        <w:rPr>
          <w:b w:val="false"/>
          <w:bCs w:val="false"/>
          <w:i/>
          <w:iCs/>
          <w:sz w:val="21"/>
          <w:szCs w:val="21"/>
        </w:rPr>
        <w:t xml:space="preserve">Source: Section 7.3 "Limitations", printed pages 42–43.</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Item</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A-L1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Evaluation rests on a single participant partition (257 / 55 / 56) that was not repeated. Repeated partitions were excluded due to time. Stated as the direct cause of the ~0.18-wide confidence interval on every marginal estimate in Chapter 6, and that repeating partitions would narrow intervals materially with no change to the model.</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para. 1, p. 42.</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A-L2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validation partition serves two functions (early stopping and threshold tuning), so the reported threshold is optimistic. Notes that the ablation metrics remain threshold-free and are unaffected.</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§7.3, para. 2, p. 43.</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A-L3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test partition contains only 168 events across 56 participants.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para. 2, p. 43.</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A-L4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training partition has all sensors sampled more frequently than the test partition. A stated train/test coverage mismatch. Not quantified and not tested.</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§7.3, para. 2, p. 43.</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A-L5</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Calibration is poor — predicted probability distributions for the two classes overlap heavily, so model outputs can be used for ranking only, not as probabilities.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para. 2, p. 43.</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A-L6</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accelerometer null is partly a coverage artefact. The stream is present in only 35.4% of training windows, so the arm measures the contribution of an intermittently recorded modality rather than of accelerometry as such. A cohort with fuller coverage might differ.</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§7.3, para. 3, p. 43. Coverage also cited in §7.2, Table 7-1, p. 41.</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A-L7</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No per-stream ablation was performed. Only the complete sequence and the five accelerometer channels were removed, so contribution is quantified at pathway and modality level, never stream by stream. The relative contribution of MotionActivity was never evaluated.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para. 3, p. 43; also §7.2, p. 41.</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A-L8</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no-accelerometer arm relies on the column-removal assumption of §4.7, which is "argued, rather than proven".</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§7.3, para. 3, p. 43; assumption stated §4.7.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A-L9</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label is a proxy, capturing what happened rather than what could have happened.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para. 4, p. 43.</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A-L10</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ablation attributes contribution to pathways rather than to individual features, so the "dominance of engagement history" explanation in §7.2 remains an interpretation, not a measurement.</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§7.3, para. 4, p. 43; explanation in §7.2, p. 41–42.</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A-L11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No models incorporating GPS data were developed. Described as in progress in collaboration with Parikshit Sharma and Simran Kukreja.</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para. 4, p. 43.</w:t>
            </w:r>
          </w:p>
        </w:tc>
      </w:tr>
    </w:tbl>
    <w:p>
      <w:pPr>
        <w:pStyle w:val="Heading2"/>
        <w:spacing w:after="120" w:before="240"/>
      </w:pPr>
      <w:r>
        <w:t xml:space="preserve">B.2 Candidate explanations for the null result</w:t>
      </w:r>
    </w:p>
    <w:p>
      <w:pPr>
        <w:spacing w:after="120" w:before="80"/>
      </w:pPr>
      <w:r>
        <w:rPr>
          <w:b w:val="false"/>
          <w:bCs w:val="false"/>
          <w:i/>
          <w:iCs/>
          <w:sz w:val="21"/>
          <w:szCs w:val="21"/>
        </w:rPr>
        <w:t xml:space="preserve">Source: Section 7.2 and Table 7-1, printed page 41. The author presents four non-competing explanations with evidence for and against, and does not select one on plausibility alone.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2600"/>
      </w:tblGrid>
      <w:tr>
        <w:trPr>
          <w:tblHeader/>
        </w:trPr>
        <w:tc>
          <w:tcPr>
            <w:tcW w:type="dxa" w:w="2100"/>
            <w:shd w:fill="D9E2F3" w:color="auto" w:val="clear"/>
            <w:tcMar>
              <w:top w:type="dxa" w:w="60"/>
              <w:left w:type="dxa" w:w="100"/>
              <w:bottom w:type="dxa" w:w="60"/>
              <w:right w:type="dxa" w:w="100"/>
            </w:tcMar>
          </w:tcPr>
          <w:p>
            <w:pPr>
              <w:spacing w:after="20"/>
            </w:pPr>
            <w:r>
              <w:rPr>
                <w:b/>
                <w:bCs/>
                <w:i w:val="false"/>
                <w:iCs w:val="false"/>
                <w:sz w:val="19"/>
                <w:szCs w:val="19"/>
              </w:rPr>
              <w:t xml:space="preserve">Explanation</w:t>
            </w:r>
          </w:p>
        </w:tc>
        <w:tc>
          <w:tcPr>
            <w:tcW w:type="dxa" w:w="5000"/>
            <w:shd w:fill="D9E2F3" w:color="auto" w:val="clear"/>
            <w:tcMar>
              <w:top w:type="dxa" w:w="60"/>
              <w:left w:type="dxa" w:w="100"/>
              <w:bottom w:type="dxa" w:w="60"/>
              <w:right w:type="dxa" w:w="100"/>
            </w:tcMar>
          </w:tcPr>
          <w:p>
            <w:pPr>
              <w:spacing w:after="20"/>
            </w:pPr>
            <w:r>
              <w:rPr>
                <w:b/>
                <w:bCs/>
                <w:i w:val="false"/>
                <w:iCs w:val="false"/>
                <w:sz w:val="19"/>
                <w:szCs w:val="19"/>
              </w:rPr>
              <w:t xml:space="preserve">Evidence as stated</w:t>
            </w:r>
          </w:p>
        </w:tc>
        <w:tc>
          <w:tcPr>
            <w:tcW w:type="dxa" w:w="2600"/>
            <w:shd w:fill="D9E2F3" w:color="auto" w:val="clear"/>
            <w:tcMar>
              <w:top w:type="dxa" w:w="60"/>
              <w:left w:type="dxa" w:w="100"/>
              <w:bottom w:type="dxa" w:w="60"/>
              <w:right w:type="dxa" w:w="100"/>
            </w:tcMar>
          </w:tcPr>
          <w:p>
            <w:pPr>
              <w:spacing w:after="20"/>
            </w:pPr>
            <w:r>
              <w:rPr>
                <w:b/>
                <w:bCs/>
                <w:i w:val="false"/>
                <w:iCs w:val="false"/>
                <w:sz w:val="19"/>
                <w:szCs w:val="19"/>
              </w:rPr>
              <w:t xml:space="preserve">Locator</w:t>
            </w:r>
          </w:p>
        </w:tc>
      </w:tr>
      <w:tr>
        <w:tc>
          <w:tcPr>
            <w:tcW w:type="dxa" w:w="2100"/>
            <w:tcMar>
              <w:top w:type="dxa" w:w="60"/>
              <w:left w:type="dxa" w:w="100"/>
              <w:bottom w:type="dxa" w:w="60"/>
              <w:right w:type="dxa" w:w="100"/>
            </w:tcMar>
          </w:tcPr>
          <w:p>
            <w:pPr>
              <w:spacing w:after="20"/>
            </w:pPr>
            <w:r>
              <w:rPr>
                <w:b w:val="false"/>
                <w:bCs w:val="false"/>
                <w:i w:val="false"/>
                <w:iCs w:val="false"/>
                <w:sz w:val="19"/>
                <w:szCs w:val="19"/>
              </w:rPr>
              <w:t xml:space="preserve">Sparse sensor coverage</w:t>
            </w:r>
          </w:p>
        </w:tc>
        <w:tc>
          <w:tcPr>
            <w:tcW w:type="dxa" w:w="5000"/>
            <w:tcMar>
              <w:top w:type="dxa" w:w="60"/>
              <w:left w:type="dxa" w:w="100"/>
              <w:bottom w:type="dxa" w:w="60"/>
              <w:right w:type="dxa" w:w="100"/>
            </w:tcMar>
          </w:tcPr>
          <w:p>
            <w:pPr>
              <w:spacing w:after="20"/>
            </w:pPr>
            <w:r>
              <w:rPr>
                <w:b w:val="false"/>
                <w:bCs w:val="false"/>
                <w:i w:val="false"/>
                <w:iCs w:val="false"/>
                <w:sz w:val="19"/>
                <w:szCs w:val="19"/>
              </w:rPr>
              <w:t xml:space="preserve">For: six of seven streams below 36% coverage, accelerometer at 35.4%. Against: the sensors-only arm contains all seven streams including MotionActivity at 63.4% and still performs at 0.4829.</w:t>
            </w:r>
          </w:p>
        </w:tc>
        <w:tc>
          <w:tcPr>
            <w:tcW w:type="dxa" w:w="2600"/>
            <w:tcMar>
              <w:top w:type="dxa" w:w="60"/>
              <w:left w:type="dxa" w:w="100"/>
              <w:bottom w:type="dxa" w:w="60"/>
              <w:right w:type="dxa" w:w="100"/>
            </w:tcMar>
          </w:tcPr>
          <w:p>
            <w:pPr>
              <w:spacing w:after="20"/>
            </w:pPr>
            <w:r>
              <w:rPr>
                <w:b w:val="false"/>
                <w:bCs w:val="false"/>
                <w:i w:val="false"/>
                <w:iCs w:val="false"/>
                <w:sz w:val="19"/>
                <w:szCs w:val="19"/>
              </w:rPr>
              <w:t xml:space="preserve">Table 7-1 and §7.2 paras. 2–3, p. 41.</w:t>
            </w:r>
          </w:p>
        </w:tc>
      </w:tr>
      <w:tr>
        <w:tc>
          <w:tcPr>
            <w:tcW w:type="dxa" w:w="2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Temporal mismatch</w:t>
            </w:r>
          </w:p>
        </w:tc>
        <w:tc>
          <w:tcPr>
            <w:tcW w:type="dxa" w:w="50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For: label is weekly, window is 48 hours, so the reported state may have arisen outside the model's field of view. Against: not testable with the weekly instrument. Author calls this the most convincing mechanical explanation and notes a 3-hourly EMA instrument exists but was not used.</w:t>
            </w:r>
          </w:p>
        </w:tc>
        <w:tc>
          <w:tcPr>
            <w:tcW w:type="dxa" w:w="26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Table 7-1 p. 41; §7.2 para. 4, p. 41–42.</w:t>
            </w:r>
          </w:p>
        </w:tc>
      </w:tr>
      <w:tr>
        <w:tc>
          <w:tcPr>
            <w:tcW w:type="dxa" w:w="2100"/>
            <w:tcMar>
              <w:top w:type="dxa" w:w="60"/>
              <w:left w:type="dxa" w:w="100"/>
              <w:bottom w:type="dxa" w:w="60"/>
              <w:right w:type="dxa" w:w="100"/>
            </w:tcMar>
          </w:tcPr>
          <w:p>
            <w:pPr>
              <w:spacing w:after="20"/>
            </w:pPr>
            <w:r>
              <w:rPr>
                <w:b w:val="false"/>
                <w:bCs w:val="false"/>
                <w:i w:val="false"/>
                <w:iCs w:val="false"/>
                <w:sz w:val="19"/>
                <w:szCs w:val="19"/>
              </w:rPr>
              <w:t xml:space="preserve">Construct mismatch</w:t>
            </w:r>
          </w:p>
        </w:tc>
        <w:tc>
          <w:tcPr>
            <w:tcW w:type="dxa" w:w="5000"/>
            <w:tcMar>
              <w:top w:type="dxa" w:w="60"/>
              <w:left w:type="dxa" w:w="100"/>
              <w:bottom w:type="dxa" w:w="60"/>
              <w:right w:type="dxa" w:w="100"/>
            </w:tcMar>
          </w:tcPr>
          <w:p>
            <w:pPr>
              <w:spacing w:after="20"/>
            </w:pPr>
            <w:r>
              <w:rPr>
                <w:b w:val="false"/>
                <w:bCs w:val="false"/>
                <w:i w:val="false"/>
                <w:iCs w:val="false"/>
                <w:sz w:val="19"/>
                <w:szCs w:val="19"/>
              </w:rPr>
              <w:t xml:space="preserve">For: self-reported willingness to be interrupted is a disposition about a period, not a momentary physical state. A participant may be unoccupied, still and awake and still report unavailability.</w:t>
            </w:r>
          </w:p>
        </w:tc>
        <w:tc>
          <w:tcPr>
            <w:tcW w:type="dxa" w:w="2600"/>
            <w:tcMar>
              <w:top w:type="dxa" w:w="60"/>
              <w:left w:type="dxa" w:w="100"/>
              <w:bottom w:type="dxa" w:w="60"/>
              <w:right w:type="dxa" w:w="100"/>
            </w:tcMar>
          </w:tcPr>
          <w:p>
            <w:pPr>
              <w:spacing w:after="20"/>
            </w:pPr>
            <w:r>
              <w:rPr>
                <w:b w:val="false"/>
                <w:bCs w:val="false"/>
                <w:i w:val="false"/>
                <w:iCs w:val="false"/>
                <w:sz w:val="19"/>
                <w:szCs w:val="19"/>
              </w:rPr>
              <w:t xml:space="preserve">Table 7-1 p. 41; §7.2 para. 5, p. 42.</w:t>
            </w:r>
          </w:p>
        </w:tc>
      </w:tr>
      <w:tr>
        <w:tc>
          <w:tcPr>
            <w:tcW w:type="dxa" w:w="2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Dominance of engagement history</w:t>
            </w:r>
          </w:p>
        </w:tc>
        <w:tc>
          <w:tcPr>
            <w:tcW w:type="dxa" w:w="50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For: the static pathway contains prior rate and prior count; if willingness is stable across ~35 days, prior response rate is close to sufficient. Against: the ablation attributes to pathways, not to individual covariates. Author calls this the most consistent overall explanation.</w:t>
            </w:r>
          </w:p>
        </w:tc>
        <w:tc>
          <w:tcPr>
            <w:tcW w:type="dxa" w:w="26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Table 7-1 p. 41; §7.2 para. 6, p. 42.</w:t>
            </w:r>
          </w:p>
        </w:tc>
      </w:tr>
    </w:tbl>
    <w:p>
      <w:pPr>
        <w:pStyle w:val="Heading2"/>
        <w:spacing w:after="120" w:before="240"/>
      </w:pPr>
      <w:r>
        <w:t xml:space="preserve">B.3 Future work stated by the author</w:t>
      </w:r>
    </w:p>
    <w:p>
      <w:pPr>
        <w:spacing w:after="120" w:before="80"/>
      </w:pPr>
      <w:r>
        <w:rPr>
          <w:b w:val="false"/>
          <w:bCs w:val="false"/>
          <w:i/>
          <w:iCs/>
          <w:sz w:val="21"/>
          <w:szCs w:val="21"/>
        </w:rPr>
        <w:t xml:space="preserve">Source: Section 8.5 "Future work", printed page 47.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Item</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A-F1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Use a daily (or finer) label against the 48-hour window to close the timescale gap. Named explicitly as the highest-value next step and as the change most likely to overturn the report's primary finding. The 3-hourly EMA instrument collected by the study is the stated route.</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§8.5, para. 1, p. 47; motivation in §7.2, p. 41–42.</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A-F2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Repeated participant partitions, to obtain materially narrower marginal intervals.</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§8.5, para. 2, p. 47; cause stated in §7.3, p. 42.</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A-F3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Per-stream ablation so each sensor stream is analysed separately rather than in aggregate.</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§8.5, para. 2, p. 47.</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A-F4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Restrict the accelerometer arm to a subset of windows with actual accelerometer activity, to separate the modality's contribution from its coverage.</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§8.5, para. 2, p. 47.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A-F5</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Ablate the participation-history covariates individually, which would turn the §7.2 interpretation into a measurement.</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§8.5, para. 2, p. 47.</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A-F6</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Separate the two functions of the validation partition via a nested scheme or a dedicated threshold-tuning fold.</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§8.5, para. 3, p. 47.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A-F7</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Probability calibration, so outputs support a scheduling policy rather than ranking only.</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§8.5, para. 3, p. 47.</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A-F8</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Integrate GPS data as joint work.</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§8.5, para. 3, p. 47.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A-F9</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Verify the §4.7 column-removal assumption with an end-to-end INCLUDE_ACCEL=False rebuild.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§8.5, para. 3, p. 47.</w:t>
            </w:r>
          </w:p>
        </w:tc>
      </w:tr>
    </w:tbl>
    <w:p>
      <w:pPr>
        <w:pStyle w:val="Heading2"/>
        <w:spacing w:after="120" w:before="240"/>
      </w:pPr>
      <w:r>
        <w:t xml:space="preserve">B.4 Hardware and environment constraints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Item</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A-H1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Raw accelerometer data (~20 GB at ~1 Hz) exceeds what "the project computer" can hold in memory, so it cannot be loaded into a dataframe. Resolved with a single streaming pass accumulating per-participant per-hour count, sum, sum of squares, max and active-sample count, with σ² computed as E[x²] − E[x]². The author notes the one-pass identity is normally the numerically less stable choice and argues it is safe here because magnitudes in g are of order unity. Result cached to accel_hourly_cache.pkl to remove the streaming pass from the iteration loop.</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§5.4, p. 28; also §8.4-area summary p. 46 and Table in Ch. 8, p. 45.</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A-H2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No machine specification is given anywhere; the machine is referred to only as "the project computer". Development on Windows is inferable from the stated need to set KMP_DUPLICATE_LIB_OK to avoid an OpenMP conflict between the libraries bundled with PyTorch and NumPy, without which the process terminates at import. Environment reproducible from environment.yml.</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§5.2, p. 27.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A-H3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Compute time, not model size, is the binding constraint: the model is ~99,361 parameters, but repeated partitions were dropped for time (see A-L1).</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Table 5-1, p. 29; §7.3, p. 42.</w:t>
            </w:r>
          </w:p>
        </w:tc>
      </w:tr>
    </w:tbl>
    <w:p>
      <w:pPr>
        <w:pStyle w:val="Heading2"/>
        <w:spacing w:after="120" w:before="240"/>
      </w:pPr>
      <w:r>
        <w:t xml:space="preserve">B.5 Further observations — not stated in the report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Observation</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 to check</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A-O1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Good practice worth preserving, not a defect: the static-only arm scored 0.7244 against the full model's 0.7175, and the author retained 0.7175 as the headline because switching after seeing the result would be post-hoc selection and would invalidate the pre-specification the other comparisons depend on. Consequence for anyone comparing across the three reports: the headline understates the best arm by 0.007.</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§6.3, final paragraph, p. 36.</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A-O2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 withdrawn claim is documented explicitly. A +0.112 accelerometer contribution from single-seed, raw best-epoch selection does not survive five seeds with smoothed selection (+0.005, CI −0.012 to +0.023). This is the clearest available evidence in the project that single-seed results on this test set are unreliable, and it directly undercuts single-seed comparisons elsewhere in the cohort.</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§6.4 and Table 6-3, p. 37–38.</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A-O3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A-L4 (training partition better sampled than test partition) is stated in one clause and never revisited. If real, it is a covariate shift that would depress test performance independently of model choice, and it is not separated from the sparsity explanation in §7.2. Worth quantifying before building on this dataset.</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para. 2, p. 43; compare §7.2, Table 7-1, p. 41.</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A-O4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A-L11 states that no GPS models were developed and that this work is "still in progress" with Simran Kukreja. Simran's report does include GPS channels in its model. Either the reports were finalised at different times or the coordination is described inconsistently. Check dates and scope before citing either statement.</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Adithya §7.3, p. 43; Simran Ch. 4 "GPS Depersonalisation" p. 22.</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A-O5</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Several sentences in Chapters 7 and 8 are garbled to the point of changing meaning (e.g. "a stream that is close to being considered a binding constraint", "the program is designed to support the assumption of"). Not a methodological fault, but it makes some claims hard to verify by reading alone. Prefer the tables and figures over the prose where they disagree.</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§7.2 p. 41; §8.5 p. 47; §4.6 p. 24 area.</w:t>
            </w:r>
          </w:p>
        </w:tc>
      </w:tr>
    </w:tbl>
    <w:p>
      <w:r>
        <w:br w:type="page"/>
      </w:r>
    </w:p>
    <w:p>
      <w:pPr>
        <w:pStyle w:val="Heading1"/>
        <w:spacing w:after="160" w:before="320"/>
      </w:pPr>
      <w:r>
        <w:t xml:space="preserve">Part C — Parikshit Sharma</w:t>
      </w:r>
    </w:p>
    <w:p>
      <w:pPr>
        <w:spacing w:after="120" w:before="80"/>
      </w:pPr>
      <w:r>
        <w:rPr>
          <w:b w:val="false"/>
          <w:bCs w:val="false"/>
          <w:i/>
          <w:iCs/>
          <w:sz w:val="21"/>
          <w:szCs w:val="21"/>
        </w:rPr>
        <w:t xml:space="preserve">All locators in this part were recovered by OCR and should be visually confirmed. Wording is paraphrased.</w:t>
      </w:r>
    </w:p>
    <w:p>
      <w:pPr>
        <w:pStyle w:val="Heading2"/>
        <w:spacing w:after="120" w:before="240"/>
      </w:pPr>
      <w:r>
        <w:t xml:space="preserve">C.1 Limitations stated by the author</w:t>
      </w:r>
    </w:p>
    <w:p>
      <w:pPr>
        <w:spacing w:after="120" w:before="80"/>
      </w:pPr>
      <w:r>
        <w:rPr>
          <w:b w:val="false"/>
          <w:bCs w:val="false"/>
          <w:i/>
          <w:iCs/>
          <w:sz w:val="21"/>
          <w:szCs w:val="21"/>
        </w:rPr>
        <w:t xml:space="preserve">Source: Section 7.3 "Limitations", printed page 37.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Item</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P-L1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Final performance rests on 168 test events from 56 unseen participants, leaving substantial uncertainty in the estimates, reflected in the participant-level bootstrap confidence intervals.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item 1, p. 37. Intervals in Table 6.2, p. 33 (ROC-AUC 0.6159–0.8062; PR-AUC 0.7267–0.9003).</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P-L2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Baseline comparisons show context features carry most of the predictive information and sensors alone perform close to chance, which limits any claim that passive smartphone sensing alone can reliably predict availability.</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§7.3, item 2, p. 37; evidence in Figure 6-5, p. 34.</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P-L3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accelerometer ablation showed no clear benefit. Notes that hourly aggregation of movement variation and intensity may lose fine-grained movement information.</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item 3, p. 37; ablation in §6.5 and Figure 6-7, p. 35–36.</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P-L4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GPS features were not used in the reported model, so the possible contribution of privacy-preserving mobility information was not evaluated.</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§7.3, item 4, p. 37; GPS section p. 22.</w:t>
            </w:r>
          </w:p>
        </w:tc>
      </w:tr>
    </w:tbl>
    <w:p>
      <w:pPr>
        <w:pStyle w:val="Heading2"/>
        <w:spacing w:after="120" w:before="240"/>
      </w:pPr>
      <w:r>
        <w:t xml:space="preserve">C.2 Future work stated by the author</w:t>
      </w:r>
    </w:p>
    <w:p>
      <w:pPr>
        <w:spacing w:after="120" w:before="80"/>
      </w:pPr>
      <w:r>
        <w:rPr>
          <w:b w:val="false"/>
          <w:bCs w:val="false"/>
          <w:i/>
          <w:iCs/>
          <w:sz w:val="21"/>
          <w:szCs w:val="21"/>
        </w:rPr>
        <w:t xml:space="preserve">Source: Section 7.4 "Future Work", printed page 38.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Item</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P-F1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Evaluate on a larger and more diverse user group, with external validation on a different study or population, to establish generalisation beyond this cohort.</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§7.4, para. 1, p. 38.</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P-F2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Richer passive-sensor representations — in particular accelerometer features extracted at higher temporal resolution to preserve detailed movement patterns; and privacy-preserving GPS to test whether mobility adds predictive value.</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§7.4, para. 2, p. 38.</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P-F3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Better use of temporal and context information — examine how sequence length, feature representation and different Transformer configurations affect prediction for unseen participants.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§7.4, para. 3, p. 38.</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P-F4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Prospective validation before practical use — test whether availability predictions actually improve the timing of short online interventions.</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§7.4, para. 4, p. 38.</w:t>
            </w:r>
          </w:p>
        </w:tc>
      </w:tr>
    </w:tbl>
    <w:p>
      <w:pPr>
        <w:pStyle w:val="Heading2"/>
        <w:spacing w:after="120" w:before="240"/>
      </w:pPr>
      <w:r>
        <w:t xml:space="preserve">C.3 Further observations — not stated in the report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Observation</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Locator to check</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P-O1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abstract juxtaposes the five-seed ensemble headline (0.7173) with the single-seed baseline figures (sensors-only 0.5224, context-only 0.7158) without flagging that they come from different evaluation families. Figure 6-5 itself is correctly labelled "matched single-seed family — not the five-seed ensemble", so the caveat exists in the body but not in the abstract.</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Abstract, p. i; Figure 6-5 caption, p. 34.</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P-O2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accelerometer effect reverses direction between evaluation settings and the report acknowledges this without resolving it: single-seed, removing the accelerometer reduced ROC-AUC from 0.7275 to 0.7052; in the matched five-seed ensemble, the no-accelerometer model scored higher (0.7293 vs 0.7173), paired Δ −0.0121, CI −0.0422 to +0.0155, p ≈ 0.41.</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§6.5 and Figure 6-7, p. 35–36.</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P-O3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decision threshold (0.38) is tuned on the validation partition, which is also used for early stopping and model selection, exactly the dual-use issue Adithya flags as a limitation. Parikshit does not list it as a limitation. F1 (0.7719) and balanced accuracy (0.6468) are therefore optimistic on the same grounds.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Table 6.2 and §6.2, p. 32–33; compare Adithya §7.3, p. 43.</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P-O4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No calibration analysis is reported or flagged, although the same overlapping-probability problem Adithya documents would apply to this model. §7.4 proposes prospective validation of intervention timing, which would require calibrated probabilities rather than rankings.</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§7.4, p. 38; compare Adithya §7.3 p. 43 and §8.5 p. 47.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P-O5</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No hardware or compute environment is stated anywhere. The acknowledgements thank the University of Limerick for "the academic environment and computing resources" generically. No GPU, CPU, memory, or runtime figure appears. Contrast Simran (MacBook Air, M1, 8-core CPU, 16 GB) and Adithya ("the project computer", Windows).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Acknowledgements, p. iii; §5.x Implementation, p. 24–25.</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P-O6</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Practical note for verification: the PDF has no text layer (produced by Microsoft Print To PDF), so it cannot be searched, quoted or diffed without OCR. If you plan to build on this work, request the original Word file.</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PDF producer metadata.</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P-O7</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Like Adithya, the evaluation uses a single participant partition. Unlike Adithya, this is not listed as a limitation; only the small test size is. The consequence (wide intervals) is reported but the cause is not named.</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§7.3, item 1, p. 37; compare Adithya §7.3, p. 42.</w:t>
            </w:r>
          </w:p>
        </w:tc>
      </w:tr>
    </w:tbl>
    <w:p>
      <w:r>
        <w:br w:type="page"/>
      </w:r>
    </w:p>
    <w:p>
      <w:pPr>
        <w:pStyle w:val="Heading1"/>
        <w:spacing w:after="160" w:before="320"/>
      </w:pPr>
      <w:r>
        <w:t xml:space="preserve">Part D — Cross-cutting issues</w:t>
      </w:r>
    </w:p>
    <w:p>
      <w:pPr>
        <w:spacing w:after="120" w:before="80"/>
      </w:pPr>
      <w:r>
        <w:rPr>
          <w:b w:val="false"/>
          <w:bCs w:val="false"/>
          <w:i/>
          <w:iCs/>
          <w:sz w:val="21"/>
          <w:szCs w:val="21"/>
        </w:rPr>
        <w:t xml:space="preserve">These arise only when the three reports are read together. All are my assessment.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1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4900"/>
            <w:shd w:fill="D9E2F3" w:color="auto" w:val="clear"/>
            <w:tcMar>
              <w:top w:type="dxa" w:w="60"/>
              <w:left w:type="dxa" w:w="100"/>
              <w:bottom w:type="dxa" w:w="60"/>
              <w:right w:type="dxa" w:w="100"/>
            </w:tcMar>
          </w:tcPr>
          <w:p>
            <w:pPr>
              <w:spacing w:after="20"/>
            </w:pPr>
            <w:r>
              <w:rPr>
                <w:b/>
                <w:bCs/>
                <w:i w:val="false"/>
                <w:iCs w:val="false"/>
                <w:sz w:val="19"/>
                <w:szCs w:val="19"/>
              </w:rPr>
              <w:t xml:space="preserve">Issue</w:t>
            </w:r>
          </w:p>
        </w:tc>
        <w:tc>
          <w:tcPr>
            <w:tcW w:type="dxa" w:w="3100"/>
            <w:shd w:fill="D9E2F3" w:color="auto" w:val="clear"/>
            <w:tcMar>
              <w:top w:type="dxa" w:w="60"/>
              <w:left w:type="dxa" w:w="100"/>
              <w:bottom w:type="dxa" w:w="60"/>
              <w:right w:type="dxa" w:w="100"/>
            </w:tcMar>
          </w:tcPr>
          <w:p>
            <w:pPr>
              <w:spacing w:after="20"/>
            </w:pPr>
            <w:r>
              <w:rPr>
                <w:b/>
                <w:bCs/>
                <w:i w:val="false"/>
                <w:iCs w:val="false"/>
                <w:sz w:val="19"/>
                <w:szCs w:val="19"/>
              </w:rPr>
              <w:t xml:space="preserve">Where to check</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X-1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three headline results are not a controlled comparison. The split is identical (seed 42, 803/182/168 events, 257/55/56 participants) but the inputs are not: Simran uses a 48×31 sequence over 8 modalities including depersonalised GPS; Adithya and Parikshit use 48×27 over 7 modalities with no GPS. The static pathway (20 covariates) is the only part common to all three. Any comparison of 0.7314 / 0.7175 / 0.7173 confounds architecture, GPS inclusion, and seed variance.</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Simran Figure 5.4 p. 26 and Table 4.1 p. 21; Adithya abstract p. i and Table 4-2; Parikshit abstract p. i and Figure 4-1 p. 21.</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X-2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GPS was included by exactly one student and ablated by none. Simran includes it and defers the ablation to future work; Adithya and Parikshit exclude it and defer inclusion to future work. It is therefore the only differing input in the whole project with no evidence attached, in either direction.</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Simran Ch. 7 Future Work bullet 2, p. 36; Adithya §7.3 p. 43 and §8.5 p. 47; Parikshit §7.3 item 4 p. 37.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X-3</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Sensor coverage percentages disagree across the three reports and no denominator is stated in any of them. Motion Activity: 58% (Simran) vs 63.4% (Adithya and Parikshit). Accelerometer: 55% (Simran) vs 35.4% of training windows (Adithya). "Hourly bins" versus "48-hour windows" is the likely explanation but is never made explicit.</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Simran Table 4.1 p. 21; Adithya §7.2 p. 41 and §7.3 p. 43; Parikshit Ch. 4, p. 21 area.</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X-4</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Label totals and prevalence disagree. 1153 events / 368 participants (Adithya, Parikshit, and Simran's abstract) versus 1158 responses (Simran Ch. 4 and Figure 4.1). Prevalence 55.8% (Simran) versus 57.7% (Parikshit). Test prevalence 0.685 is consistent across all three.</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Simran Abstract p. 2, Figure 4.1 p. 20, p. 21; Adithya abstract p. i; Parikshit abstract p. i and Figure 4-1 p. 21.</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X-5</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No repeated partitions anywhere in the project. All three evaluate on one seed-42 participant split. Adithya is the only one to name this as the cause of the ~0.18-wide intervals and to state that repeating it would narrow them with no model change. This is the cheapest available improvement to the whole project and remains undone.</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Adithya §7.3 p. 42 and §8.5 p. 47; Parikshit §7.3 item 1 p. 37; Simran has no interval reporting at all.</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X-6</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Calibration is flagged by one of three. Adithya reports heavy class-probability overlap and states outputs are usable for ranking only, and lists calibration as future work. Parikshit and Simran report threshold-dependent metrics (F1, balanced accuracy) without addressing calibration. Any downstream scheduling policy needs calibrated probabilities, not rankings.</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Adithya §7.3 p. 43 and §8.5 p. 47; Parikshit Table 6.2 p. 33; Simran Table 6.1 p. 33.</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X-7</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The validation partition does double duty in all three (early stopping plus threshold tuning). Only Adithya identifies this and proposes a nested scheme or dedicated threshold fold. All reported F1 and balanced-accuracy figures across the three reports are optimistic on the same grounds.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Adithya §7.3 p. 43 and §8.5 p. 47; Simran Ch. 5 "Experimental Setup" p. 30; Parikshit §5.x p. 25 area.</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X-8</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3-hourly EMA instrument collected by the study was not used by anyone. Adithya identifies it as the single highest-value next step and the change most likely to overturn the project's negative result, because it closes the gap between a weekly label and a 48-hour window. Neither of the other two reports mentions it.</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Adithya §7.2 p. 41–42 and §8.5 p. 47.</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X-9</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Compute environment is documented by one of three. Simran gives a full machine specification; Adithya gives OS-level detail and a memory constraint but no machine; Parikshit gives nothing. No GPU is mentioned by anyone, and no runtime figures appear in any report, so the actual cost of the experiments cannot be estimated from the documents.</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Simran Ch. 5 "Experimental Setup" p. 30; Adithya §5.2 p. 27 and §5.4 p. 28; Parikshit Acknowledgements p. iii.</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X-10</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Per-stream ablation is absent project-wide. Adithya ablates at pathway and modality level only and says so; Parikshit ablates the accelerometer only; Simran ablates nothing. The relative contribution of the highest-coverage stream (MotionActivity) has never been measured by anyone.</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Adithya §7.3 p. 43 and §8.5 p. 47; Parikshit §6.5 p. 35–36; Simran Ch. 7 Future Work bullet 2, p. 36.</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X-11</w:t>
            </w:r>
          </w:p>
        </w:tc>
        <w:tc>
          <w:tcPr>
            <w:tcW w:type="dxa" w:w="4900"/>
            <w:tcMar>
              <w:top w:type="dxa" w:w="60"/>
              <w:left w:type="dxa" w:w="100"/>
              <w:bottom w:type="dxa" w:w="60"/>
              <w:right w:type="dxa" w:w="100"/>
            </w:tcMar>
          </w:tcPr>
          <w:p>
            <w:pPr>
              <w:spacing w:after="20"/>
            </w:pPr>
            <w:r>
              <w:rPr>
                <w:b w:val="false"/>
                <w:bCs w:val="false"/>
                <w:i w:val="false"/>
                <w:iCs w:val="false"/>
                <w:sz w:val="19"/>
                <w:szCs w:val="19"/>
              </w:rPr>
              <w:t xml:space="preserve">Multi-seed discipline varies sharply. Adithya and Parikshit both use five seeds with participant-clustered bootstrap intervals; Simran reports single-seed point estimates and draws a comparative conclusion from a 0.038 gap. Adithya's own withdrawn +0.112 claim (§6.4) demonstrates on this exact dataset how large a single-seed artefact can be.</w:t>
            </w:r>
          </w:p>
        </w:tc>
        <w:tc>
          <w:tcPr>
            <w:tcW w:type="dxa" w:w="3100"/>
            <w:tcMar>
              <w:top w:type="dxa" w:w="60"/>
              <w:left w:type="dxa" w:w="100"/>
              <w:bottom w:type="dxa" w:w="60"/>
              <w:right w:type="dxa" w:w="100"/>
            </w:tcMar>
          </w:tcPr>
          <w:p>
            <w:pPr>
              <w:spacing w:after="20"/>
            </w:pPr>
            <w:r>
              <w:rPr>
                <w:b w:val="false"/>
                <w:bCs w:val="false"/>
                <w:i w:val="false"/>
                <w:iCs w:val="false"/>
                <w:sz w:val="19"/>
                <w:szCs w:val="19"/>
              </w:rPr>
              <w:t xml:space="preserve">Adithya §6.4 and Table 6-3 p. 37–38; Parikshit Figure 6-6 p. 35; Simran Table 6.1 p. 33.</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X-12</w:t>
            </w:r>
          </w:p>
        </w:tc>
        <w:tc>
          <w:tcPr>
            <w:tcW w:type="dxa" w:w="49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The strongest finding in the project is negative and is only partly reflected in each individual report. Two independent ablations put the sensor pathway at or near chance (0.4829 Adithya, 0.5224 Parikshit), and Parikshit's "predict previous label" baseline reaches 0.6336 with no model at all. Simran's report contains no ablation and therefore no comparable evidence, so reading it alone would give a materially different impression of what the sensors contribute.</w:t>
            </w:r>
          </w:p>
        </w:tc>
        <w:tc>
          <w:tcPr>
            <w:tcW w:type="dxa" w:w="31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Adithya Table 6-2 p. 35 and Figure 6-3 p. 36; Parikshit Figure 6-5 p. 34; Simran Ch. 6 passim.</w:t>
            </w:r>
          </w:p>
        </w:tc>
      </w:tr>
    </w:tbl>
    <w:p>
      <w:r>
        <w:br w:type="page"/>
      </w:r>
    </w:p>
    <w:p>
      <w:pPr>
        <w:pStyle w:val="Heading1"/>
        <w:spacing w:after="160" w:before="320"/>
      </w:pPr>
      <w:r>
        <w:t xml:space="preserve">Part E — Notes on verifying this document</w:t>
      </w:r>
    </w:p>
    <w:p>
      <w:pPr>
        <w:spacing w:after="120" w:before="80"/>
      </w:pPr>
      <w:r>
        <w:rPr>
          <w:b w:val="false"/>
          <w:bCs w:val="false"/>
          <w:i w:val="false"/>
          <w:iCs w:val="false"/>
          <w:sz w:val="21"/>
          <w:szCs w:val="21"/>
        </w:rPr>
        <w:t xml:space="preserve">Items are typed by source, and you should treat the three types differently: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500"/>
      </w:tblGrid>
      <w:tr>
        <w:trPr>
          <w:tblHeader/>
        </w:trPr>
        <w:tc>
          <w:tcPr>
            <w:tcW w:type="dxa" w:w="2000"/>
            <w:shd w:fill="D9E2F3" w:color="auto" w:val="clear"/>
            <w:tcMar>
              <w:top w:type="dxa" w:w="60"/>
              <w:left w:type="dxa" w:w="100"/>
              <w:bottom w:type="dxa" w:w="60"/>
              <w:right w:type="dxa" w:w="100"/>
            </w:tcMar>
          </w:tcPr>
          <w:p>
            <w:pPr>
              <w:spacing w:after="20"/>
            </w:pPr>
            <w:r>
              <w:rPr>
                <w:b/>
                <w:bCs/>
                <w:i w:val="false"/>
                <w:iCs w:val="false"/>
                <w:sz w:val="19"/>
                <w:szCs w:val="19"/>
              </w:rPr>
              <w:t xml:space="preserve">Type</w:t>
            </w:r>
          </w:p>
        </w:tc>
        <w:tc>
          <w:tcPr>
            <w:tcW w:type="dxa" w:w="4200"/>
            <w:shd w:fill="D9E2F3" w:color="auto" w:val="clear"/>
            <w:tcMar>
              <w:top w:type="dxa" w:w="60"/>
              <w:left w:type="dxa" w:w="100"/>
              <w:bottom w:type="dxa" w:w="60"/>
              <w:right w:type="dxa" w:w="100"/>
            </w:tcMar>
          </w:tcPr>
          <w:p>
            <w:pPr>
              <w:spacing w:after="20"/>
            </w:pPr>
            <w:r>
              <w:rPr>
                <w:b/>
                <w:bCs/>
                <w:i w:val="false"/>
                <w:iCs w:val="false"/>
                <w:sz w:val="19"/>
                <w:szCs w:val="19"/>
              </w:rPr>
              <w:t xml:space="preserve">Meaning</w:t>
            </w:r>
          </w:p>
        </w:tc>
        <w:tc>
          <w:tcPr>
            <w:tcW w:type="dxa" w:w="3500"/>
            <w:shd w:fill="D9E2F3" w:color="auto" w:val="clear"/>
            <w:tcMar>
              <w:top w:type="dxa" w:w="60"/>
              <w:left w:type="dxa" w:w="100"/>
              <w:bottom w:type="dxa" w:w="60"/>
              <w:right w:type="dxa" w:w="100"/>
            </w:tcMar>
          </w:tcPr>
          <w:p>
            <w:pPr>
              <w:spacing w:after="20"/>
            </w:pPr>
            <w:r>
              <w:rPr>
                <w:b/>
                <w:bCs/>
                <w:i w:val="false"/>
                <w:iCs w:val="false"/>
                <w:sz w:val="19"/>
                <w:szCs w:val="19"/>
              </w:rPr>
              <w:t xml:space="preserve">How to check</w:t>
            </w:r>
          </w:p>
        </w:tc>
      </w:tr>
      <w:tr>
        <w:tc>
          <w:tcPr>
            <w:tcW w:type="dxa" w:w="2000"/>
            <w:tcMar>
              <w:top w:type="dxa" w:w="60"/>
              <w:left w:type="dxa" w:w="100"/>
              <w:bottom w:type="dxa" w:w="60"/>
              <w:right w:type="dxa" w:w="100"/>
            </w:tcMar>
          </w:tcPr>
          <w:p>
            <w:pPr>
              <w:spacing w:after="20"/>
            </w:pPr>
            <w:r>
              <w:rPr>
                <w:b w:val="false"/>
                <w:bCs w:val="false"/>
                <w:i w:val="false"/>
                <w:iCs w:val="false"/>
                <w:sz w:val="19"/>
                <w:szCs w:val="19"/>
              </w:rPr>
              <w:t xml:space="preserve">S-L / A-L / P-L</w:t>
            </w:r>
          </w:p>
        </w:tc>
        <w:tc>
          <w:tcPr>
            <w:tcW w:type="dxa" w:w="4200"/>
            <w:tcMar>
              <w:top w:type="dxa" w:w="60"/>
              <w:left w:type="dxa" w:w="100"/>
              <w:bottom w:type="dxa" w:w="60"/>
              <w:right w:type="dxa" w:w="100"/>
            </w:tcMar>
          </w:tcPr>
          <w:p>
            <w:pPr>
              <w:spacing w:after="20"/>
            </w:pPr>
            <w:r>
              <w:rPr>
                <w:b w:val="false"/>
                <w:bCs w:val="false"/>
                <w:i w:val="false"/>
                <w:iCs w:val="false"/>
                <w:sz w:val="19"/>
                <w:szCs w:val="19"/>
              </w:rPr>
              <w:t xml:space="preserve">Limitation stated by the author in their own limitations section.</w:t>
            </w:r>
          </w:p>
        </w:tc>
        <w:tc>
          <w:tcPr>
            <w:tcW w:type="dxa" w:w="3500"/>
            <w:tcMar>
              <w:top w:type="dxa" w:w="60"/>
              <w:left w:type="dxa" w:w="100"/>
              <w:bottom w:type="dxa" w:w="60"/>
              <w:right w:type="dxa" w:w="100"/>
            </w:tcMar>
          </w:tcPr>
          <w:p>
            <w:pPr>
              <w:spacing w:after="20"/>
            </w:pPr>
            <w:r>
              <w:rPr>
                <w:b w:val="false"/>
                <w:bCs w:val="false"/>
                <w:i w:val="false"/>
                <w:iCs w:val="false"/>
                <w:sz w:val="19"/>
                <w:szCs w:val="19"/>
              </w:rPr>
              <w:t xml:space="preserve">Read the cited section. The wording here is condensed; the substance should match directly.</w:t>
            </w:r>
          </w:p>
        </w:tc>
      </w:tr>
      <w:tr>
        <w:tc>
          <w:tcPr>
            <w:tcW w:type="dxa" w:w="20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S-F / A-F / P-F</w:t>
            </w:r>
          </w:p>
        </w:tc>
        <w:tc>
          <w:tcPr>
            <w:tcW w:type="dxa" w:w="42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Future work stated by the author.</w:t>
            </w:r>
          </w:p>
        </w:tc>
        <w:tc>
          <w:tcPr>
            <w:tcW w:type="dxa" w:w="35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Read the cited section. These are the authors' own proposals, not mine.</w:t>
            </w:r>
          </w:p>
        </w:tc>
      </w:tr>
      <w:tr>
        <w:tc>
          <w:tcPr>
            <w:tcW w:type="dxa" w:w="2000"/>
            <w:tcMar>
              <w:top w:type="dxa" w:w="60"/>
              <w:left w:type="dxa" w:w="100"/>
              <w:bottom w:type="dxa" w:w="60"/>
              <w:right w:type="dxa" w:w="100"/>
            </w:tcMar>
          </w:tcPr>
          <w:p>
            <w:pPr>
              <w:spacing w:after="20"/>
            </w:pPr>
            <w:r>
              <w:rPr>
                <w:b w:val="false"/>
                <w:bCs w:val="false"/>
                <w:i w:val="false"/>
                <w:iCs w:val="false"/>
                <w:sz w:val="19"/>
                <w:szCs w:val="19"/>
              </w:rPr>
              <w:t xml:space="preserve">S-O / A-O / P-O / X</w:t>
            </w:r>
          </w:p>
        </w:tc>
        <w:tc>
          <w:tcPr>
            <w:tcW w:type="dxa" w:w="4200"/>
            <w:tcMar>
              <w:top w:type="dxa" w:w="60"/>
              <w:left w:type="dxa" w:w="100"/>
              <w:bottom w:type="dxa" w:w="60"/>
              <w:right w:type="dxa" w:w="100"/>
            </w:tcMar>
          </w:tcPr>
          <w:p>
            <w:pPr>
              <w:spacing w:after="20"/>
            </w:pPr>
            <w:r>
              <w:rPr>
                <w:b w:val="false"/>
                <w:bCs w:val="false"/>
                <w:i w:val="false"/>
                <w:iCs w:val="false"/>
                <w:sz w:val="19"/>
                <w:szCs w:val="19"/>
              </w:rPr>
              <w:t xml:space="preserve">Observation made during this review. Not stated by any author.</w:t>
            </w:r>
          </w:p>
        </w:tc>
        <w:tc>
          <w:tcPr>
            <w:tcW w:type="dxa" w:w="3500"/>
            <w:tcMar>
              <w:top w:type="dxa" w:w="60"/>
              <w:left w:type="dxa" w:w="100"/>
              <w:bottom w:type="dxa" w:w="60"/>
              <w:right w:type="dxa" w:w="100"/>
            </w:tcMar>
          </w:tcPr>
          <w:p>
            <w:pPr>
              <w:spacing w:after="20"/>
            </w:pPr>
            <w:r>
              <w:rPr>
                <w:b w:val="false"/>
                <w:bCs w:val="false"/>
                <w:i w:val="false"/>
                <w:iCs w:val="false"/>
                <w:sz w:val="19"/>
                <w:szCs w:val="19"/>
              </w:rPr>
              <w:t xml:space="preserve">Check both locators given. Where I claim an inconsistency, the two locators are the two places that disagree. If they do not disagree in the source, the observation is wrong and should be dropped.</w:t>
            </w:r>
          </w:p>
        </w:tc>
      </w:tr>
    </w:tbl>
    <w:p>
      <w:pPr>
        <w:spacing w:after="120" w:before="80"/>
      </w:pPr>
      <w:r>
        <w:rPr>
          <w:b/>
          <w:bCs/>
          <w:i w:val="false"/>
          <w:iCs w:val="false"/>
          <w:sz w:val="21"/>
          <w:szCs w:val="21"/>
        </w:rPr>
        <w:t xml:space="preserve">Highest-priority items to verify first, because the most rests on them: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0"/>
      </w:tblGrid>
      <w:tr>
        <w:trPr>
          <w:tblHeader/>
        </w:trPr>
        <w:tc>
          <w:tcPr>
            <w:tcW w:type="dxa" w:w="1700"/>
            <w:shd w:fill="D9E2F3" w:color="auto" w:val="clear"/>
            <w:tcMar>
              <w:top w:type="dxa" w:w="60"/>
              <w:left w:type="dxa" w:w="100"/>
              <w:bottom w:type="dxa" w:w="60"/>
              <w:right w:type="dxa" w:w="100"/>
            </w:tcMar>
          </w:tcPr>
          <w:p>
            <w:pPr>
              <w:spacing w:after="20"/>
            </w:pPr>
            <w:r>
              <w:rPr>
                <w:b/>
                <w:bCs/>
                <w:i w:val="false"/>
                <w:iCs w:val="false"/>
                <w:sz w:val="19"/>
                <w:szCs w:val="19"/>
              </w:rPr>
              <w:t xml:space="preserve">Ref</w:t>
            </w:r>
          </w:p>
        </w:tc>
        <w:tc>
          <w:tcPr>
            <w:tcW w:type="dxa" w:w="8000"/>
            <w:shd w:fill="D9E2F3" w:color="auto" w:val="clear"/>
            <w:tcMar>
              <w:top w:type="dxa" w:w="60"/>
              <w:left w:type="dxa" w:w="100"/>
              <w:bottom w:type="dxa" w:w="60"/>
              <w:right w:type="dxa" w:w="100"/>
            </w:tcMar>
          </w:tcPr>
          <w:p>
            <w:pPr>
              <w:spacing w:after="20"/>
            </w:pPr>
            <w:r>
              <w:rPr>
                <w:b/>
                <w:bCs/>
                <w:i w:val="false"/>
                <w:iCs w:val="false"/>
                <w:sz w:val="19"/>
                <w:szCs w:val="19"/>
              </w:rPr>
              <w:t xml:space="preserve">Why it matters</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S-O1, S-O2</w:t>
            </w:r>
          </w:p>
        </w:tc>
        <w:tc>
          <w:tcPr>
            <w:tcW w:type="dxa" w:w="8000"/>
            <w:tcMar>
              <w:top w:type="dxa" w:w="60"/>
              <w:left w:type="dxa" w:w="100"/>
              <w:bottom w:type="dxa" w:w="60"/>
              <w:right w:type="dxa" w:w="100"/>
            </w:tcMar>
          </w:tcPr>
          <w:p>
            <w:pPr>
              <w:spacing w:after="20"/>
            </w:pPr>
            <w:r>
              <w:rPr>
                <w:b w:val="false"/>
                <w:bCs w:val="false"/>
                <w:i w:val="false"/>
                <w:iCs w:val="false"/>
                <w:sz w:val="19"/>
                <w:szCs w:val="19"/>
              </w:rPr>
              <w:t xml:space="preserve">If confirmed, Simran's Chapter 6 promises two analyses (accelerometer ablation, Transformer baseline) that the chapter does not contain. This affects how much weight her results can carry in any comparison.</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S-O9, X-11</w:t>
            </w:r>
          </w:p>
        </w:tc>
        <w:tc>
          <w:tcPr>
            <w:tcW w:type="dxa" w:w="80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If confirmed, the Simran ResNet-vs-TCN conclusion rests on a gap smaller than the seed noise measured independently by the other two students on the same test set.</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A-L4</w:t>
            </w:r>
          </w:p>
        </w:tc>
        <w:tc>
          <w:tcPr>
            <w:tcW w:type="dxa" w:w="8000"/>
            <w:tcMar>
              <w:top w:type="dxa" w:w="60"/>
              <w:left w:type="dxa" w:w="100"/>
              <w:bottom w:type="dxa" w:w="60"/>
              <w:right w:type="dxa" w:w="100"/>
            </w:tcMar>
          </w:tcPr>
          <w:p>
            <w:pPr>
              <w:spacing w:after="20"/>
            </w:pPr>
            <w:r>
              <w:rPr>
                <w:b w:val="false"/>
                <w:bCs w:val="false"/>
                <w:i w:val="false"/>
                <w:iCs w:val="false"/>
                <w:sz w:val="19"/>
                <w:szCs w:val="19"/>
              </w:rPr>
              <w:t xml:space="preserve">A stated train/test sensor-coverage mismatch that nobody quantified. If real, it partially confounds the project's central negative result.</w:t>
            </w:r>
          </w:p>
        </w:tc>
      </w:tr>
      <w:tr>
        <w:tc>
          <w:tcPr>
            <w:tcW w:type="dxa" w:w="17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X-1, X-2</w:t>
            </w:r>
          </w:p>
        </w:tc>
        <w:tc>
          <w:tcPr>
            <w:tcW w:type="dxa" w:w="8000"/>
            <w:shd w:fill="F2F2F2" w:color="auto" w:val="clear"/>
            <w:tcMar>
              <w:top w:type="dxa" w:w="60"/>
              <w:left w:type="dxa" w:w="100"/>
              <w:bottom w:type="dxa" w:w="60"/>
              <w:right w:type="dxa" w:w="100"/>
            </w:tcMar>
          </w:tcPr>
          <w:p>
            <w:pPr>
              <w:spacing w:after="20"/>
            </w:pPr>
            <w:r>
              <w:rPr>
                <w:b w:val="false"/>
                <w:bCs w:val="false"/>
                <w:i w:val="false"/>
                <w:iCs w:val="false"/>
                <w:sz w:val="19"/>
                <w:szCs w:val="19"/>
              </w:rPr>
              <w:t xml:space="preserve">Determines whether the three headline scores can be compared at all, and whether GPS has ever actually been tested. This is the gap most available to a new project.</w:t>
            </w:r>
          </w:p>
        </w:tc>
      </w:tr>
      <w:tr>
        <w:tc>
          <w:tcPr>
            <w:tcW w:type="dxa" w:w="1700"/>
            <w:tcMar>
              <w:top w:type="dxa" w:w="60"/>
              <w:left w:type="dxa" w:w="100"/>
              <w:bottom w:type="dxa" w:w="60"/>
              <w:right w:type="dxa" w:w="100"/>
            </w:tcMar>
          </w:tcPr>
          <w:p>
            <w:pPr>
              <w:spacing w:after="20"/>
            </w:pPr>
            <w:r>
              <w:rPr>
                <w:b w:val="false"/>
                <w:bCs w:val="false"/>
                <w:i w:val="false"/>
                <w:iCs w:val="false"/>
                <w:sz w:val="19"/>
                <w:szCs w:val="19"/>
              </w:rPr>
              <w:t xml:space="preserve">X-8</w:t>
            </w:r>
          </w:p>
        </w:tc>
        <w:tc>
          <w:tcPr>
            <w:tcW w:type="dxa" w:w="8000"/>
            <w:tcMar>
              <w:top w:type="dxa" w:w="60"/>
              <w:left w:type="dxa" w:w="100"/>
              <w:bottom w:type="dxa" w:w="60"/>
              <w:right w:type="dxa" w:w="100"/>
            </w:tcMar>
          </w:tcPr>
          <w:p>
            <w:pPr>
              <w:spacing w:after="20"/>
            </w:pPr>
            <w:r>
              <w:rPr>
                <w:b w:val="false"/>
                <w:bCs w:val="false"/>
                <w:i w:val="false"/>
                <w:iCs w:val="false"/>
                <w:sz w:val="19"/>
                <w:szCs w:val="19"/>
              </w:rPr>
              <w:t xml:space="preserve">If the 3-hourly EMA instrument is accessible, it changes what is worth doing next more than any modelling choice in the three reports.</w:t>
            </w:r>
          </w:p>
        </w:tc>
      </w:tr>
    </w:tbl>
    <w:p>
      <w:pPr>
        <w:spacing w:after="120" w:before="200"/>
      </w:pPr>
      <w:r>
        <w:rPr>
          <w:b w:val="false"/>
          <w:bCs w:val="false"/>
          <w:i/>
          <w:iCs/>
          <w:sz w:val="21"/>
          <w:szCs w:val="21"/>
        </w:rPr>
        <w:t xml:space="preserve">What is not in this document: I have not reproduced any results, inspected any code, or had access to the EARS data. Everything above comes from reading the three PDFs. Figures quoted are as printed in those reports.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Light" w:cs="Calibri Light" w:eastAsia="Calibri Light" w:hAnsi="Calibri Light"/>
      <w:b/>
      <w:bCs/>
      <w:color w:val="1F3864"/>
      <w:sz w:val="40"/>
      <w:szCs w:val="40"/>
    </w:rPr>
  </w:style>
  <w:style w:type="paragraph" w:styleId="Heading1">
    <w:name w:val="Heading 1"/>
    <w:basedOn w:val="Normal"/>
    <w:next w:val="Normal"/>
    <w:qFormat/>
    <w:pPr>
      <w:spacing w:after="160" w:before="320"/>
    </w:pPr>
    <w:rPr>
      <w:rFonts w:ascii="Calibri Light" w:cs="Calibri Light" w:eastAsia="Calibri Light" w:hAnsi="Calibri Light"/>
      <w:b/>
      <w:bCs/>
      <w:color w:val="1F3864"/>
      <w:sz w:val="30"/>
      <w:szCs w:val="30"/>
    </w:rPr>
  </w:style>
  <w:style w:type="paragraph" w:styleId="Heading2">
    <w:name w:val="Heading 2"/>
    <w:basedOn w:val="Normal"/>
    <w:next w:val="Normal"/>
    <w:qFormat/>
    <w:pPr>
      <w:spacing w:after="120" w:before="240"/>
    </w:pPr>
    <w:rPr>
      <w:rFonts w:ascii="Calibri Light" w:cs="Calibri Light" w:eastAsia="Calibri Light" w:hAnsi="Calibri Light"/>
      <w:b/>
      <w:bCs/>
      <w:color w:val="2E5496"/>
      <w:sz w:val="25"/>
      <w:szCs w:val="25"/>
    </w:rPr>
  </w:style>
  <w:style w:type="paragraph" w:styleId="Heading3">
    <w:name w:val="Heading 3"/>
    <w:basedOn w:val="Normal"/>
    <w:next w:val="Normal"/>
    <w:qFormat/>
    <w:rPr>
      <w:rFonts w:ascii="Calibri Light" w:cs="Calibri Light" w:eastAsia="Calibri Light" w:hAnsi="Calibri Light"/>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2026-09-17T13:08:49.910Z</dcterms:created>
  <dcterms:modified xsi:type="dcterms:W3CDTF">2026-09-17T13:08:49.923Z</dcterms:modified>
</cp:coreProperties>
</file>

<file path=docProps/custom.xml><?xml version="1.0" encoding="utf-8"?>
<Properties xmlns="http://schemas.openxmlformats.org/officeDocument/2006/custom-properties" xmlns:vt="http://schemas.openxmlformats.org/officeDocument/2006/docPropsVTypes"/>
</file>