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7" w:lineRule="auto"/>
        <w:ind w:left="3115" w:firstLine="0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DE INFORMÁTICA ­ UFPE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8" w:lineRule="auto"/>
        <w:ind w:left="73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IF685/EC ­ GERENCIAMENTO DE DADOS E INFORMAÇÕES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" w:lineRule="auto"/>
        <w:ind w:left="100" w:right="105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Alunos: Airton Ferreira Sampaio Sidrim(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),Bruno Jorge Nogueira Batista(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BJNB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),Geraldo Pereira da Silva Júnior(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GPSJ2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),Helder Lucas Vieira Lima(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HLVL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" w:lineRule="auto"/>
        <w:ind w:left="100" w:right="105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Tema: Imobiliária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 corretores, a data de recebimento é registrada.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Durante uma negociação entre a imobiliária e a instituição financeira, a imobiliária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pode oferecer</w:t>
      </w:r>
      <w:r w:rsidDel="00000000" w:rsidR="00000000" w:rsidRPr="00000000">
        <w:rPr>
          <w:rFonts w:ascii="Arial" w:cs="Arial" w:eastAsia="Arial" w:hAnsi="Arial"/>
          <w:rtl w:val="0"/>
        </w:rPr>
        <w:t xml:space="preserve"> 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garagem</w:t>
      </w:r>
      <w:r w:rsidDel="00000000" w:rsidR="00000000" w:rsidRPr="00000000">
        <w:rPr>
          <w:rFonts w:ascii="Arial" w:cs="Arial" w:eastAsia="Arial" w:hAnsi="Arial"/>
          <w:rtl w:val="0"/>
        </w:rPr>
        <w:t xml:space="preserve">(número de carros, espaço) 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do Minimundo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 imobiliárias sempre prestam serviços efetivos para os clientes que buscam imóveis, promovendo não somente o processo de compra/venda/locação, mas, sobretudo, ampara e oferece todo o suporte legal para que todas as etapas sejam feitas da melhor forma, para que ambas as partes tenham segurança e transparência no negócio.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Imobiliária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Nome, Endereço(CEP, Logradouro, Número), [Telefone(DDD, Número)]), que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negocia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Instituição Fiadora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Nome, Crédito) em nome de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Nome, Endereço(CEP, Logradouro, Número), [Telefone(DDD, Número)]), o qual só pode existir se estiver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cadastrado</w:t>
      </w:r>
      <w:r w:rsidDel="00000000" w:rsidR="00000000" w:rsidRPr="00000000">
        <w:rPr>
          <w:rFonts w:ascii="Arial" w:cs="Arial" w:eastAsia="Arial" w:hAnsi="Arial"/>
          <w:rtl w:val="0"/>
        </w:rPr>
        <w:t xml:space="preserve"> a uma e somente uma instituição financeira.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uma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transação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é feita,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CRECI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Nome, Endereço(CEP, Logradouro, Número), [Telefone(DDD, Número)]) transaciona um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imóvel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CEP</w:t>
      </w:r>
      <w:r w:rsidDel="00000000" w:rsidR="00000000" w:rsidRPr="00000000">
        <w:rPr>
          <w:rFonts w:ascii="Arial" w:cs="Arial" w:eastAsia="Arial" w:hAnsi="Arial"/>
          <w:rtl w:val="0"/>
        </w:rPr>
        <w:t xml:space="preserve">, Logradouro,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Complemento, Característica(Tipo, Área total), Valor) a apenas uma imobiliária, enquanto uma imobiliária junto a um corretor pode transacionar vários imóveis e um imóvel junto a uma imobiliária pode participar na transição de vários corretores. A data da transação e o valor final são registrados.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corretores podem ter apenas um gerente, que por sua vez pode ser um corretor, porém um gerente pode gerenciar vários corretores.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ind w:left="10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Dependendo transação os corretores recebem uma ou mais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Comissões</w:t>
      </w:r>
      <w:r w:rsidDel="00000000" w:rsidR="00000000" w:rsidRPr="00000000">
        <w:rPr>
          <w:rFonts w:ascii="Arial" w:cs="Arial" w:eastAsia="Arial" w:hAnsi="Arial"/>
          <w:rtl w:val="0"/>
        </w:rPr>
        <w:t xml:space="preserve">(CRECI, CNPJ da IF, valor da comissão) a comissão pode ser dividida entre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Recife, 6 de abril de 2015.</w:t>
      </w:r>
    </w:p>
    <w:sectPr>
      <w:pgSz w:h="15840" w:w="12240"/>
      <w:pgMar w:bottom="280" w:top="1380" w:left="1340" w:right="10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