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68C9A" w14:textId="77777777" w:rsidR="00480180" w:rsidRPr="004603D9" w:rsidRDefault="00480180" w:rsidP="00480180">
      <w:pPr>
        <w:pStyle w:val="aa"/>
        <w:rPr>
          <w:rFonts w:eastAsia="Times New Roman"/>
          <w:color w:val="000000"/>
          <w:sz w:val="28"/>
          <w:szCs w:val="28"/>
        </w:rPr>
      </w:pPr>
      <w:r w:rsidRPr="004603D9">
        <w:drawing>
          <wp:inline distT="0" distB="0" distL="0" distR="0" wp14:anchorId="7123B209" wp14:editId="0171F132">
            <wp:extent cx="1737360" cy="868680"/>
            <wp:effectExtent l="0" t="0" r="0" b="7620"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A2D3" w14:textId="77777777" w:rsidR="00480180" w:rsidRPr="004603D9" w:rsidRDefault="00480180" w:rsidP="00480180">
      <w:pPr>
        <w:pStyle w:val="aa"/>
        <w:rPr>
          <w:rFonts w:eastAsia="Times New Roman"/>
          <w:b/>
          <w:color w:val="000000"/>
        </w:rPr>
      </w:pPr>
      <w:r w:rsidRPr="004603D9">
        <w:rPr>
          <w:rFonts w:eastAsia="Times New Roman"/>
          <w:b/>
          <w:color w:val="000000"/>
        </w:rPr>
        <w:t>МИНОБРНАУКИ РОССИИ</w:t>
      </w:r>
    </w:p>
    <w:p w14:paraId="370F38F1" w14:textId="77777777" w:rsidR="00480180" w:rsidRPr="004603D9" w:rsidRDefault="00480180" w:rsidP="00480180">
      <w:pPr>
        <w:pStyle w:val="aa"/>
        <w:rPr>
          <w:rFonts w:eastAsia="Times New Roman"/>
          <w:b/>
          <w:color w:val="000000"/>
        </w:rPr>
      </w:pPr>
      <w:r w:rsidRPr="004603D9">
        <w:rPr>
          <w:rFonts w:eastAsia="Times New Roman"/>
          <w:b/>
          <w:color w:val="000000"/>
        </w:rPr>
        <w:t>федеральное государственное автономное образовательное учреждение</w:t>
      </w:r>
    </w:p>
    <w:p w14:paraId="5E08498B" w14:textId="77777777" w:rsidR="00480180" w:rsidRPr="004603D9" w:rsidRDefault="00480180" w:rsidP="00480180">
      <w:pPr>
        <w:pStyle w:val="aa"/>
        <w:rPr>
          <w:rFonts w:eastAsia="Times New Roman"/>
          <w:b/>
          <w:color w:val="000000"/>
        </w:rPr>
      </w:pPr>
      <w:r w:rsidRPr="004603D9">
        <w:rPr>
          <w:rFonts w:eastAsia="Times New Roman"/>
          <w:b/>
          <w:color w:val="000000"/>
        </w:rPr>
        <w:t>высшего образования</w:t>
      </w:r>
    </w:p>
    <w:p w14:paraId="7EFA4B15" w14:textId="77777777" w:rsidR="00480180" w:rsidRPr="004603D9" w:rsidRDefault="00480180" w:rsidP="00480180">
      <w:pPr>
        <w:pStyle w:val="aa"/>
        <w:rPr>
          <w:rFonts w:eastAsia="Times New Roman"/>
          <w:b/>
          <w:color w:val="000000"/>
        </w:rPr>
      </w:pPr>
      <w:r w:rsidRPr="004603D9">
        <w:rPr>
          <w:rFonts w:eastAsia="Times New Roman"/>
          <w:b/>
          <w:color w:val="000000"/>
        </w:rPr>
        <w:t>«Московский государственный технологический университет «СТАНКИН»</w:t>
      </w:r>
    </w:p>
    <w:p w14:paraId="631F72EA" w14:textId="77777777" w:rsidR="00480180" w:rsidRPr="004603D9" w:rsidRDefault="00480180" w:rsidP="00480180">
      <w:pPr>
        <w:pStyle w:val="aa"/>
        <w:rPr>
          <w:rFonts w:eastAsia="Times New Roman"/>
          <w:b/>
          <w:color w:val="000000"/>
          <w:sz w:val="28"/>
          <w:szCs w:val="28"/>
        </w:rPr>
      </w:pPr>
      <w:r w:rsidRPr="004603D9">
        <w:rPr>
          <w:rFonts w:eastAsia="Times New Roman"/>
          <w:b/>
          <w:color w:val="000000"/>
        </w:rPr>
        <w:t>(ФГАОУ ВО «МГТУ «СТАНКИН»)</w:t>
      </w:r>
    </w:p>
    <w:tbl>
      <w:tblPr>
        <w:tblW w:w="9495" w:type="dxa"/>
        <w:tblInd w:w="-250" w:type="dxa"/>
        <w:tblLayout w:type="fixed"/>
        <w:tblLook w:val="04A0" w:firstRow="1" w:lastRow="0" w:firstColumn="1" w:lastColumn="0" w:noHBand="0" w:noVBand="1"/>
      </w:tblPr>
      <w:tblGrid>
        <w:gridCol w:w="4819"/>
        <w:gridCol w:w="4676"/>
      </w:tblGrid>
      <w:tr w:rsidR="00480180" w:rsidRPr="004603D9" w14:paraId="4DB8EBBA" w14:textId="77777777" w:rsidTr="00CF7E76">
        <w:trPr>
          <w:trHeight w:val="67"/>
        </w:trPr>
        <w:tc>
          <w:tcPr>
            <w:tcW w:w="4819" w:type="dxa"/>
            <w:hideMark/>
          </w:tcPr>
          <w:p w14:paraId="488878D0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b/>
                <w:color w:val="00000A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color w:val="00000A"/>
                <w:sz w:val="22"/>
                <w:szCs w:val="22"/>
                <w14:ligatures w14:val="standardContextual"/>
              </w:rPr>
              <w:t>Институт</w:t>
            </w:r>
          </w:p>
          <w:p w14:paraId="368F9C6E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b/>
                <w:color w:val="00000A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color w:val="00000A"/>
                <w:sz w:val="22"/>
                <w:szCs w:val="22"/>
                <w14:ligatures w14:val="standardContextual"/>
              </w:rPr>
              <w:t>информационных</w:t>
            </w:r>
          </w:p>
          <w:p w14:paraId="3E70EBC5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color w:val="00000A"/>
                <w:sz w:val="22"/>
                <w:szCs w:val="22"/>
                <w14:ligatures w14:val="standardContextual"/>
              </w:rPr>
              <w:t>технологий</w:t>
            </w:r>
          </w:p>
        </w:tc>
        <w:tc>
          <w:tcPr>
            <w:tcW w:w="4676" w:type="dxa"/>
            <w:hideMark/>
          </w:tcPr>
          <w:p w14:paraId="0D11CD2B" w14:textId="77777777" w:rsidR="00480180" w:rsidRPr="004603D9" w:rsidRDefault="00480180" w:rsidP="00CF7E76">
            <w:pPr>
              <w:pStyle w:val="aa"/>
              <w:jc w:val="right"/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</w:pPr>
            <w:r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  <w:t xml:space="preserve">  </w:t>
            </w:r>
            <w:r w:rsidRPr="004603D9"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  <w:t>Кафедра</w:t>
            </w:r>
          </w:p>
          <w:p w14:paraId="7EF8B3F9" w14:textId="77777777" w:rsidR="00480180" w:rsidRPr="004603D9" w:rsidRDefault="00480180" w:rsidP="00CF7E76">
            <w:pPr>
              <w:pStyle w:val="aa"/>
              <w:jc w:val="right"/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  <w:t>управления и информатики</w:t>
            </w:r>
          </w:p>
          <w:p w14:paraId="261D50FE" w14:textId="77777777" w:rsidR="00480180" w:rsidRPr="004603D9" w:rsidRDefault="00480180" w:rsidP="00CF7E76">
            <w:pPr>
              <w:pStyle w:val="aa"/>
              <w:jc w:val="right"/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  <w:t xml:space="preserve"> в технических системах</w:t>
            </w:r>
          </w:p>
        </w:tc>
      </w:tr>
    </w:tbl>
    <w:p w14:paraId="4A38150A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p w14:paraId="648BEBA2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p w14:paraId="66DB9F3C" w14:textId="7EB5A68C" w:rsidR="00480180" w:rsidRPr="004603D9" w:rsidRDefault="001D764E" w:rsidP="00480180">
      <w:pPr>
        <w:pStyle w:val="aa"/>
        <w:rPr>
          <w:rFonts w:eastAsia="Times New Roman"/>
          <w:color w:val="000000"/>
        </w:rPr>
      </w:pPr>
      <w:r>
        <w:rPr>
          <w:rFonts w:eastAsia="Times New Roman"/>
          <w:b/>
          <w:color w:val="000000"/>
        </w:rPr>
        <w:t xml:space="preserve">Лабораторная работа </w:t>
      </w:r>
      <w:r w:rsidR="00480180" w:rsidRPr="004603D9">
        <w:rPr>
          <w:rFonts w:eastAsia="Times New Roman"/>
          <w:b/>
          <w:color w:val="000000"/>
        </w:rPr>
        <w:t>№</w:t>
      </w:r>
      <w:r>
        <w:rPr>
          <w:rFonts w:eastAsia="Times New Roman"/>
          <w:b/>
          <w:color w:val="000000"/>
        </w:rPr>
        <w:t>2</w:t>
      </w:r>
      <w:r w:rsidR="00480180" w:rsidRPr="004603D9">
        <w:rPr>
          <w:rFonts w:eastAsia="Times New Roman"/>
          <w:color w:val="000000"/>
        </w:rPr>
        <w:br/>
        <w:t>ПО ДИСЦИПЛИНЕ</w:t>
      </w:r>
    </w:p>
    <w:p w14:paraId="1278A488" w14:textId="1D1E92DA" w:rsidR="00480180" w:rsidRPr="004603D9" w:rsidRDefault="00480180" w:rsidP="00480180">
      <w:pPr>
        <w:pStyle w:val="aa"/>
        <w:rPr>
          <w:rFonts w:eastAsia="Times New Roman"/>
          <w:color w:val="000000"/>
        </w:rPr>
      </w:pPr>
      <w:r w:rsidRPr="004603D9">
        <w:rPr>
          <w:rFonts w:eastAsia="Times New Roman"/>
          <w:color w:val="000000"/>
        </w:rPr>
        <w:t>«</w:t>
      </w:r>
      <w:r w:rsidR="001D764E" w:rsidRPr="001D764E">
        <w:rPr>
          <w:rFonts w:eastAsia="Times New Roman"/>
          <w:b/>
          <w:bCs/>
          <w:color w:val="000000"/>
        </w:rPr>
        <w:t>ИСИТ</w:t>
      </w:r>
      <w:r w:rsidRPr="004603D9">
        <w:rPr>
          <w:rFonts w:eastAsia="Times New Roman"/>
          <w:color w:val="000000"/>
        </w:rPr>
        <w:t>»</w:t>
      </w:r>
    </w:p>
    <w:p w14:paraId="394C9FD1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tbl>
      <w:tblPr>
        <w:tblW w:w="949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1428"/>
        <w:gridCol w:w="542"/>
        <w:gridCol w:w="1005"/>
        <w:gridCol w:w="62"/>
        <w:gridCol w:w="3339"/>
        <w:gridCol w:w="1277"/>
        <w:gridCol w:w="1842"/>
      </w:tblGrid>
      <w:tr w:rsidR="00480180" w:rsidRPr="004603D9" w14:paraId="5DEF0A3F" w14:textId="77777777" w:rsidTr="00CF7E76">
        <w:trPr>
          <w:cantSplit/>
        </w:trPr>
        <w:tc>
          <w:tcPr>
            <w:tcW w:w="1429" w:type="dxa"/>
            <w:hideMark/>
          </w:tcPr>
          <w:p w14:paraId="4B9BE76C" w14:textId="77777777" w:rsidR="00480180" w:rsidRPr="004603D9" w:rsidRDefault="00480180" w:rsidP="00CF7E76">
            <w:pPr>
              <w:pStyle w:val="aa"/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  <w:t>СТУДЕНТА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709F38D" w14:textId="77777777" w:rsidR="00480180" w:rsidRPr="004603D9" w:rsidRDefault="00480180" w:rsidP="00CF7E76">
            <w:pPr>
              <w:pStyle w:val="aa"/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  <w:t xml:space="preserve"> 3</w:t>
            </w:r>
          </w:p>
        </w:tc>
        <w:tc>
          <w:tcPr>
            <w:tcW w:w="1067" w:type="dxa"/>
            <w:gridSpan w:val="2"/>
            <w:hideMark/>
          </w:tcPr>
          <w:p w14:paraId="13D12F7C" w14:textId="77777777" w:rsidR="00480180" w:rsidRPr="004603D9" w:rsidRDefault="00480180" w:rsidP="00CF7E76">
            <w:pPr>
              <w:pStyle w:val="aa"/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  <w:t>КУРСА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B17518E" w14:textId="77777777" w:rsidR="00480180" w:rsidRPr="004603D9" w:rsidRDefault="00480180" w:rsidP="00CF7E76">
            <w:pPr>
              <w:pStyle w:val="aa"/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  <w:t>БАКАЛАВРИАТА</w:t>
            </w:r>
          </w:p>
        </w:tc>
        <w:tc>
          <w:tcPr>
            <w:tcW w:w="1277" w:type="dxa"/>
            <w:hideMark/>
          </w:tcPr>
          <w:p w14:paraId="28A0A68E" w14:textId="77777777" w:rsidR="00480180" w:rsidRPr="004603D9" w:rsidRDefault="00480180" w:rsidP="00CF7E76">
            <w:pPr>
              <w:pStyle w:val="aa"/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  <w:t>ГРУППЫ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62253A1" w14:textId="77777777" w:rsidR="00480180" w:rsidRPr="004603D9" w:rsidRDefault="00480180" w:rsidP="00CF7E76">
            <w:pPr>
              <w:pStyle w:val="aa"/>
              <w:rPr>
                <w:rFonts w:eastAsia="Times New Roman"/>
                <w:b/>
                <w:bCs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bCs/>
                <w:color w:val="000000"/>
                <w:sz w:val="22"/>
                <w:szCs w:val="22"/>
                <w14:ligatures w14:val="standardContextual"/>
              </w:rPr>
              <w:t xml:space="preserve">     ИДБ-23-13</w:t>
            </w:r>
          </w:p>
        </w:tc>
      </w:tr>
      <w:tr w:rsidR="00480180" w:rsidRPr="004603D9" w14:paraId="41F432A0" w14:textId="77777777" w:rsidTr="00CF7E76">
        <w:trPr>
          <w:cantSplit/>
        </w:trPr>
        <w:tc>
          <w:tcPr>
            <w:tcW w:w="2976" w:type="dxa"/>
            <w:gridSpan w:val="3"/>
          </w:tcPr>
          <w:p w14:paraId="36690D05" w14:textId="77777777" w:rsidR="00480180" w:rsidRPr="004603D9" w:rsidRDefault="00480180" w:rsidP="00CF7E76">
            <w:pPr>
              <w:pStyle w:val="aa"/>
              <w:rPr>
                <w:rFonts w:eastAsia="Times New Roman"/>
                <w:i/>
                <w:color w:val="000000"/>
                <w14:ligatures w14:val="standardContextual"/>
              </w:rPr>
            </w:pPr>
          </w:p>
        </w:tc>
        <w:tc>
          <w:tcPr>
            <w:tcW w:w="3402" w:type="dxa"/>
            <w:gridSpan w:val="2"/>
          </w:tcPr>
          <w:p w14:paraId="77255580" w14:textId="77777777" w:rsidR="00480180" w:rsidRPr="004603D9" w:rsidRDefault="00480180" w:rsidP="00CF7E76">
            <w:pPr>
              <w:pStyle w:val="aa"/>
              <w:rPr>
                <w:rFonts w:eastAsia="Times New Roman"/>
                <w:i/>
                <w:color w:val="000000"/>
                <w14:ligatures w14:val="standardContextual"/>
              </w:rPr>
            </w:pPr>
          </w:p>
        </w:tc>
        <w:tc>
          <w:tcPr>
            <w:tcW w:w="3119" w:type="dxa"/>
            <w:gridSpan w:val="2"/>
          </w:tcPr>
          <w:p w14:paraId="6E4E03C9" w14:textId="77777777" w:rsidR="00480180" w:rsidRPr="004603D9" w:rsidRDefault="00480180" w:rsidP="00CF7E76">
            <w:pPr>
              <w:pStyle w:val="aa"/>
              <w:rPr>
                <w:rFonts w:eastAsia="Times New Roman"/>
                <w:i/>
                <w:color w:val="000000"/>
                <w14:ligatures w14:val="standardContextual"/>
              </w:rPr>
            </w:pPr>
          </w:p>
        </w:tc>
      </w:tr>
    </w:tbl>
    <w:p w14:paraId="504700A9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tbl>
      <w:tblPr>
        <w:tblW w:w="9480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9480"/>
      </w:tblGrid>
      <w:tr w:rsidR="00480180" w:rsidRPr="004603D9" w14:paraId="174132E0" w14:textId="77777777" w:rsidTr="00CF7E76">
        <w:tc>
          <w:tcPr>
            <w:tcW w:w="9487" w:type="dxa"/>
            <w:tcBorders>
              <w:top w:val="nil"/>
              <w:left w:val="nil"/>
              <w:bottom w:val="single" w:sz="18" w:space="0" w:color="000000"/>
              <w:right w:val="nil"/>
            </w:tcBorders>
            <w:hideMark/>
          </w:tcPr>
          <w:p w14:paraId="4EF139BF" w14:textId="51A408D6" w:rsidR="00480180" w:rsidRPr="004603D9" w:rsidRDefault="00480180" w:rsidP="00CF7E76">
            <w:pPr>
              <w:pStyle w:val="aa"/>
              <w:rPr>
                <w:rFonts w:eastAsia="Times New Roman"/>
                <w:b/>
                <w:color w:val="000000"/>
                <w14:ligatures w14:val="standardContextual"/>
              </w:rPr>
            </w:pPr>
            <w:r w:rsidRPr="004603D9">
              <w:rPr>
                <w:b/>
                <w14:ligatures w14:val="standardContextual"/>
              </w:rPr>
              <w:t>С</w:t>
            </w:r>
            <w:r w:rsidR="002C5DF5">
              <w:rPr>
                <w:b/>
                <w14:ligatures w14:val="standardContextual"/>
              </w:rPr>
              <w:t>лисаренко Дарья</w:t>
            </w:r>
          </w:p>
        </w:tc>
      </w:tr>
      <w:tr w:rsidR="00480180" w:rsidRPr="004603D9" w14:paraId="0B764FA3" w14:textId="77777777" w:rsidTr="00CF7E76">
        <w:tc>
          <w:tcPr>
            <w:tcW w:w="948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3B4970B9" w14:textId="77777777" w:rsidR="00480180" w:rsidRPr="004603D9" w:rsidRDefault="00480180" w:rsidP="00CF7E76">
            <w:pPr>
              <w:pStyle w:val="aa"/>
              <w:rPr>
                <w:rFonts w:eastAsia="Times New Roman"/>
                <w:b/>
                <w:color w:val="000000"/>
                <w14:ligatures w14:val="standardContextual"/>
              </w:rPr>
            </w:pPr>
          </w:p>
        </w:tc>
      </w:tr>
    </w:tbl>
    <w:p w14:paraId="54D9DF4E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p w14:paraId="45588AED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  <w:r w:rsidRPr="004603D9">
        <w:rPr>
          <w:rFonts w:eastAsia="Times New Roman"/>
          <w:color w:val="000000"/>
        </w:rPr>
        <w:t>ТЕМА РАБОТЫ</w:t>
      </w:r>
    </w:p>
    <w:tbl>
      <w:tblPr>
        <w:tblW w:w="9480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9480"/>
      </w:tblGrid>
      <w:tr w:rsidR="00480180" w:rsidRPr="004603D9" w14:paraId="71E8357C" w14:textId="77777777" w:rsidTr="00CF7E76">
        <w:tc>
          <w:tcPr>
            <w:tcW w:w="94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0D68CE6" w14:textId="39488F82" w:rsidR="00480180" w:rsidRPr="004603D9" w:rsidRDefault="00480180" w:rsidP="00CF7E76">
            <w:pPr>
              <w:pStyle w:val="aa"/>
              <w:rPr>
                <w:b/>
                <w:bCs/>
                <w:sz w:val="28"/>
                <w:szCs w:val="28"/>
                <w14:ligatures w14:val="standardContextual"/>
              </w:rPr>
            </w:pPr>
            <w:r w:rsidRPr="004603D9">
              <w:rPr>
                <w:b/>
                <w:bCs/>
                <w:sz w:val="28"/>
                <w:szCs w:val="28"/>
                <w14:ligatures w14:val="standardContextual"/>
              </w:rPr>
              <w:t>«</w:t>
            </w:r>
            <w:r w:rsidR="001C7914" w:rsidRPr="001C7914">
              <w:rPr>
                <w:b/>
                <w:bCs/>
              </w:rPr>
              <w:t>C4 Model. Диаграмма компонентов (Level 3)</w:t>
            </w:r>
            <w:r w:rsidRPr="004603D9">
              <w:rPr>
                <w:b/>
                <w:bCs/>
                <w:sz w:val="28"/>
                <w:szCs w:val="28"/>
                <w14:ligatures w14:val="standardContextual"/>
              </w:rPr>
              <w:t>»</w:t>
            </w:r>
          </w:p>
        </w:tc>
      </w:tr>
    </w:tbl>
    <w:p w14:paraId="7458BF78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p w14:paraId="0BB64E51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tbl>
      <w:tblPr>
        <w:tblW w:w="9495" w:type="dxa"/>
        <w:tblInd w:w="-255" w:type="dxa"/>
        <w:tblLayout w:type="fixed"/>
        <w:tblLook w:val="0400" w:firstRow="0" w:lastRow="0" w:firstColumn="0" w:lastColumn="0" w:noHBand="0" w:noVBand="1"/>
      </w:tblPr>
      <w:tblGrid>
        <w:gridCol w:w="2649"/>
        <w:gridCol w:w="6846"/>
      </w:tblGrid>
      <w:tr w:rsidR="00480180" w:rsidRPr="004603D9" w14:paraId="55A1F304" w14:textId="77777777" w:rsidTr="00CF7E76">
        <w:tc>
          <w:tcPr>
            <w:tcW w:w="2648" w:type="dxa"/>
            <w:hideMark/>
          </w:tcPr>
          <w:p w14:paraId="6BE7264E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Направление:</w:t>
            </w:r>
          </w:p>
        </w:tc>
        <w:tc>
          <w:tcPr>
            <w:tcW w:w="6842" w:type="dxa"/>
            <w:hideMark/>
          </w:tcPr>
          <w:p w14:paraId="1DB576F9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FF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09.03.03 Прикладная информатика</w:t>
            </w:r>
          </w:p>
        </w:tc>
      </w:tr>
      <w:tr w:rsidR="00480180" w:rsidRPr="004603D9" w14:paraId="40AB39EF" w14:textId="77777777" w:rsidTr="00CF7E76">
        <w:tc>
          <w:tcPr>
            <w:tcW w:w="2648" w:type="dxa"/>
          </w:tcPr>
          <w:p w14:paraId="40F4C203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08C3B39A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Профиль подготовки:</w:t>
            </w:r>
          </w:p>
        </w:tc>
        <w:tc>
          <w:tcPr>
            <w:tcW w:w="6842" w:type="dxa"/>
          </w:tcPr>
          <w:p w14:paraId="56CDCB7F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3004BBF4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«Управление данными»</w:t>
            </w:r>
          </w:p>
        </w:tc>
      </w:tr>
    </w:tbl>
    <w:p w14:paraId="03DA6BCE" w14:textId="77777777" w:rsidR="00480180" w:rsidRPr="004603D9" w:rsidRDefault="00480180" w:rsidP="00480180">
      <w:pPr>
        <w:pStyle w:val="aa"/>
        <w:jc w:val="left"/>
        <w:rPr>
          <w:rFonts w:eastAsia="Times New Roman"/>
          <w:color w:val="000000"/>
        </w:rPr>
      </w:pPr>
    </w:p>
    <w:p w14:paraId="6D66797A" w14:textId="77777777" w:rsidR="00480180" w:rsidRPr="004603D9" w:rsidRDefault="00480180" w:rsidP="00480180">
      <w:pPr>
        <w:pStyle w:val="aa"/>
        <w:jc w:val="left"/>
        <w:rPr>
          <w:rFonts w:eastAsia="Times New Roman"/>
          <w:color w:val="000000"/>
        </w:rPr>
      </w:pPr>
    </w:p>
    <w:tbl>
      <w:tblPr>
        <w:tblW w:w="9420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1841"/>
        <w:gridCol w:w="5676"/>
        <w:gridCol w:w="144"/>
        <w:gridCol w:w="422"/>
        <w:gridCol w:w="1337"/>
      </w:tblGrid>
      <w:tr w:rsidR="00480180" w:rsidRPr="004603D9" w14:paraId="6B96AAD7" w14:textId="77777777" w:rsidTr="00CF7E76">
        <w:trPr>
          <w:trHeight w:val="312"/>
        </w:trPr>
        <w:tc>
          <w:tcPr>
            <w:tcW w:w="9416" w:type="dxa"/>
            <w:gridSpan w:val="5"/>
            <w:hideMark/>
          </w:tcPr>
          <w:p w14:paraId="0F4F2DA4" w14:textId="0ABE8A82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Отчет сдан «</w:t>
            </w:r>
            <w:r w:rsidR="00A25396">
              <w:rPr>
                <w:rFonts w:eastAsia="Times New Roman"/>
                <w:color w:val="000000"/>
                <w14:ligatures w14:val="standardContextual"/>
              </w:rPr>
              <w:t>__</w:t>
            </w:r>
            <w:r w:rsidRPr="004603D9">
              <w:rPr>
                <w:rFonts w:eastAsia="Times New Roman"/>
                <w:color w:val="000000"/>
                <w14:ligatures w14:val="standardContextual"/>
              </w:rPr>
              <w:t xml:space="preserve">____» </w:t>
            </w:r>
            <w:r w:rsidR="00A25396">
              <w:rPr>
                <w:rFonts w:eastAsia="Times New Roman"/>
                <w:color w:val="000000"/>
                <w14:ligatures w14:val="standardContextual"/>
              </w:rPr>
              <w:t>__</w:t>
            </w:r>
            <w:r w:rsidRPr="004603D9">
              <w:rPr>
                <w:rFonts w:eastAsia="Times New Roman"/>
                <w:color w:val="000000"/>
                <w14:ligatures w14:val="standardContextual"/>
              </w:rPr>
              <w:t>______________202</w:t>
            </w:r>
            <w:r w:rsidR="001D764E">
              <w:rPr>
                <w:rFonts w:eastAsia="Times New Roman"/>
                <w:color w:val="000000"/>
                <w14:ligatures w14:val="standardContextual"/>
              </w:rPr>
              <w:t>6</w:t>
            </w:r>
            <w:r w:rsidRPr="004603D9">
              <w:rPr>
                <w:rFonts w:eastAsia="Times New Roman"/>
                <w:color w:val="000000"/>
                <w14:ligatures w14:val="standardContextual"/>
              </w:rPr>
              <w:t xml:space="preserve"> г.</w:t>
            </w:r>
          </w:p>
        </w:tc>
      </w:tr>
      <w:tr w:rsidR="00480180" w:rsidRPr="004603D9" w14:paraId="2CFAACE6" w14:textId="77777777" w:rsidTr="00CF7E76">
        <w:trPr>
          <w:trHeight w:val="301"/>
        </w:trPr>
        <w:tc>
          <w:tcPr>
            <w:tcW w:w="1840" w:type="dxa"/>
          </w:tcPr>
          <w:p w14:paraId="0E24F823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  <w:tc>
          <w:tcPr>
            <w:tcW w:w="5674" w:type="dxa"/>
          </w:tcPr>
          <w:p w14:paraId="3B501E46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  <w:tc>
          <w:tcPr>
            <w:tcW w:w="566" w:type="dxa"/>
            <w:gridSpan w:val="2"/>
          </w:tcPr>
          <w:p w14:paraId="0BA628D1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  <w:tc>
          <w:tcPr>
            <w:tcW w:w="1336" w:type="dxa"/>
          </w:tcPr>
          <w:p w14:paraId="0078950C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</w:tr>
      <w:tr w:rsidR="00480180" w:rsidRPr="004603D9" w14:paraId="374D76CC" w14:textId="77777777" w:rsidTr="00CF7E76">
        <w:trPr>
          <w:trHeight w:val="301"/>
        </w:trPr>
        <w:tc>
          <w:tcPr>
            <w:tcW w:w="9416" w:type="dxa"/>
            <w:gridSpan w:val="5"/>
            <w:hideMark/>
          </w:tcPr>
          <w:p w14:paraId="27C7CE98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Оценка ____________________________</w:t>
            </w:r>
          </w:p>
        </w:tc>
      </w:tr>
      <w:tr w:rsidR="00480180" w:rsidRPr="004603D9" w14:paraId="0FC7A813" w14:textId="77777777" w:rsidTr="00CF7E76">
        <w:trPr>
          <w:trHeight w:val="301"/>
        </w:trPr>
        <w:tc>
          <w:tcPr>
            <w:tcW w:w="9416" w:type="dxa"/>
            <w:gridSpan w:val="5"/>
          </w:tcPr>
          <w:p w14:paraId="31D33C93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</w:tr>
      <w:tr w:rsidR="00480180" w:rsidRPr="004603D9" w14:paraId="1704D703" w14:textId="77777777" w:rsidTr="00CF7E76">
        <w:trPr>
          <w:trHeight w:val="312"/>
        </w:trPr>
        <w:tc>
          <w:tcPr>
            <w:tcW w:w="1840" w:type="dxa"/>
            <w:hideMark/>
          </w:tcPr>
          <w:p w14:paraId="79879E1E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Преподаватель</w:t>
            </w:r>
          </w:p>
        </w:tc>
        <w:tc>
          <w:tcPr>
            <w:tcW w:w="581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62C9CE19" w14:textId="670F9B03" w:rsidR="00480180" w:rsidRPr="001D764E" w:rsidRDefault="001D764E" w:rsidP="00CF7E76">
            <w:pPr>
              <w:pStyle w:val="aa"/>
              <w:jc w:val="left"/>
              <w:rPr>
                <w:rFonts w:eastAsia="Times New Roman"/>
                <w:b/>
                <w:bCs/>
                <w:color w:val="000000"/>
                <w14:ligatures w14:val="standardContextual"/>
              </w:rPr>
            </w:pPr>
            <w:r w:rsidRPr="001D764E">
              <w:rPr>
                <w:b/>
                <w:bCs/>
              </w:rPr>
              <w:t>Бычков Сергей Юрьевич</w:t>
            </w:r>
          </w:p>
        </w:tc>
        <w:tc>
          <w:tcPr>
            <w:tcW w:w="422" w:type="dxa"/>
          </w:tcPr>
          <w:p w14:paraId="72F46FD1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72A3DB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</w:tr>
      <w:tr w:rsidR="00480180" w:rsidRPr="004603D9" w14:paraId="1063662A" w14:textId="77777777" w:rsidTr="00CF7E76">
        <w:trPr>
          <w:trHeight w:val="312"/>
        </w:trPr>
        <w:tc>
          <w:tcPr>
            <w:tcW w:w="1840" w:type="dxa"/>
          </w:tcPr>
          <w:p w14:paraId="2FB94863" w14:textId="77777777" w:rsidR="00480180" w:rsidRPr="004603D9" w:rsidRDefault="00480180" w:rsidP="00CF7E76">
            <w:pPr>
              <w:pStyle w:val="aa"/>
              <w:jc w:val="left"/>
              <w:rPr>
                <w14:ligatures w14:val="standardContextual"/>
              </w:rPr>
            </w:pPr>
          </w:p>
          <w:p w14:paraId="721ABD94" w14:textId="77777777" w:rsidR="00480180" w:rsidRPr="004603D9" w:rsidRDefault="00480180" w:rsidP="00CF7E76">
            <w:pPr>
              <w:pStyle w:val="aa"/>
              <w:jc w:val="left"/>
              <w:rPr>
                <w14:ligatures w14:val="standardContextual"/>
              </w:rPr>
            </w:pPr>
          </w:p>
          <w:p w14:paraId="06E7B8C7" w14:textId="77777777" w:rsidR="00480180" w:rsidRPr="004603D9" w:rsidRDefault="00480180" w:rsidP="00CF7E76">
            <w:pPr>
              <w:pStyle w:val="aa"/>
              <w:jc w:val="left"/>
              <w:rPr>
                <w14:ligatures w14:val="standardContextual"/>
              </w:rPr>
            </w:pPr>
          </w:p>
        </w:tc>
        <w:tc>
          <w:tcPr>
            <w:tcW w:w="567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2A84DE3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0DC0BBA9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35EBECBB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36E5A477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22E33D9A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02BF04A8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75224DFC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4016BC27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>
              <w:rPr>
                <w:rFonts w:eastAsia="Times New Roman"/>
                <w:color w:val="000000"/>
                <w14:ligatures w14:val="standardContextual"/>
              </w:rPr>
              <w:softHyphen/>
            </w:r>
            <w:r>
              <w:rPr>
                <w:rFonts w:eastAsia="Times New Roman"/>
                <w:color w:val="000000"/>
                <w14:ligatures w14:val="standardContextual"/>
              </w:rPr>
              <w:softHyphen/>
            </w:r>
            <w:r>
              <w:rPr>
                <w:rFonts w:eastAsia="Times New Roman"/>
                <w:color w:val="000000"/>
                <w14:ligatures w14:val="standardContextual"/>
              </w:rPr>
              <w:softHyphen/>
            </w:r>
          </w:p>
        </w:tc>
        <w:tc>
          <w:tcPr>
            <w:tcW w:w="566" w:type="dxa"/>
            <w:gridSpan w:val="2"/>
          </w:tcPr>
          <w:p w14:paraId="433CFB76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587A8CC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i/>
                <w:color w:val="000000"/>
                <w:sz w:val="16"/>
                <w:szCs w:val="16"/>
                <w14:ligatures w14:val="standardContextual"/>
              </w:rPr>
              <w:t>(подпись)</w:t>
            </w:r>
          </w:p>
        </w:tc>
      </w:tr>
    </w:tbl>
    <w:p w14:paraId="50531ABF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p w14:paraId="288ABA13" w14:textId="602DEE11" w:rsidR="00480180" w:rsidRPr="00480180" w:rsidRDefault="00480180" w:rsidP="00480180">
      <w:pPr>
        <w:pStyle w:val="aa"/>
        <w:rPr>
          <w:lang w:val="en-US"/>
        </w:rPr>
      </w:pPr>
      <w:r w:rsidRPr="004603D9">
        <w:t>МОСКВА 202</w:t>
      </w:r>
      <w:r>
        <w:rPr>
          <w:lang w:val="en-US"/>
        </w:rPr>
        <w:t>6</w:t>
      </w:r>
    </w:p>
    <w:p>
      <w:pPr>
        <w:pageBreakBefore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Получение практических навыков декомпозиции технологического контейнера программной системы на внутренние логические компоненты с использованием C4 Model (Level 3), разделения ответственности между компонентами в соответствии с принципами многослойной архитектуры и спецификации внутренних интерфейсов взаимодействия.</w:t>
      </w:r>
    </w:p>
    <w:p>
      <w:pPr>
        <w:pStyle w:val="2"/>
        <w:keepNext/>
      </w:pPr>
      <w:r>
        <w:rPr>
          <w:rFonts w:ascii="Times New Roman" w:hAnsi="Times New Roman"/>
          <w:color w:val="000000"/>
        </w:rPr>
        <w:t>ДИАГРАММА КОМПОНЕНТОВ (COMPONENT DIAGRAM)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1. Выбор ключевого контейнера и обоснование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соответствии с распределением зон ответственности в команде проекта «Информационная система аналитического мониторинга и прогнозирования динамики населения РФ» (команда 18: тимлид — Бектеев Г.А., back-end — Алибеков А., tech-doc — Лиджиев Э.С., front-end — Слисаренко Д., analyst — Сырлыбаев Б.С.) индивидуальной зоной ответственности является Frontend-разработка. Поэтому для декомпозиции на уровне L3 выбран контейнер </w:t>
      </w:r>
      <w:r>
        <w:rPr>
          <w:rFonts w:ascii="Times New Roman" w:hAnsi="Times New Roman" w:eastAsia="Times New Roman"/>
          <w:b/>
          <w:i w:val="0"/>
          <w:sz w:val="28"/>
        </w:rPr>
        <w:t>«Веб-интерфейс аналитика»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(идентификатор </w:t>
      </w:r>
      <w:r>
        <w:rPr>
          <w:rFonts w:ascii="Courier New" w:hAnsi="Courier New" w:eastAsia="Courier New"/>
          <w:b w:val="0"/>
          <w:i w:val="0"/>
          <w:sz w:val="24"/>
        </w:rPr>
        <w:t>analyst_web</w:t>
      </w:r>
      <w:r>
        <w:rPr>
          <w:rFonts w:ascii="Times New Roman" w:hAnsi="Times New Roman" w:eastAsia="Times New Roman"/>
          <w:b w:val="0"/>
          <w:i w:val="0"/>
          <w:sz w:val="28"/>
        </w:rPr>
        <w:t>), определённый на диаграмме контейнеров L2 в лабораторной работе №1.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Контейнер является ключевым для пользователей системы: через него демограф-аналитик задаёт параметры сценариев и запускает прогнозы, а представитель органов власти просматривает дашборды, тепловые карты и аналитические справки. Внутри веб-приложения сосредоточена существенная клиентская логика — маршрутизация, управление состоянием, авторизация по OAuth2, подготовка данных для графиков и классификация значений для тепловой карты, — поэтому его внутреннее устройство требует явного архитектурного описания.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Технологический стек контейнера (зафиксирован на уровне L2): </w:t>
      </w:r>
      <w:r>
        <w:rPr>
          <w:rFonts w:ascii="Times New Roman" w:hAnsi="Times New Roman" w:eastAsia="Times New Roman"/>
          <w:b/>
          <w:i w:val="0"/>
          <w:sz w:val="28"/>
        </w:rPr>
        <w:t>React 18 / TypeScript / Tailwind CSS</w:t>
      </w:r>
      <w:r>
        <w:rPr>
          <w:rFonts w:ascii="Times New Roman" w:hAnsi="Times New Roman" w:eastAsia="Times New Roman"/>
          <w:b w:val="0"/>
          <w:i w:val="0"/>
          <w:sz w:val="28"/>
        </w:rPr>
        <w:t>. Все компоненты, выделенные ниже, выполняются в едином адресном пространстве вкладки браузера (один JavaScript-процесс) и не развёртываются отдельно — это соответствует определению компонента в C4 Model.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2. Графическая схема уровня L3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71907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nalyst-compon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1907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d"/>
        <w:spacing w:line="276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Рис.1. Диаграмма компонентов C4 (Level 3) контейнера «Веб-интерфейс аналитика»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3. Спецификация элементов диаграммы L3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Внутренние компоненты контейнера.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Внутри границы Container_Boundary «Веб-интерфейс аналитика» выделено 9 взаимосвязанных компонентов (таблица 1).</w:t>
      </w:r>
    </w:p>
    <w:p>
      <w:pPr>
        <w:pStyle w:val="ad"/>
        <w:keepNext/>
        <w:spacing w:line="276" w:lineRule="auto" w:before="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1. Описание компонентов контейнера «Веб-интерфейс аналитика»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41"/>
        <w:gridCol w:w="1644"/>
        <w:gridCol w:w="1474"/>
        <w:gridCol w:w="4195"/>
      </w:tblGrid>
      <w:tr>
        <w:trPr>
          <w:tblHeader w:val="true"/>
        </w:trPr>
        <w:tc>
          <w:tcPr>
            <w:tcW w:type="dxa" w:w="2041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Компонент (ID)</w:t>
            </w:r>
          </w:p>
        </w:tc>
        <w:tc>
          <w:tcPr>
            <w:tcW w:type="dxa" w:w="1644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Технология</w:t>
            </w:r>
          </w:p>
        </w:tc>
        <w:tc>
          <w:tcPr>
            <w:tcW w:type="dxa" w:w="1474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Слой</w:t>
            </w:r>
          </w:p>
        </w:tc>
        <w:tc>
          <w:tcPr>
            <w:tcW w:type="dxa" w:w="4195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Ответственность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Router &amp; Layout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app_router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React Router 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Представления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Маршрутизация разделов SPA (мониторинг, прогноз, отчёты), общий каркас страниц, защита маршрутов: пускает в раздел только при активной сессии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Page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dashboard_ui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React 18 / Recharts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Представления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Страница мониторинга: KPI-карточки (численность, динамика, число МО, средняя зарплата), графики временных рядов, фильтры субъекта, типа МО и периода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Forecast Workspace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forecast_ui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React 18 / Recharts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Представления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Форма параметров сценария (модель, горизонт 5–15 лет, сценарий), график «факт + прогноз» с 95 % доверительным интервалом, метрики MAPE/RMSE/MAE, половозрастная пирамида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Report Center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report_ui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React 18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Представления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Запуск генерации аналитической справки, индикатор этапов, предпросмотр и скачивание PDF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Map View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map_ui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React-Leaflet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Представления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Тепловая карта субъектов и муниципалитетов, легенда, подсказки, выбор территории кликом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Heatmap Styler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heatmap_styler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TypeScript module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Доменная логика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Расчёт границ классов показателя и назначение цветов территориям; алгоритм классификации подменяется по паттерну «Стратегия»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State Store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state_store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Redux Toolkit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Прикладной (состояние)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Единое состояние: фильтры, параметры сценариев, результаты запросов, статусы загрузки и ошибки; асинхронные действия (thunks)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Auth Client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auth_client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TypeScript / oidc-client-ts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Прикладной (сквозная служба)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Вход через ЕСИА/IAM по OAuth2 Authorization Code + PKCE, хранение и обновление access-токена, выход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Client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api_client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Axios / TanStack Query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Инфраструктура (доступ к данным)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Единственная точка сетевого обмена с бэкендом: типизированные запросы к REST API, повторные попытки, кэширование, преобразование ошибок</w:t>
            </w:r>
          </w:p>
        </w:tc>
      </w:tr>
    </w:tbl>
    <w:p>
      <w:pPr>
        <w:spacing w:after="80"/>
      </w:pP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Внешние по отношению к контейнеру элементы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вынесены за пределы границы: пользователи «Демограф-аналитик» и «Представитель органов власти» (Person), контейнер «API Gateway &amp; Core Service» (Python / FastAPI), внешние системы «Единая система авторизации (ЕСИА / IAM)» и «Геоинформационный сервис (GIS)» (System_Ext). Их идентификаторы совпадают с идентификаторами диаграмм L1 и L2.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4. Разделение ответственности: многослойная архитектура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Компоненты распределены по четырём слоям. Зависимости направлены только сверху вниз: компоненты представления не обращаются к сети напрямую, а доменная логика не зависит ни от React, ни от HTTP (таблица 2).</w:t>
      </w:r>
    </w:p>
    <w:p>
      <w:pPr>
        <w:pStyle w:val="ad"/>
        <w:keepNext/>
        <w:spacing w:line="276" w:lineRule="auto" w:before="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2. Слои контейнера и правила зависимостей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41"/>
        <w:gridCol w:w="2381"/>
        <w:gridCol w:w="2608"/>
        <w:gridCol w:w="2324"/>
      </w:tblGrid>
      <w:tr>
        <w:trPr>
          <w:tblHeader w:val="true"/>
        </w:trPr>
        <w:tc>
          <w:tcPr>
            <w:tcW w:type="dxa" w:w="2041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Слой</w:t>
            </w:r>
          </w:p>
        </w:tc>
        <w:tc>
          <w:tcPr>
            <w:tcW w:type="dxa" w:w="2381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Компоненты</w:t>
            </w:r>
          </w:p>
        </w:tc>
        <w:tc>
          <w:tcPr>
            <w:tcW w:type="dxa" w:w="2608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Что делает слой</w:t>
            </w:r>
          </w:p>
        </w:tc>
        <w:tc>
          <w:tcPr>
            <w:tcW w:type="dxa" w:w="2324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Ограничение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Представления (UI)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app_router, dashboard_ui, forecast_ui, report_ui, map_ui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Отрисовка интерфейса и приём действий пользователя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Нет прямых HTTP-запросов к бэкенду; данные — только через state_store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Прикладной (состояние и сессия)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state_store, auth_client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Оркестрация сценариев: изменение фильтров → запрос данных → обновление UI; управление сессией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содержит разметки; знает только интерфейс api_client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Доменная логика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heatmap_styler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Чистые вычисления над данными (классификация, палитры)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Нет зависимостей от React, DOM и сети — тестируется изолированно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Инфраструктура (доступ к данным)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api_client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Сетевой обмен с API Gateway по HTTPS / JSON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Единственная точка выхода к бэкенду</w:t>
            </w:r>
          </w:p>
        </w:tc>
      </w:tr>
    </w:tbl>
    <w:p>
      <w:pPr>
        <w:spacing w:after="80"/>
      </w:pP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Такое разбиение даёт три практических результата. Во-первых, замена бэкенда или изменение формата API затрагивает только </w:t>
      </w:r>
      <w:r>
        <w:rPr>
          <w:rFonts w:ascii="Courier New" w:hAnsi="Courier New" w:eastAsia="Courier New"/>
          <w:b w:val="0"/>
          <w:i w:val="0"/>
          <w:sz w:val="24"/>
        </w:rPr>
        <w:t>api_client</w:t>
      </w:r>
      <w:r>
        <w:rPr>
          <w:rFonts w:ascii="Times New Roman" w:hAnsi="Times New Roman" w:eastAsia="Times New Roman"/>
          <w:b w:val="0"/>
          <w:i w:val="0"/>
          <w:sz w:val="28"/>
        </w:rPr>
        <w:t>. Во-вторых, логику тепловой карты можно развивать и тестировать без браузера. В-третьих, страницы остаются «тонкими»: они только отображают состояние и вызывают действия хранилища.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Два обоснованных исключения из строгой иерархии: </w:t>
      </w:r>
      <w:r>
        <w:rPr>
          <w:rFonts w:ascii="Courier New" w:hAnsi="Courier New" w:eastAsia="Courier New"/>
          <w:b w:val="0"/>
          <w:i w:val="0"/>
          <w:sz w:val="24"/>
        </w:rPr>
        <w:t>auth_client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является сквозной службой и используется как маршрутизатором (проверка сессии), так и </w:t>
      </w:r>
      <w:r>
        <w:rPr>
          <w:rFonts w:ascii="Courier New" w:hAnsi="Courier New" w:eastAsia="Courier New"/>
          <w:b w:val="0"/>
          <w:i w:val="0"/>
          <w:sz w:val="24"/>
        </w:rPr>
        <w:t>api_client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(подстановка токена в заголовок Authorization); </w:t>
      </w:r>
      <w:r>
        <w:rPr>
          <w:rFonts w:ascii="Courier New" w:hAnsi="Courier New" w:eastAsia="Courier New"/>
          <w:b w:val="0"/>
          <w:i w:val="0"/>
          <w:sz w:val="24"/>
        </w:rPr>
        <w:t>map_ui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загружает тайлы подложки и векторные границы напрямую из GIS-сервиса, поскольку это статические картографические ресурсы, которые библиотека Leaflet запрашивает сама и которые не проходят через бизнес-API системы.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5. Спецификация внутренних интерфейсов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Внутренние интерфейсы описаны на TypeScript — языке реализации контейнера. Каждый компонент-поставщик экспортирует один интерфейс; потребители зависят от интерфейса, а не от реализации (таблица 3).</w:t>
      </w:r>
    </w:p>
    <w:p>
      <w:pPr>
        <w:pStyle w:val="ad"/>
        <w:keepNext/>
        <w:spacing w:line="276" w:lineRule="auto" w:before="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3. Спецификация внутренних интерфейсов компонентов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5896"/>
        <w:gridCol w:w="1984"/>
      </w:tblGrid>
      <w:tr>
        <w:trPr>
          <w:tblHeader w:val="true"/>
        </w:trPr>
        <w:tc>
          <w:tcPr>
            <w:tcW w:type="dxa" w:w="1474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Поставщик</w:t>
            </w:r>
          </w:p>
        </w:tc>
        <w:tc>
          <w:tcPr>
            <w:tcW w:type="dxa" w:w="5896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Интерфейс и операции</w:t>
            </w:r>
          </w:p>
        </w:tc>
        <w:tc>
          <w:tcPr>
            <w:tcW w:type="dxa" w:w="1984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Потребители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auth_client</w:t>
            </w:r>
          </w:p>
        </w:tc>
        <w:tc>
          <w:tcPr>
            <w:tcW w:type="dxa" w:w="589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interface IAuthClient {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login(): Promise&lt;void&gt;;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logout(): Promise&lt;void&gt;;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isAuthenticated(): boolean;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getAccessToken(): Promise&lt;string&gt;;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}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app_router, api_client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api_client</w:t>
            </w:r>
          </w:p>
        </w:tc>
        <w:tc>
          <w:tcPr>
            <w:tcW w:type="dxa" w:w="589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interface IApiClient {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getPopulation(q: PopulationQuery):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Promise&lt;PopulationSeriesDTO&gt;;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getHeatmap(q: HeatmapQuery):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Promise&lt;RegionMetricDTO[]&gt;;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runForecast(r: ForecastRequest):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Promise&lt;ForecastResultDTO&gt;;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createReport(r: ReportRequest):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  Promise&lt;ReportJobDTO&gt;;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downloadReport(jobId: string): Promise&lt;Blob&gt;;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}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state_store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state_store</w:t>
            </w:r>
          </w:p>
        </w:tc>
        <w:tc>
          <w:tcPr>
            <w:tcW w:type="dxa" w:w="589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// селекторы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selectFilters(s): Filters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selectPopulation(s): PopulationSeriesDTO | null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selectHeatmap(s): RegionMetric[]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selectForecast(s): ForecastResultDTO | null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// действия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setFilters(f: Filters)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fetchForecast(p: ScenarioParams)  // thunk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requestReport(r: ReportRequest)   // thunk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dashboard_ui, forecast_ui, report_ui, map_ui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heatmap_styler</w:t>
            </w:r>
          </w:p>
        </w:tc>
        <w:tc>
          <w:tcPr>
            <w:tcW w:type="dxa" w:w="589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interface IHeatmapStyler {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setStrategy(key: ClassificationKey): void;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style(metrics: RegionMetric[]): HeatmapStyle;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}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type ClassificationKey =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'equal' | 'quantile' | 'diverging';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map_ui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map_ui</w:t>
            </w:r>
          </w:p>
        </w:tc>
        <w:tc>
          <w:tcPr>
            <w:tcW w:type="dxa" w:w="589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interface MapViewProps {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regionCode: string;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metric: MetricKey;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onRegionSelect(id: string): void;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}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dashboard_ui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app_router</w:t>
            </w:r>
          </w:p>
        </w:tc>
        <w:tc>
          <w:tcPr>
            <w:tcW w:type="dxa" w:w="589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routes: RouteObject[]  // ленивая загрузка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'/monitoring' -&gt; DashboardPage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'/forecast'   -&gt; ForecastWorkspace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 '/reports'    -&gt; ReportCenter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 (точка входа приложения)</w:t>
            </w:r>
          </w:p>
        </w:tc>
      </w:tr>
    </w:tbl>
    <w:p>
      <w:pPr>
        <w:spacing w:after="80"/>
      </w:pP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Сетевой интерфейс </w:t>
      </w:r>
      <w:r>
        <w:rPr>
          <w:rFonts w:ascii="Courier New" w:hAnsi="Courier New" w:eastAsia="Courier New"/>
          <w:b w:val="0"/>
          <w:i w:val="0"/>
          <w:sz w:val="24"/>
        </w:rPr>
        <w:t>api_client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согласован с бэкенд-командой: </w:t>
      </w:r>
      <w:r>
        <w:rPr>
          <w:rFonts w:ascii="Courier New" w:hAnsi="Courier New" w:eastAsia="Courier New"/>
          <w:b w:val="0"/>
          <w:i w:val="0"/>
          <w:sz w:val="24"/>
        </w:rPr>
        <w:t>GET /api/population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</w:rPr>
        <w:t>GET /api/heatmap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</w:rPr>
        <w:t>POST /api/forecast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</w:rPr>
        <w:t>POST /api/report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4"/>
        </w:rPr>
        <w:t>GET /api/report/{job_id}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; обмен — HTTPS / JSON, авторизация — заголовок </w:t>
      </w:r>
      <w:r>
        <w:rPr>
          <w:rFonts w:ascii="Courier New" w:hAnsi="Courier New" w:eastAsia="Courier New"/>
          <w:b w:val="0"/>
          <w:i w:val="0"/>
          <w:sz w:val="24"/>
        </w:rPr>
        <w:t>Authorization: Bearer &lt;access_token&gt;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6. Спецификация связей взаимодействия L3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Внутрипроцессное взаимодействие.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Стрелки между компонентами внутри границы — это не сетевые протоколы, а прямые программные вызовы в общем адресном пространстве: вызов функции TypeScript (TS Call), передача свойств компоненту (React Props), монтирование страницы маршрутизатором (React Render) и подписка на хранилище через хуки (React Hooks).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app_router → auth_client</w:t>
      </w:r>
      <w:r>
        <w:rPr>
          <w:rFonts w:ascii="Times New Roman" w:hAnsi="Times New Roman" w:eastAsia="Times New Roman"/>
          <w:b w:val="0"/>
          <w:i w:val="0"/>
          <w:sz w:val="28"/>
        </w:rPr>
        <w:t>: проверка активной сессии перед открытием раздела (TS Call).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app_router → dashboard_ui / forecast_ui / report_ui</w:t>
      </w:r>
      <w:r>
        <w:rPr>
          <w:rFonts w:ascii="Times New Roman" w:hAnsi="Times New Roman" w:eastAsia="Times New Roman"/>
          <w:b w:val="0"/>
          <w:i w:val="0"/>
          <w:sz w:val="28"/>
        </w:rPr>
        <w:t>: монтирование страницы раздела (React Render).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dashboard_ui → map_ui</w:t>
      </w:r>
      <w:r>
        <w:rPr>
          <w:rFonts w:ascii="Times New Roman" w:hAnsi="Times New Roman" w:eastAsia="Times New Roman"/>
          <w:b w:val="0"/>
          <w:i w:val="0"/>
          <w:sz w:val="28"/>
        </w:rPr>
        <w:t>: встраивание тепловой карты выбранного субъекта (React Props).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dashboard_ui, forecast_ui, report_ui, map_ui → state_store</w:t>
      </w:r>
      <w:r>
        <w:rPr>
          <w:rFonts w:ascii="Times New Roman" w:hAnsi="Times New Roman" w:eastAsia="Times New Roman"/>
          <w:b w:val="0"/>
          <w:i w:val="0"/>
          <w:sz w:val="28"/>
        </w:rPr>
        <w:t>: чтение состояния и вызов действий (TS Call / React Hooks).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map_ui → heatmap_styler</w:t>
      </w:r>
      <w:r>
        <w:rPr>
          <w:rFonts w:ascii="Times New Roman" w:hAnsi="Times New Roman" w:eastAsia="Times New Roman"/>
          <w:b w:val="0"/>
          <w:i w:val="0"/>
          <w:sz w:val="28"/>
        </w:rPr>
        <w:t>: получение классов, цветов и легенды для слоя карты (TS Call).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state_store → api_client</w:t>
      </w:r>
      <w:r>
        <w:rPr>
          <w:rFonts w:ascii="Times New Roman" w:hAnsi="Times New Roman" w:eastAsia="Times New Roman"/>
          <w:b w:val="0"/>
          <w:i w:val="0"/>
          <w:sz w:val="28"/>
        </w:rPr>
        <w:t>: асинхронные запросы данных при изменении фильтров и сценариев (TS Call, async).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api_client → auth_client</w:t>
      </w:r>
      <w:r>
        <w:rPr>
          <w:rFonts w:ascii="Times New Roman" w:hAnsi="Times New Roman" w:eastAsia="Times New Roman"/>
          <w:b w:val="0"/>
          <w:i w:val="0"/>
          <w:sz w:val="28"/>
        </w:rPr>
        <w:t>: получение access-токена для заголовка Authorization (TS Call).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Сетевые связи, выходящие за границу контейнера: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Пользователи → app_router</w:t>
      </w:r>
      <w:r>
        <w:rPr>
          <w:rFonts w:ascii="Times New Roman" w:hAnsi="Times New Roman" w:eastAsia="Times New Roman"/>
          <w:b w:val="0"/>
          <w:i w:val="0"/>
          <w:sz w:val="28"/>
        </w:rPr>
        <w:t>: работа в веб-приложении через браузер (HTTPS).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api_client → API Gateway &amp; Core Service</w:t>
      </w:r>
      <w:r>
        <w:rPr>
          <w:rFonts w:ascii="Times New Roman" w:hAnsi="Times New Roman" w:eastAsia="Times New Roman"/>
          <w:b w:val="0"/>
          <w:i w:val="0"/>
          <w:sz w:val="28"/>
        </w:rPr>
        <w:t>: запросы к REST API (HTTPS / JSON).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auth_client → ЕСИА / IAM</w:t>
      </w:r>
      <w:r>
        <w:rPr>
          <w:rFonts w:ascii="Times New Roman" w:hAnsi="Times New Roman" w:eastAsia="Times New Roman"/>
          <w:b w:val="0"/>
          <w:i w:val="0"/>
          <w:sz w:val="28"/>
        </w:rPr>
        <w:t>: перенаправление на вход и обмен кода авторизации на токены (HTTPS / OAuth2, PKCE).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map_ui → Геоинформационный сервис</w:t>
      </w:r>
      <w:r>
        <w:rPr>
          <w:rFonts w:ascii="Times New Roman" w:hAnsi="Times New Roman" w:eastAsia="Times New Roman"/>
          <w:b w:val="0"/>
          <w:i w:val="0"/>
          <w:sz w:val="28"/>
        </w:rPr>
        <w:t>: загрузка тайлов и векторных границ регионов (HTTPS / REST).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Все связи оформлены только макросом </w:t>
      </w:r>
      <w:r>
        <w:rPr>
          <w:rFonts w:ascii="Courier New" w:hAnsi="Courier New" w:eastAsia="Courier New"/>
          <w:b w:val="0"/>
          <w:i w:val="0"/>
          <w:sz w:val="24"/>
        </w:rPr>
        <w:t>Rel()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 указанием бизнес-действия и протокола; макросы жёсткого позиционирования (</w:t>
      </w:r>
      <w:r>
        <w:rPr>
          <w:rFonts w:ascii="Courier New" w:hAnsi="Courier New" w:eastAsia="Courier New"/>
          <w:b w:val="0"/>
          <w:i w:val="0"/>
          <w:sz w:val="24"/>
        </w:rPr>
        <w:t>Rel_R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</w:rPr>
        <w:t>Rel_L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</w:rPr>
        <w:t>Rel_D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</w:rPr>
        <w:t>Rel_U</w:t>
      </w:r>
      <w:r>
        <w:rPr>
          <w:rFonts w:ascii="Times New Roman" w:hAnsi="Times New Roman" w:eastAsia="Times New Roman"/>
          <w:b w:val="0"/>
          <w:i w:val="0"/>
          <w:sz w:val="28"/>
        </w:rPr>
        <w:t>) и локальная стилизация (</w:t>
      </w:r>
      <w:r>
        <w:rPr>
          <w:rFonts w:ascii="Courier New" w:hAnsi="Courier New" w:eastAsia="Courier New"/>
          <w:b w:val="0"/>
          <w:i w:val="0"/>
          <w:sz w:val="24"/>
        </w:rPr>
        <w:t>skinparam</w:t>
      </w:r>
      <w:r>
        <w:rPr>
          <w:rFonts w:ascii="Times New Roman" w:hAnsi="Times New Roman" w:eastAsia="Times New Roman"/>
          <w:b w:val="0"/>
          <w:i w:val="0"/>
          <w:sz w:val="28"/>
        </w:rPr>
        <w:t>) не используются — это требование методических указаний для стабильной сборки в CI/CD.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7. Глоссарий идентификаторов (Glossary IDs)</w:t>
      </w:r>
    </w:p>
    <w:p>
      <w:pPr>
        <w:pStyle w:val="ad"/>
        <w:keepNext/>
        <w:spacing w:line="276" w:lineRule="auto" w:before="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4. Идентификаторы элементов, используемые в puml-файле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685"/>
        <w:gridCol w:w="3685"/>
        <w:gridCol w:w="1984"/>
      </w:tblGrid>
      <w:tr>
        <w:trPr>
          <w:tblHeader w:val="true"/>
        </w:trPr>
        <w:tc>
          <w:tcPr>
            <w:tcW w:type="dxa" w:w="3685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3685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Элемент</w:t>
            </w:r>
          </w:p>
        </w:tc>
        <w:tc>
          <w:tcPr>
            <w:tcW w:type="dxa" w:w="1984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Тип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analyst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Демограф-аналитик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Person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official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Представитель органов власти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Person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analyst_web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Веб-интерфейс аналитика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Container_Boundary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api_gateway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Gateway &amp; Core Service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Container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iam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Единая система авторизации (ЕСИА / IAM)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System_Ext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gis_service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Геоинформационный сервис (GIS)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System_Ext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app_router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dashboard_ui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forecast_ui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report_ui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map_ui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heatmap_styler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state_store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auth_client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api_client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Компоненты контейнера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Component</w:t>
            </w:r>
          </w:p>
        </w:tc>
      </w:tr>
    </w:tbl>
    <w:p>
      <w:pPr>
        <w:spacing w:after="80"/>
      </w:pP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Исходные файлы и ссылка на Git-репозиторий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Исходный код диаграммы размещён в каталоге </w:t>
      </w:r>
      <w:r>
        <w:rPr>
          <w:rFonts w:ascii="Courier New" w:hAnsi="Courier New" w:eastAsia="Courier New"/>
          <w:b w:val="0"/>
          <w:i w:val="0"/>
          <w:sz w:val="24"/>
        </w:rPr>
        <w:t>demographic-c4-project/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Git-репозитория проекта (рядом с файлами ЛР1 </w:t>
      </w:r>
      <w:r>
        <w:rPr>
          <w:rFonts w:ascii="Courier New" w:hAnsi="Courier New" w:eastAsia="Courier New"/>
          <w:b w:val="0"/>
          <w:i w:val="0"/>
          <w:sz w:val="24"/>
        </w:rPr>
        <w:t>src/context.puml.txt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4"/>
        </w:rPr>
        <w:t>src/containers.puml.txt</w:t>
      </w:r>
      <w:r>
        <w:rPr>
          <w:rFonts w:ascii="Times New Roman" w:hAnsi="Times New Roman" w:eastAsia="Times New Roman"/>
          <w:b w:val="0"/>
          <w:i w:val="0"/>
          <w:sz w:val="28"/>
        </w:rPr>
        <w:t>):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eastAsia="Courier New"/>
          <w:b w:val="0"/>
          <w:i w:val="0"/>
          <w:sz w:val="24"/>
        </w:rPr>
        <w:t>src/components/web-analyst-components.puml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исходный PlantUML-код диаграммы компонентов L3;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eastAsia="Courier New"/>
          <w:b w:val="0"/>
          <w:i w:val="0"/>
          <w:sz w:val="24"/>
        </w:rPr>
        <w:t>docs/web-analyst-components.png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сгенерированное изображение диаграммы.</w:t>
      </w:r>
    </w:p>
    <w:p>
      <w:pPr>
        <w:pStyle w:val="ad"/>
        <w:spacing w:line="276" w:lineRule="auto" w:before="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Ссылка на Git-репозиторий: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https://github.com/darymyrss/lab_1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лабораторной работы №2 выполнена декомпозиция контейнера «Веб-интерфейс аналитика» на уровне C4 Level 3. Выделено 9 взаимосвязанных компонентов, выполняющихся в едином адресном пространстве браузера, и распределено по четырём слоям: представления, прикладному, доменной логики и инфраструктуры. Описаны внутренние интерфейсы компонентов на TypeScript, внутрипроцессные вызовы и сетевые связи с API Gateway, ЕСИА/IAM и GIS-сервисом с указанием протоколов. Компонент Heatmap Styler выделен как изолированный модуль доменной логики и будет детализирован до уровня классов в лабораторной работе №3.</w:t>
      </w:r>
    </w:p>
    <w:sectPr w:rsidR="005D5656" w:rsidRPr="005D5656" w:rsidSect="00D15553">
      <w:footerReference w:type="default" r:id="rId12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082EA" w14:textId="77777777" w:rsidR="009F20A0" w:rsidRDefault="009F20A0" w:rsidP="00D15553">
      <w:r>
        <w:separator/>
      </w:r>
    </w:p>
  </w:endnote>
  <w:endnote w:type="continuationSeparator" w:id="0">
    <w:p w14:paraId="221C9F45" w14:textId="77777777" w:rsidR="009F20A0" w:rsidRDefault="009F20A0" w:rsidP="00D15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6739491"/>
      <w:docPartObj>
        <w:docPartGallery w:val="Page Numbers (Bottom of Page)"/>
        <w:docPartUnique/>
      </w:docPartObj>
    </w:sdtPr>
    <w:sdtEndPr/>
    <w:sdtContent>
      <w:p w14:paraId="55D5D13D" w14:textId="641A5A1C" w:rsidR="00D15553" w:rsidRDefault="00D15553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BD9E45" w14:textId="77777777" w:rsidR="00D15553" w:rsidRDefault="00D1555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F73AA" w14:textId="77777777" w:rsidR="009F20A0" w:rsidRDefault="009F20A0" w:rsidP="00D15553">
      <w:r>
        <w:separator/>
      </w:r>
    </w:p>
  </w:footnote>
  <w:footnote w:type="continuationSeparator" w:id="0">
    <w:p w14:paraId="4E39B4E0" w14:textId="77777777" w:rsidR="009F20A0" w:rsidRDefault="009F20A0" w:rsidP="00D15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C18A2"/>
    <w:multiLevelType w:val="multilevel"/>
    <w:tmpl w:val="525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75C09"/>
    <w:multiLevelType w:val="multilevel"/>
    <w:tmpl w:val="CAF0D680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37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1AD72EB"/>
    <w:multiLevelType w:val="multilevel"/>
    <w:tmpl w:val="DBC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72850"/>
    <w:multiLevelType w:val="multilevel"/>
    <w:tmpl w:val="6EE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614EB"/>
    <w:multiLevelType w:val="hybridMultilevel"/>
    <w:tmpl w:val="45DED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428E4"/>
    <w:multiLevelType w:val="multilevel"/>
    <w:tmpl w:val="F18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634E2"/>
    <w:multiLevelType w:val="hybridMultilevel"/>
    <w:tmpl w:val="12A23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E42F4"/>
    <w:multiLevelType w:val="multilevel"/>
    <w:tmpl w:val="B250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B5F28"/>
    <w:multiLevelType w:val="multilevel"/>
    <w:tmpl w:val="AF8A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C305F1"/>
    <w:multiLevelType w:val="hybridMultilevel"/>
    <w:tmpl w:val="17486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9"/>
  </w:num>
  <w:num w:numId="5">
    <w:abstractNumId w:val="5"/>
  </w:num>
  <w:num w:numId="6">
    <w:abstractNumId w:val="3"/>
  </w:num>
  <w:num w:numId="7">
    <w:abstractNumId w:val="7"/>
  </w:num>
  <w:num w:numId="8">
    <w:abstractNumId w:val="2"/>
  </w:num>
  <w:num w:numId="9">
    <w:abstractNumId w:val="8"/>
  </w:num>
  <w:num w:numId="1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7E"/>
    <w:rsid w:val="000117AE"/>
    <w:rsid w:val="000203A1"/>
    <w:rsid w:val="00022C10"/>
    <w:rsid w:val="00060657"/>
    <w:rsid w:val="000628D8"/>
    <w:rsid w:val="00074CD6"/>
    <w:rsid w:val="00083BFE"/>
    <w:rsid w:val="0008490A"/>
    <w:rsid w:val="000878D9"/>
    <w:rsid w:val="000B35E7"/>
    <w:rsid w:val="00102C40"/>
    <w:rsid w:val="001117F9"/>
    <w:rsid w:val="0011363A"/>
    <w:rsid w:val="00120FF0"/>
    <w:rsid w:val="00121A61"/>
    <w:rsid w:val="0013311A"/>
    <w:rsid w:val="00151322"/>
    <w:rsid w:val="00181CBE"/>
    <w:rsid w:val="00182D6D"/>
    <w:rsid w:val="00197AC7"/>
    <w:rsid w:val="001A64E7"/>
    <w:rsid w:val="001B0BA2"/>
    <w:rsid w:val="001C4B96"/>
    <w:rsid w:val="001C6D29"/>
    <w:rsid w:val="001C7914"/>
    <w:rsid w:val="001D764E"/>
    <w:rsid w:val="00221602"/>
    <w:rsid w:val="0022246B"/>
    <w:rsid w:val="00254C03"/>
    <w:rsid w:val="00282195"/>
    <w:rsid w:val="002C5DF5"/>
    <w:rsid w:val="002D3CF5"/>
    <w:rsid w:val="0031066E"/>
    <w:rsid w:val="00375B78"/>
    <w:rsid w:val="003765CC"/>
    <w:rsid w:val="003A6BA6"/>
    <w:rsid w:val="003B01A2"/>
    <w:rsid w:val="003D0610"/>
    <w:rsid w:val="00437EF4"/>
    <w:rsid w:val="004469D5"/>
    <w:rsid w:val="00452893"/>
    <w:rsid w:val="00461AF1"/>
    <w:rsid w:val="00475A3B"/>
    <w:rsid w:val="00480180"/>
    <w:rsid w:val="00490605"/>
    <w:rsid w:val="004B58D1"/>
    <w:rsid w:val="004C528D"/>
    <w:rsid w:val="004D1BD4"/>
    <w:rsid w:val="004E351A"/>
    <w:rsid w:val="004F3C4C"/>
    <w:rsid w:val="004F42D6"/>
    <w:rsid w:val="00543DEA"/>
    <w:rsid w:val="005534E4"/>
    <w:rsid w:val="00564BD6"/>
    <w:rsid w:val="005668BB"/>
    <w:rsid w:val="00577476"/>
    <w:rsid w:val="00581B6F"/>
    <w:rsid w:val="005856DF"/>
    <w:rsid w:val="005971A6"/>
    <w:rsid w:val="005D5656"/>
    <w:rsid w:val="005E2FED"/>
    <w:rsid w:val="005E71DD"/>
    <w:rsid w:val="00606DF6"/>
    <w:rsid w:val="00627A29"/>
    <w:rsid w:val="00634470"/>
    <w:rsid w:val="00651C80"/>
    <w:rsid w:val="00657FC8"/>
    <w:rsid w:val="00661F76"/>
    <w:rsid w:val="006640B4"/>
    <w:rsid w:val="006D59B0"/>
    <w:rsid w:val="006E2648"/>
    <w:rsid w:val="007650A3"/>
    <w:rsid w:val="007A48B5"/>
    <w:rsid w:val="007B0326"/>
    <w:rsid w:val="007D18EF"/>
    <w:rsid w:val="007F42E8"/>
    <w:rsid w:val="00816F2C"/>
    <w:rsid w:val="00841F14"/>
    <w:rsid w:val="008818D3"/>
    <w:rsid w:val="0088608F"/>
    <w:rsid w:val="00897B9D"/>
    <w:rsid w:val="008A5ECA"/>
    <w:rsid w:val="008B5A8D"/>
    <w:rsid w:val="008C5349"/>
    <w:rsid w:val="008D25F4"/>
    <w:rsid w:val="008F272F"/>
    <w:rsid w:val="00916C14"/>
    <w:rsid w:val="00937B97"/>
    <w:rsid w:val="00957243"/>
    <w:rsid w:val="0097320A"/>
    <w:rsid w:val="00987E47"/>
    <w:rsid w:val="00990478"/>
    <w:rsid w:val="009916D1"/>
    <w:rsid w:val="009C49AD"/>
    <w:rsid w:val="009C7B9D"/>
    <w:rsid w:val="009D3F3F"/>
    <w:rsid w:val="009F20A0"/>
    <w:rsid w:val="00A02C6F"/>
    <w:rsid w:val="00A25396"/>
    <w:rsid w:val="00A505E2"/>
    <w:rsid w:val="00A562FB"/>
    <w:rsid w:val="00A82879"/>
    <w:rsid w:val="00AB16B0"/>
    <w:rsid w:val="00AB337F"/>
    <w:rsid w:val="00AC186D"/>
    <w:rsid w:val="00AC1C8D"/>
    <w:rsid w:val="00AD1F68"/>
    <w:rsid w:val="00AE0912"/>
    <w:rsid w:val="00AE2E8D"/>
    <w:rsid w:val="00AF3F4C"/>
    <w:rsid w:val="00B00025"/>
    <w:rsid w:val="00B17D49"/>
    <w:rsid w:val="00B2790C"/>
    <w:rsid w:val="00B45A4B"/>
    <w:rsid w:val="00B61F3C"/>
    <w:rsid w:val="00B63C0B"/>
    <w:rsid w:val="00B70DCE"/>
    <w:rsid w:val="00B77811"/>
    <w:rsid w:val="00BA27F9"/>
    <w:rsid w:val="00BA6479"/>
    <w:rsid w:val="00BB4C1A"/>
    <w:rsid w:val="00BC615E"/>
    <w:rsid w:val="00BD467F"/>
    <w:rsid w:val="00BF4124"/>
    <w:rsid w:val="00C332B8"/>
    <w:rsid w:val="00C40F44"/>
    <w:rsid w:val="00C43FDC"/>
    <w:rsid w:val="00C630A8"/>
    <w:rsid w:val="00C82035"/>
    <w:rsid w:val="00C93E68"/>
    <w:rsid w:val="00C94A3D"/>
    <w:rsid w:val="00CA33CD"/>
    <w:rsid w:val="00CC2098"/>
    <w:rsid w:val="00D15553"/>
    <w:rsid w:val="00D3663C"/>
    <w:rsid w:val="00D42E43"/>
    <w:rsid w:val="00D52C09"/>
    <w:rsid w:val="00D577E0"/>
    <w:rsid w:val="00D61884"/>
    <w:rsid w:val="00DB2121"/>
    <w:rsid w:val="00DC167F"/>
    <w:rsid w:val="00E00FAC"/>
    <w:rsid w:val="00E05BC0"/>
    <w:rsid w:val="00E15CAC"/>
    <w:rsid w:val="00E22D8F"/>
    <w:rsid w:val="00E373D7"/>
    <w:rsid w:val="00E511CF"/>
    <w:rsid w:val="00E5259E"/>
    <w:rsid w:val="00E53D23"/>
    <w:rsid w:val="00E542CD"/>
    <w:rsid w:val="00E57C1D"/>
    <w:rsid w:val="00E64157"/>
    <w:rsid w:val="00E66B87"/>
    <w:rsid w:val="00E77C6A"/>
    <w:rsid w:val="00EB5304"/>
    <w:rsid w:val="00EB5C62"/>
    <w:rsid w:val="00EC119A"/>
    <w:rsid w:val="00ED34D8"/>
    <w:rsid w:val="00F114FE"/>
    <w:rsid w:val="00F125AB"/>
    <w:rsid w:val="00F14440"/>
    <w:rsid w:val="00F246CF"/>
    <w:rsid w:val="00F4031C"/>
    <w:rsid w:val="00F41BC9"/>
    <w:rsid w:val="00F42938"/>
    <w:rsid w:val="00F51AD7"/>
    <w:rsid w:val="00F5296C"/>
    <w:rsid w:val="00FC745E"/>
    <w:rsid w:val="00FE013D"/>
    <w:rsid w:val="00F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02189"/>
  <w15:chartTrackingRefBased/>
  <w15:docId w15:val="{0FEC081A-1645-4097-9006-6FDB3E0D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884"/>
    <w:pPr>
      <w:suppressAutoHyphens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121A61"/>
    <w:pPr>
      <w:keepNext/>
      <w:keepLines/>
      <w:numPr>
        <w:numId w:val="1"/>
      </w:numPr>
      <w:suppressAutoHyphens w:val="0"/>
      <w:spacing w:line="360" w:lineRule="auto"/>
      <w:ind w:left="0" w:firstLine="0"/>
      <w:jc w:val="center"/>
      <w:outlineLvl w:val="0"/>
    </w:pPr>
    <w:rPr>
      <w:rFonts w:ascii="Times New Roman" w:eastAsia="Calibri" w:hAnsi="Times New Roman" w:cs="Times New Roman"/>
      <w:b/>
      <w:bCs/>
      <w:kern w:val="0"/>
      <w:sz w:val="32"/>
      <w:szCs w:val="32"/>
      <w:lang w:eastAsia="en-US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E53D23"/>
    <w:pPr>
      <w:keepNext/>
      <w:keepLines/>
      <w:numPr>
        <w:ilvl w:val="1"/>
        <w:numId w:val="1"/>
      </w:numPr>
      <w:spacing w:line="360" w:lineRule="auto"/>
      <w:ind w:left="0" w:firstLine="0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E00FAC"/>
    <w:pPr>
      <w:numPr>
        <w:numId w:val="0"/>
      </w:numPr>
      <w:jc w:val="left"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rsid w:val="003D061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D49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1A61"/>
    <w:rPr>
      <w:rFonts w:eastAsia="Calibri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53D23"/>
    <w:rPr>
      <w:rFonts w:eastAsia="Times New Roman" w:cs="Times New Roman"/>
      <w:b/>
      <w:bCs/>
      <w:kern w:val="2"/>
      <w:sz w:val="28"/>
      <w:szCs w:val="28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E00FAC"/>
    <w:rPr>
      <w:rFonts w:eastAsia="Times New Roman" w:cs="Times New Roman"/>
      <w:b/>
      <w:kern w:val="2"/>
      <w:sz w:val="28"/>
      <w:szCs w:val="28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3D0610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B17D49"/>
    <w:rPr>
      <w:rFonts w:asciiTheme="majorHAnsi" w:eastAsiaTheme="majorEastAsia" w:hAnsiTheme="majorHAnsi" w:cs="Mangal"/>
      <w:color w:val="2F5496" w:themeColor="accent1" w:themeShade="BF"/>
      <w:kern w:val="2"/>
      <w:sz w:val="24"/>
      <w:szCs w:val="21"/>
      <w:lang w:eastAsia="zh-CN" w:bidi="hi-IN"/>
    </w:rPr>
  </w:style>
  <w:style w:type="character" w:styleId="a3">
    <w:name w:val="Hyperlink"/>
    <w:basedOn w:val="a0"/>
    <w:uiPriority w:val="99"/>
    <w:unhideWhenUsed/>
    <w:rsid w:val="008818D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818D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93E68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181CBE"/>
    <w:pPr>
      <w:ind w:left="720"/>
      <w:contextualSpacing/>
    </w:pPr>
    <w:rPr>
      <w:rFonts w:cs="Mangal"/>
      <w:szCs w:val="21"/>
    </w:rPr>
  </w:style>
  <w:style w:type="character" w:styleId="a7">
    <w:name w:val="Subtle Emphasis"/>
    <w:aliases w:val="ФОТО"/>
    <w:basedOn w:val="a0"/>
    <w:uiPriority w:val="19"/>
    <w:qFormat/>
    <w:rsid w:val="00B00025"/>
    <w:rPr>
      <w:i/>
      <w:iCs/>
      <w:color w:val="404040" w:themeColor="text1" w:themeTint="BF"/>
      <w:lang w:val="en-US" w:eastAsia="en-US" w:bidi="ar-SA"/>
    </w:rPr>
  </w:style>
  <w:style w:type="paragraph" w:styleId="a8">
    <w:name w:val="Subtitle"/>
    <w:aliases w:val="ПОДФОТО"/>
    <w:basedOn w:val="a"/>
    <w:next w:val="a"/>
    <w:link w:val="a9"/>
    <w:uiPriority w:val="11"/>
    <w:qFormat/>
    <w:rsid w:val="00E66B87"/>
    <w:pPr>
      <w:spacing w:line="360" w:lineRule="auto"/>
      <w:jc w:val="center"/>
    </w:pPr>
    <w:rPr>
      <w:rFonts w:ascii="Times New Roman" w:hAnsi="Times New Roman" w:cs="Times New Roman"/>
      <w:b/>
      <w:bCs/>
      <w:lang w:eastAsia="en-US" w:bidi="ar-SA"/>
    </w:rPr>
  </w:style>
  <w:style w:type="character" w:customStyle="1" w:styleId="a9">
    <w:name w:val="Подзаголовок Знак"/>
    <w:aliases w:val="ПОДФОТО Знак"/>
    <w:basedOn w:val="a0"/>
    <w:link w:val="a8"/>
    <w:uiPriority w:val="11"/>
    <w:rsid w:val="00E66B87"/>
    <w:rPr>
      <w:rFonts w:eastAsia="Noto Serif CJK SC" w:cs="Times New Roman"/>
      <w:b/>
      <w:bCs/>
      <w:kern w:val="2"/>
      <w:sz w:val="24"/>
      <w:szCs w:val="24"/>
    </w:rPr>
  </w:style>
  <w:style w:type="paragraph" w:customStyle="1" w:styleId="aa">
    <w:name w:val="ТИТУЛЬНИК"/>
    <w:basedOn w:val="a"/>
    <w:link w:val="ab"/>
    <w:qFormat/>
    <w:rsid w:val="00AC1C8D"/>
    <w:pPr>
      <w:jc w:val="center"/>
    </w:pPr>
    <w:rPr>
      <w:rFonts w:ascii="Times New Roman" w:hAnsi="Times New Roman" w:cs="Times New Roman"/>
      <w:noProof/>
    </w:rPr>
  </w:style>
  <w:style w:type="character" w:customStyle="1" w:styleId="ab">
    <w:name w:val="ТИТУЛЬНИК Знак"/>
    <w:basedOn w:val="a0"/>
    <w:link w:val="aa"/>
    <w:rsid w:val="00AC1C8D"/>
    <w:rPr>
      <w:rFonts w:eastAsia="Noto Serif CJK SC" w:cs="Times New Roman"/>
      <w:noProof/>
      <w:kern w:val="2"/>
      <w:sz w:val="24"/>
      <w:szCs w:val="24"/>
      <w:lang w:eastAsia="zh-CN" w:bidi="hi-IN"/>
    </w:rPr>
  </w:style>
  <w:style w:type="character" w:styleId="ac">
    <w:name w:val="Emphasis"/>
    <w:aliases w:val="Sобычный"/>
    <w:uiPriority w:val="20"/>
    <w:qFormat/>
    <w:rsid w:val="004F42D6"/>
    <w:rPr>
      <w:sz w:val="28"/>
      <w:szCs w:val="28"/>
      <w:lang w:val="en-US" w:eastAsia="en-US"/>
    </w:rPr>
  </w:style>
  <w:style w:type="paragraph" w:styleId="ad">
    <w:name w:val="Normal (Web)"/>
    <w:basedOn w:val="a"/>
    <w:uiPriority w:val="99"/>
    <w:unhideWhenUsed/>
    <w:rsid w:val="00E00FA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e">
    <w:name w:val="Strong"/>
    <w:basedOn w:val="a0"/>
    <w:uiPriority w:val="22"/>
    <w:qFormat/>
    <w:rsid w:val="00BB4C1A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D15553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15553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D15553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D15553"/>
    <w:pPr>
      <w:spacing w:after="100"/>
      <w:ind w:left="480"/>
    </w:pPr>
    <w:rPr>
      <w:rFonts w:cs="Mangal"/>
      <w:szCs w:val="21"/>
    </w:rPr>
  </w:style>
  <w:style w:type="paragraph" w:styleId="af0">
    <w:name w:val="header"/>
    <w:basedOn w:val="a"/>
    <w:link w:val="af1"/>
    <w:uiPriority w:val="99"/>
    <w:unhideWhenUsed/>
    <w:rsid w:val="00D1555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Верхний колонтитул Знак"/>
    <w:basedOn w:val="a0"/>
    <w:link w:val="af0"/>
    <w:uiPriority w:val="99"/>
    <w:rsid w:val="00D15553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af2">
    <w:name w:val="footer"/>
    <w:basedOn w:val="a"/>
    <w:link w:val="af3"/>
    <w:uiPriority w:val="99"/>
    <w:unhideWhenUsed/>
    <w:rsid w:val="00D1555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3">
    <w:name w:val="Нижний колонтитул Знак"/>
    <w:basedOn w:val="a0"/>
    <w:link w:val="af2"/>
    <w:uiPriority w:val="99"/>
    <w:rsid w:val="00D15553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customStyle="1" w:styleId="font-claude-response-body">
    <w:name w:val="font-claude-response-body"/>
    <w:basedOn w:val="a"/>
    <w:rsid w:val="007B032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my-2">
    <w:name w:val="my-2"/>
    <w:basedOn w:val="a"/>
    <w:rsid w:val="007B032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C40F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0F4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C94A3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41">
    <w:name w:val="toc 4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66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51">
    <w:name w:val="toc 5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88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110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132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154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176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character" w:customStyle="1" w:styleId="t">
    <w:name w:val="ͼt"/>
    <w:basedOn w:val="a0"/>
    <w:rsid w:val="00AE0912"/>
  </w:style>
  <w:style w:type="character" w:customStyle="1" w:styleId="q">
    <w:name w:val="ͼq"/>
    <w:basedOn w:val="a0"/>
    <w:rsid w:val="00AE0912"/>
  </w:style>
  <w:style w:type="character" w:customStyle="1" w:styleId="n">
    <w:name w:val="ͼn"/>
    <w:basedOn w:val="a0"/>
    <w:rsid w:val="00AE0912"/>
  </w:style>
  <w:style w:type="character" w:customStyle="1" w:styleId="bzpyqfadein">
    <w:name w:val="bz_pyq_fadein"/>
    <w:basedOn w:val="a0"/>
    <w:rsid w:val="00C630A8"/>
  </w:style>
  <w:style w:type="character" w:styleId="HTML1">
    <w:name w:val="HTML Code"/>
    <w:basedOn w:val="a0"/>
    <w:uiPriority w:val="99"/>
    <w:semiHidden/>
    <w:unhideWhenUsed/>
    <w:rsid w:val="004F42D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634470"/>
  </w:style>
  <w:style w:type="table" w:styleId="af4">
    <w:name w:val="Table Grid"/>
    <w:basedOn w:val="a1"/>
    <w:uiPriority w:val="59"/>
    <w:rsid w:val="00B45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5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4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0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6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rymyrss/lab_1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5BED8-35E8-4FD3-9BCD-92DBF9087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Баймурат Сырлыбаев</dc:creator>
  <cp:keywords/>
  <dc:description/>
  <cp:lastModifiedBy>Дарья</cp:lastModifiedBy>
  <cp:revision>7</cp:revision>
  <dcterms:created xsi:type="dcterms:W3CDTF">2026-09-30T15:35:00Z</dcterms:created>
  <dcterms:modified xsi:type="dcterms:W3CDTF">2026-10-02T14:22:00Z</dcterms:modified>
</cp:coreProperties>
</file>