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МИНОБРНАУКИ РОССИИ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высшего образования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«Московский государственный технологический университет «СТАНКИН»</w:t>
      </w:r>
    </w:p>
    <w:p>
      <w:pPr>
        <w:spacing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(ФГБОУ ВО «МГТУ «СТАНКИН»)</w:t>
      </w:r>
    </w:p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678"/>
        <w:gridCol w:w="4678"/>
      </w:tblGrid>
      <w:tr>
        <w:trPr>
          <w:cantSplit/>
        </w:trPr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Институт информационных технологий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Кафедра управления и информатики в технических системах</w:t>
            </w:r>
          </w:p>
        </w:tc>
      </w:tr>
    </w:tbl>
    <rootKey>w:p</rootKey>
    <rootKey>w:p</rootKey>
    <rootKey>w:p</rootKey>
    <rootKey>w:p</rootKey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ЛАБОРАТОРНАЯ РАБОТА №1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br/>
        <w:t xml:space="preserve">ПО ДИСЦИПЛИНЕ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«ИНФОРМАЦИОННЫЕ СИСТЕМЫ И ТЕХНОЛОГИИ»</w:t>
      </w:r>
    </w:p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71"/>
        <w:gridCol w:w="748"/>
        <w:gridCol w:w="561"/>
        <w:gridCol w:w="561"/>
        <w:gridCol w:w="2526"/>
        <w:gridCol w:w="1310"/>
        <w:gridCol w:w="1777"/>
      </w:tblGrid>
      <w:tr>
        <w:trPr>
          <w:cantSplit/>
        </w:trPr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СТУДЕНТА</w:t>
            </w:r>
          </w:p>
        </w:tc>
        <w:tc>
          <w:tcPr>
            <w:tcW w:type="pct" w:w="4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pct" w:w="6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КУРСА</w:t>
            </w:r>
          </w:p>
        </w:tc>
        <w:tc>
          <w:tcPr>
            <w:tcW w:type="pct" w:w="13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БАКАЛАВРИАТА</w:t>
            </w:r>
          </w:p>
        </w:tc>
        <w:tc>
          <w:tcPr>
            <w:tcW w:type="pct" w:w="7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ГРУППЫ</w:t>
            </w:r>
          </w:p>
        </w:tc>
        <w:tc>
          <w:tcPr>
            <w:tcW w:type="pct" w:w="9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ИДБ-23-13</w:t>
            </w:r>
          </w:p>
        </w:tc>
      </w:tr>
      <w:tr>
        <w:trPr>
          <w:cantSplit/>
        </w:trPr>
        <w:tc>
          <w:tcPr>
            <w:tcW w:type="pct" w:w="17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(уровень профессионального образования)</w:t>
            </w:r>
          </w:p>
        </w:tc>
        <w:tc>
          <w:tcPr>
            <w:tcW w:type="pct" w:w="165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</w:tbl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55"/>
      </w:tblGrid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(ФИО)</w:t>
            </w:r>
          </w:p>
        </w:tc>
      </w:tr>
    </w:tbl>
    <rootKey>w:p</rootKey>
    <rootKey>w:p</rootKey>
    <rootKey>w:p</rootKey>
    <rootKey>w:p</rootKey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39"/>
        <w:gridCol w:w="7016"/>
      </w:tblGrid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Направление: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09.03.03 Прикладная информатика</w:t>
            </w:r>
          </w:p>
        </w:tc>
      </w:tr>
      <w:tr>
        <w:trPr>
          <w:cantSplit/>
        </w:trPr>
        <w:tc>
          <w:tcPr>
            <w:tcW w:type="pct" w:w="12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Профиль подготовки:</w:t>
            </w:r>
          </w:p>
        </w:tc>
        <w:tc>
          <w:tcPr>
            <w:tcW w:type="pct" w:w="3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Управление данными</w:t>
            </w:r>
          </w:p>
        </w:tc>
      </w:tr>
    </w:tbl>
    <rootKey>w:p</rootKey>
    <w:p>
      <w:pPr>
        <w:spacing w:line="276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Вариант работы: №4</w:t>
      </w:r>
    </w:p>
    <rootKey>w:p</rootKe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58"/>
        <w:gridCol w:w="4023"/>
        <w:gridCol w:w="1403"/>
        <w:gridCol w:w="1871"/>
      </w:tblGrid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Отчет сдан «___» __________ 2026 г.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Оценка ______________________________</w:t>
            </w:r>
          </w:p>
        </w:tc>
      </w:tr>
      <w:tr>
        <w:trPr>
          <w:cantSplit/>
        </w:trPr>
        <w:tc>
          <w:tcPr>
            <w:tcW w:type="pct" w:w="500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Преподаватель</w:t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Елисеева Н.В., к.т.н., доцент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pct" w:w="11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21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(Ф.И.О., должность, степень, звание.)</w:t>
            </w:r>
          </w:p>
        </w:tc>
        <w:tc>
          <w:tcPr>
            <w:tcW w:type="pct" w:w="75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pct" w:w="10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40"/>
              <w:bottom w:type="dxa" w:w="20"/>
              <w:right w:type="dxa" w:w="40"/>
            </w:tcMar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/>
            </w:r>
          </w:p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  <w:t xml:space="preserve">(подпись)</w:t>
            </w:r>
          </w:p>
        </w:tc>
      </w:tr>
    </w:tbl>
    <rootKey>w:p</rootKey>
    <rootKey>w:p</rootKey>
    <rootKey>w:p</rootKey>
    <rootKey>w:p</rootKey>
    <w:p>
      <w:pPr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МОСКВА 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СОДЕРЖАНИЕ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1. Цель работы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2.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3. Исходные данные. Общая характеристика системы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4. Диаграмма системного контекста (Level 1)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5. Диаграмма контейнеров (Level 2)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6. Глоссарий идентификаторов (Glossary IDs)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7. Соответствие требованиям методического пособия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8. Выводы</w:t>
      </w:r>
    </w:p>
    <w:p>
      <w:pPr>
        <w:sectPr>
          <w:footerReference w:type="default" r:id="rId6"/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Цель работы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 рамках лабораторной работы осваивается методология C4 Model применительно к архитектуре собственного курсового проекта. Ставятся две практические задачи: закрепить внешние границы системы на диаграмме системного контекста (уровень 1) и разделить систему на независимо развёртываемые технологические контейнеры на диаграмме контейнеров (уровень 2). Попутно отрабатывается инженерная практика Diagrams-as-Code: архитектурные схемы хранятся в текстовом виде (PlantUML с библиотекой C4-PlantUML) и рендерятся в PNG автоматически, что позволяет держать их в системе контроля версий рядом с программным кодом.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Постановка задачи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Лабораторная работа №1 по методическому пособию состоит из трёх частей: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1) контекстная диаграмма (System Context Diagram). Проектируемая система изображается одним неделимым «чёрным ящиком»; на схеме присутствуют центральный блок, минимум три пользовательские роли и минимум три внешние программные или аппаратные системы, не контролируемые командой; все связи задаются направленными и снабжаются описанием передаваемых данных;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2) контейнерная диаграмма (Container Diagram). «Чёрный ящик» декомпозируется на обособленные, независимо развёртываемые исполняемые сущности; требуется выделить не меньше пяти технологических контейнеров (обязательны веб-приложение, мобильное приложение, серверные сервисы и хранилища данных), определить стек каждого контейнера и указать сетевые протоколы всех межсервисных взаимодействий; результаты сводятся в таблицу описания контейнеров;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3) оформление отчёта по лабораторной работе.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Исходные данные. Общая характеристика системы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Объект моделирования — информационная система DemoScope, платформа демографической аналитики для мониторинга, исследования и прогнозирования демографической обстановки в регионах Российской Федерации. Ключевые функции системы: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консолидация показателей Росстата и ЕМИСС (население, рождаемость, смертность, миграция, заработная плата) в едином хранилище;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наглядная визуализация: тепловые карты, 3D-глобус, динамические графики, режим сопоставления территорий;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прогнозная аналитика численности населения: модели Хольта-Уинтерса и ARIMA, когортно-компонентный метод, доверительные интервалы;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«радар проблем» — автоматическое выявление неблагополучных территорий по предиктивным алертам;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– генерация аналитических справок, включая автоматический текст от большой языковой модели (Google Gemini).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Проект находится на этапе архитектурного проектирования: состав подсистем определяется целевым образом, реализация идёт поэтапно (спринты), поэтому отдельные части — например, мобильное приложение — пока в разработке. Целевая архитектура: Python/FastAPI (сервер) и React (клиент); демографические массивы размещаются в озере данных формата Parquet, служебные данные — в СУБД PostgreSQL. Архитектурные схемы ведутся как код в нотации C4-PlantUML.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Диаграмма системного контекста (Level 1)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Уровень системного контекста отвечает на два вопроса: кому система полезна и чем она обменивается с внешним миром. DemoScope изображён одним цельным блоком — «чёрным ящиком», без деталей внутреннего устройства; вокруг него показаны пользовательские роли и внешние системы со строго направленными потоками данных.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857875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Рисунок 1 — Диаграмма системного контекста системы DemoScope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4.1. Спецификация элементов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1 — Элементы диаграммы системного контекста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619"/>
        <w:gridCol w:w="1684"/>
        <w:gridCol w:w="5052"/>
      </w:tblGrid>
      <w:tr>
        <w:trPr>
          <w:cantSplit/>
          <w:tblHeader/>
        </w:trPr>
        <w:tc>
          <w:tcPr>
            <w:tcW w:type="pct" w:w="1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Элемент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 (C4)</w:t>
            </w:r>
          </w:p>
        </w:tc>
        <w:tc>
          <w:tcPr>
            <w:tcW w:type="pct" w:w="27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Главный пользователь: следит за демографическими показателями, сопоставляет территории, заказывает прогнозы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государственного управления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Работает с «радаром проблем» и отчётными материалами при подготовке мер социально-демографической политики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Person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Анализирует демографические процессы, забирает справки и готовые отчёты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Software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Моделируемая платформа: мониторинг, анализ и прогнозирование динамики населения РФ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Первоисточник официальной статистики по населению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Государственный портал статистических показателей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Облачный LLM (Gemini 2.5 Flash), готовящий тексты аналитических заключений</w:t>
            </w:r>
          </w:p>
        </w:tc>
      </w:tr>
      <w:tr>
        <w:trPr>
          <w:cantSplit/>
        </w:trPr>
        <w:tc>
          <w:tcPr>
            <w:tcW w:type="pct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External System</w:t>
            </w:r>
          </w:p>
        </w:tc>
        <w:tc>
          <w:tcPr>
            <w:tcW w:type="pct" w:w="2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Облачное хранилище исходных наборов данных (CSV) для конвейера загрузки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4.2. Спецификация связей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2 — Связи диаграммы системного контекста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1684"/>
        <w:gridCol w:w="3929"/>
        <w:gridCol w:w="1684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Инициатор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Получатель</w:t>
            </w:r>
          </w:p>
        </w:tc>
        <w:tc>
          <w:tcPr>
            <w:tcW w:type="pct" w:w="2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Передаваемые данные / бизнес-действие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Просмотр показателей, сопоставление территорий, расчёт прогнозов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Работа с «радаром проблем», получение аналитических отчётов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Просмотр динамики, скачивание справок и отчётов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Сбор официальных демографических показателей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Импорт региональной статистики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HTTPS/REST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Подготовка текста аналитического заключения средствами LLM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Получение исходных наборов данных (CSV)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</w:tbl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Направление каждой стрелки задаёт инициатора обмена; двусторонних связей на уровне контекста нет. Внутреннее устройство системы — контейнеры, компоненты — на этой диаграмме не раскрывается по определению уровня L1.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Диаграмма контейнеров (Level 2)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Контейнерная диаграмма показывает, из каких независимо развёртываемых частей собран «чёрный ящик» L1. Важно, что «контейнер» здесь — термин C4: это исполняемое приложение или хранилище данных, а не единица Docker. Для каждой части указан технологический стек, для каждой связи — протокол.</w:t>
      </w:r>
    </w:p>
    <w:p>
      <w:pPr>
        <w:keepNext/>
        <w:spacing w:after="40" w:before="160"/>
        <w:jc w:val="center"/>
      </w:pPr>
      <w:r>
        <w:drawing>
          <wp:inline distT="0" distB="0" distL="0" distR="0">
            <wp:extent cx="5857875" cy="36671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00"/>
        <w:jc w:val="center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Рисунок 2 — Диаграмма контейнеров системы DemoScope</w:t>
      </w:r>
    </w:p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5.1. Таблица описания контейнеров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3 — Технологические контейнеры системы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1777"/>
        <w:gridCol w:w="1590"/>
        <w:gridCol w:w="1965"/>
        <w:gridCol w:w="1965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9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Контейнер</w:t>
            </w:r>
          </w:p>
        </w:tc>
        <w:tc>
          <w:tcPr>
            <w:tcW w:type="pct" w:w="8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  <w:tc>
          <w:tcPr>
            <w:tcW w:type="pct" w:w="10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Тех­но­ло­ги­че­ский стек</w:t>
            </w:r>
          </w:p>
        </w:tc>
        <w:tc>
          <w:tcPr>
            <w:tcW w:type="pct" w:w="10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 (SPA)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React 19 / Vite, Three.js, Recharts, Leaflet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Экраны пользователя: 3D-глобус, тепловые карты, дашборды, графики, режим сравнения территорий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mobile_app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Мобильное приложение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React Native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Смартфон-доступ к мониторингу и прогнозам через единый REST API backend-контейнера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3.10 / FastAPI, Pandas, PyArrow, Statsmodels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Серверная логика: REST API мониторинга, сопоставления территорий, про­гно­зи­ро­ва­ния, отчётов и LLM-анализа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Конвейер подготовки данных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Python / Pandas, gdown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Сервисные утилиты: выгрузка исходников, очистка, перек­о­ди­ро­ва­ние CSV в Parquet, геомаппинг регионов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Хранилище де­мо­гра­фи­че­ских данных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ContainerDb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Parquet / PyArrow (озеро данных)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Массивы показателей Росстата и ЕМИСС: население, рождаемость, смертность, миграция (~6 ГБ)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db_service</w:t>
            </w:r>
          </w:p>
        </w:tc>
        <w:tc>
          <w:tcPr>
            <w:tcW w:type="pct" w:w="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Служебная БД</w:t>
            </w:r>
          </w:p>
        </w:tc>
        <w:tc>
          <w:tcPr>
            <w:tcW w:type="pct" w:w="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ContainerDb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PostgreSQL 16</w:t>
            </w:r>
          </w:p>
        </w:tc>
        <w:tc>
          <w:tcPr>
            <w:tcW w:type="pct" w:w="1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Учётные записи и сессии пользователей, история отчётов, кэш прогнозов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5.2. Спецификация связей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4 — Связи диаграммы контейнеров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1684"/>
        <w:gridCol w:w="3929"/>
        <w:gridCol w:w="1684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Инициатор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Получатель</w:t>
            </w:r>
          </w:p>
        </w:tc>
        <w:tc>
          <w:tcPr>
            <w:tcW w:type="pct" w:w="2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Передаваемые данные / бизнес-действие</w:t>
            </w:r>
          </w:p>
        </w:tc>
        <w:tc>
          <w:tcPr>
            <w:tcW w:type="pct" w:w="9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Просмотр дашбордов и прогнозов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Запрос отчётов и «радара проблем»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Обращения к REST API (/api/population, /api/forecast, /api/report и др.)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mobile_app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Обращения к REST API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Выборка показателей и агрегатов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Файловый I/O (Parquet)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db_service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Доступ к служебным данным (аккаунты, сессии, кэш)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SQL/TCP 5432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Сохранение подготовленных данных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Файловый I/O (Parquet)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Получение исходных наборов (CSV)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 (gdown)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Подготовка текста заключения через LLM</w:t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HTTPS/JSON (REST)</w:t>
            </w:r>
          </w:p>
        </w:tc>
      </w:tr>
    </w:tbl>
    <w:p>
      <w:pPr>
        <w:pStyle w:val="Heading2"/>
        <w:keepNext/>
        <w:spacing w:after="160" w:before="2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5.3. Обоснование архитектурных решений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1. Клиент отделён от сервера. Веб-приложение живёт в собственном контейнере и доставляется как статическая сборка Vite; единственный канал к серверной логике — REST API. Клиент и сервер можно обновлять независимо друг от друга.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2. Подготовка данных не нагружает API. Загрузка, очистка и конвертация массивов вынесены в отдельные офлайн-утилиты: конвейер стартует по расписанию сам по себе и не влияет на работающий сервис. Каждый компонент отвечает за одно дело — уже на уровне развёртывания.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3. Двухуровневая организация данных. Редкие чтения крупных неизменяемых массивов обслуживает озеро данных на колоночном Parquet под управлением PyArrow «в памяти» — высокая скорость аналитических выборок без администрирования тяжёлой СУБД. Служебные же данные (учётные записи, сессии, история отчётов, кэш прогнозов) живут в PostgreSQL: транзакционность гарантирована СУБД, а связь идёт по стандартному сетевому протоколу SQL/TCP 5432.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4. Мобильное приложение в контуре системы. Проект проходит стадию архитектурного проектирования: контейнеры задаются целевыми и наполняются реализацией по спринтам. Мобильный клиент стоит в архитектуре наравне с веб-приложением и делит с ним единый REST API; стек React Native опирается на накопленные компетенции команды (React 19) и не требует правок остальных контейнеров.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5. Генерация текстов — снаружи. Аналитические заключения пишет внешний сервис Google Gemini; собственной модели в системе нет, поэтому её API вынесен за границу System_Boundary.</w:t>
      </w:r>
    </w:p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Глоссарий идентификаторов (Glossary IDs)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Список сквозных идентификаторов, применяемых во всех схемах проекта: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5 — Глоссарий идентификаторов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2058"/>
        <w:gridCol w:w="4490"/>
        <w:gridCol w:w="2807"/>
      </w:tblGrid>
      <w:tr>
        <w:trPr>
          <w:cantSplit/>
          <w:tblHeader/>
        </w:trPr>
        <w:tc>
          <w:tcPr>
            <w:tcW w:type="pct" w:w="11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</w:p>
        </w:tc>
        <w:tc>
          <w:tcPr>
            <w:tcW w:type="pct" w:w="24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Элемент</w:t>
            </w:r>
          </w:p>
        </w:tc>
        <w:tc>
          <w:tcPr>
            <w:tcW w:type="pct" w:w="150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Тип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analyst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Демограф-аналитик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official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Сотрудник органа гос. управления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researcher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Исследователь / студент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Пользователь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DemoScope (граница системы)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Software System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web_app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Веб-приложение (SPA)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mobile_app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Мобильное приложение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api_backend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Backend API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data_pipeline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Конвейер подготовки данных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data_store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Хранилище демографических данных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 (БД)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db_service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Служебная БД (PostgreSQL)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Контейнер (БД)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rosstat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Росстат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emiss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ЕМИСС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gemini_api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Gemini API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gdrive</w:t>
            </w:r>
          </w:p>
        </w:tc>
        <w:tc>
          <w:tcPr>
            <w:tcW w:type="pct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Google Drive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Внешняя система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Соответствие требованиям методического пособия</w:t>
      </w:r>
    </w:p>
    <w:p>
      <w:pPr>
        <w:keepNext/>
        <w:spacing w:after="80" w:before="160" w:line="30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Таблица 6 — Чеклист соответствия требованиям</w:t>
      </w:r>
    </w:p>
    <w:tbl>
      <w:tblPr>
        <w:tblW w:type="pct" w:w="5000"/>
        <w:tblBorders>
          <w:top w:val="single" w:color="000000" w:sz="4"/>
          <w:left w:val="single" w:color="808080" w:sz="2"/>
          <w:bottom w:val="single" w:color="000000" w:sz="4"/>
          <w:right w:val="single" w:color="808080" w:sz="2"/>
          <w:insideH w:val="single" w:color="A0A0A0" w:sz="2"/>
          <w:insideV w:val="single" w:color="A0A0A0" w:sz="2"/>
        </w:tblBorders>
        <w:tblLayout w:type="fixed"/>
      </w:tblPr>
      <w:tblGrid>
        <w:gridCol w:w="5145"/>
        <w:gridCol w:w="4210"/>
      </w:tblGrid>
      <w:tr>
        <w:trPr>
          <w:cantSplit/>
          <w:tblHeader/>
        </w:trPr>
        <w:tc>
          <w:tcPr>
            <w:tcW w:type="pct" w:w="27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Требование</w:t>
            </w:r>
          </w:p>
        </w:tc>
        <w:tc>
          <w:tcPr>
            <w:tcW w:type="pct" w:w="2250"/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Выполнение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Система — единый неделимый «чёрный ящик» на L1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внутренности системы на L1 не показываются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Центральный блок и не менее 3 пользовательских ролей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3 персоны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Не менее 3 внешних систем вне зоны контроля разработчиков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4 внешние системы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Все связи строго направленные, с описанием данных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7 направленных связей, у каждой описание и протокол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Декомпозиция центрального блока на контейнеры (L2)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6 контейнеров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Не менее 5 контейнеров, включая мобильное и веб-приложение, бэкенд, хранилища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все обязательные категории на месте: веб- и мобильное приложение, Backend API, конвейер данных, озеро данных Parquet и служебная БД PostgreSQL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Технологический стек для каждого контейнера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указан в таблице 3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Сетевые протоколы для всех межсервисных связей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протокол есть у каждой связи (HTTPS, HTTPS/JSON, SQL/TCP 5432, файловый I/O озера данных)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Таблица описания контейнеров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п. 5.1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Инструмент — PlantUML + C4-PlantUML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задействованы макросы Person, System, System_Ext, Container, ContainerDb, Rel, LAYOUT_WITH_LEGEND, LAYOUT_LEFT_RIGHT</w:t>
            </w:r>
          </w:p>
        </w:tc>
      </w:tr>
      <w:tr>
        <w:trPr>
          <w:cantSplit/>
        </w:trPr>
        <w:tc>
          <w:tcPr>
            <w:tcW w:type="pct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Запреты: только Rel(), без skinparam</w:t>
            </w:r>
          </w:p>
        </w:tc>
        <w:tc>
          <w:tcPr>
            <w:tcW w:type="pct" w:w="2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Выполнено: нарушений нет</w:t>
            </w:r>
          </w:p>
        </w:tc>
      </w:tr>
    </w:tbl>
    <w:p>
      <w:pPr>
        <w:pStyle w:val="Heading1"/>
        <w:keepNext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Выводы</w:t>
      </w:r>
    </w:p>
    <w:p>
      <w:pPr>
        <w:spacing w:after="80" w:line="360"/>
        <w:ind w:firstLine="709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Лабораторная работа дала практику применения C4 Model к курсовому проекту. На уровне контекста зафиксированы внешние границы DemoScope: три роли пользователей, четыре внешние системы, семь однонаправленных потоков данных с протоколами. На уровне контейнеров система разложена на шесть независимо развёртываемых частей, для каждой определён стек, для каждой межсервисной связи — протокол. Схемы оформлены в Diagrams-as-Code: их исходники лежат в репозитории рядом с кодом и автоматически превращаются в PNG, поэтому архитектура версионируется вместе с разработкой. Построенные уровни станут отправной точкой для Level 3 (компоненты бэкенда) и Level 4 (классы).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6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 w:line="36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afae30ee09b3c45e70bab9d77fdede1e3429f48b.png"/><Relationship Id="rId10" Type="http://schemas.openxmlformats.org/officeDocument/2006/relationships/image" Target="media/79a4e09e156b0d152a948f3383e1ec752f6b31c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 — C4 Model</dc:title>
  <dc:creator>Студент</dc:creator>
  <cp:lastModifiedBy>Un-named</cp:lastModifiedBy>
  <cp:revision>1</cp:revision>
  <dcterms:created xsi:type="dcterms:W3CDTF">2026-10-03T02:35:52.633Z</dcterms:created>
  <dcterms:modified xsi:type="dcterms:W3CDTF">2026-10-03T02:35:52.635Z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