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МИНОБРНАУКИ РОССИИ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высшего образования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«Московский государственный технологический университет «СТАНКИН»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(ФГБОУ ВО «МГТУ «СТАНКИН»)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8"/>
        <w:gridCol w:w="4678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Институт информационных технологий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Кафедра управления и информатики в технических системах</w:t>
            </w:r>
          </w:p>
        </w:tc>
      </w:tr>
    </w:tbl>
    <rootKey>w:p</rootKey>
    <rootKey>w:p</rootKey>
    <rootKey>w:p</rootKey>
    <rootKey>w:p</rootKey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ЛАБОРАТОРНАЯ РАБОТА №1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ПО ДИСЦИПЛИНЕ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«ИНФОРМАЦИОННЫЕ СИСТЕМЫ И ТЕХНОЛОГИИ»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748"/>
        <w:gridCol w:w="561"/>
        <w:gridCol w:w="561"/>
        <w:gridCol w:w="2526"/>
        <w:gridCol w:w="1310"/>
        <w:gridCol w:w="1777"/>
      </w:tblGrid>
      <w:tr>
        <w:trPr>
          <w:cantSplit/>
        </w:trPr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СТУДЕНТА</w:t>
            </w:r>
          </w:p>
        </w:tc>
        <w:tc>
          <w:tcPr>
            <w:tcW w:type="pct" w:w="4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КУРСА</w:t>
            </w:r>
          </w:p>
        </w:tc>
        <w:tc>
          <w:tcPr>
            <w:tcW w:type="pct" w:w="13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БАКАЛАВРИАТА</w:t>
            </w:r>
          </w:p>
        </w:tc>
        <w:tc>
          <w:tcPr>
            <w:tcW w:type="pct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ГРУППЫ</w:t>
            </w:r>
          </w:p>
        </w:tc>
        <w:tc>
          <w:tcPr>
            <w:tcW w:type="pct" w:w="9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ИДБ-23-13</w:t>
            </w:r>
          </w:p>
        </w:tc>
      </w:tr>
      <w:tr>
        <w:trPr>
          <w:cantSplit/>
        </w:trPr>
        <w:tc>
          <w:tcPr>
            <w:tcW w:type="pct" w:w="1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(уровень профессионального образования)</w:t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</w:tbl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(ФИО)</w:t>
            </w:r>
          </w:p>
        </w:tc>
      </w:tr>
    </w:tbl>
    <rootKey>w:p</rootKey>
    <rootKey>w:p</rootKey>
    <rootKey>w:p</rootKey>
    <rootKey>w:p</rootKey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39"/>
        <w:gridCol w:w="7016"/>
      </w:tblGrid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Направление: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09.03.03 Прикладная информатика</w:t>
            </w:r>
          </w:p>
        </w:tc>
      </w:tr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Профиль подготовки: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Управление данными</w:t>
            </w:r>
          </w:p>
        </w:tc>
      </w:tr>
    </w:tbl>
    <rootKey>w:p</rootKey>
    <w:p>
      <w:pPr>
        <w:spacing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Вариант работы: №4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8"/>
        <w:gridCol w:w="4023"/>
        <w:gridCol w:w="1403"/>
        <w:gridCol w:w="1871"/>
      </w:tblGrid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Отчет сдан «___» __________ 2026 г.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Оценка ______________________________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Елисеева Н.В., к.т.н., доцент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(Ф.И.О., должность, степень, звание.)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(подпись)</w:t>
            </w:r>
          </w:p>
        </w:tc>
      </w:tr>
    </w:tbl>
    <rootKey>w:p</rootKey>
    <rootKey>w:p</rootKey>
    <rootKey>w:p</rootKey>
    <rootKey>w:p</rootKey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МОСКВА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Исходные данные. Общая характеристика системы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Диаграмма системного контекста (Level 1)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Диаграмма контейнеров (Level 2)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Глоссарий идентификаторов (Glossary IDs)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Соответствие требованиям методического пособия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Выводы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Цель работы — освоить методологию C4 Model как инструмент архитектурного проектирования программных систем. В ходе выполнения работы необходимо научиться фиксировать внешние границы проектируемой системы на диаграмме системного контекста (уровень 1) и декомпозировать систему на независимо развёртываемые технологические контейнеры на диаграмме контейнеров (уровень 2). Отдельное внимание уделяется практике Diagrams-as-Code: архитектурные схемы описываются в виде текста на языке PlantUML с подключением библиотеки C4-PlantUML и автоматически преобразуются в графические изображения, что позволяет версионировать архитектуру совместно с кодом проекта.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задачи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Согласно методическому пособию, в рамках лабораторной работы №1 требуется: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построить диаграмму системного контекста (System Context Diagram): проектируемая система изображается единым неделимым «чёрным ящиком»; в состав диаграммы входят центральный блок, не менее трёх ролей пользователей (персоны) и не менее трёх внешних программных или аппаратных систем, находящихся вне зоны контроля команды разработки; каждая связь должна быть направленной и сопровождаться описанием состава передаваемых данных;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построить диаграмму контейнеров (Container Diagram): раскрыть содержимое центрального блока, декомпозировав его на обособленные, независимо развёртываемые исполняемые сущности; выделить не менее пяти технологических контейнеров, среди которых должны быть веб-приложение, мобильное приложение, серверные сервисы и хранилища данных; для каждого контейнера указать технологический стек, для каждой межсервисной связи — сетевой протокол; дополнить диаграмму таблицей описания контейнеров;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оформить отчёт по результатам работы.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Исходные данные. Общая характеристика системы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Архитектурному моделированию подвергается информационная система DemoScope — платформа демографической аналитики, обеспечивающая мониторинг, анализ и прогнозирование демографической ситуации в субъектах Российской Федерации. Назначение системы раскрывается через следующий круг задач: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сбор в едином хранилище демографических и социально-экономических показателей, публикуемых Росстатом и ЕМИСС: численность населения, рождаемость, смертность, миграция, уровень заработной платы;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интерактивное представление данных: тепловые карты, трёхмерный глобус, динамические графики, сопоставление территорий между собой;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прогнозирование численности населения методами Хольта-Уинтерса, ARIMA и когортно-компонентным методом с построением доверительных интервалов;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формирование «радара проблем» — выявления неблагополучных территорий на базе предиктивных алертов;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автоматизированная подготовка аналитических справок, в том числе с привлечением большой языковой модели Google Gemini.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Серверная часть системы реализована на Python/FastAPI, клиентская — на React; данные хранятся в колоночном формате Parquet. Архитектурное описание ведётся в подходе Diagrams-as-Code средствами нотации C4-PlantUML.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Диаграмма системного контекста (Level 1)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 диаграмме системного контекста проектируемая система показана в окружении внешних участников с максимально высокого уровня абстракции: DemoScope условно «запечатан» в чёрный ящик, и его внутреннее устройство на схеме не раскрывается. Диаграмма фиксирует, какую ценность система несёт каждой пользовательской роли и через какие интерфейсы она обменивается данными с внешними системами.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520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1 — Диаграмма системного контекста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Спецификация элементов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— Элементы диаграммы системного контекста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619"/>
        <w:gridCol w:w="1684"/>
        <w:gridCol w:w="5052"/>
      </w:tblGrid>
      <w:tr>
        <w:trPr>
          <w:cantSplit/>
          <w:tblHeader/>
        </w:trPr>
        <w:tc>
          <w:tcPr>
            <w:tcW w:type="pct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 (C4)</w:t>
            </w:r>
          </w:p>
        </w:tc>
        <w:tc>
          <w:tcPr>
            <w:tcW w:type="pct" w:w="2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Ключевая роль: отслеживает демографические показатели, сопоставляет регионы, запрашивает прогнозы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государственного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Опирается на «радар проблем» и аналитические отчёты при выработке решений в социально-демографической политике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Изучает демографические процессы, выгружает справочные и отчётные материалы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Моделируемая система: мониторинг, анализ и прогнозирование динамики населения РФ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Поставщик официальной демографической статистики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Государственная платформа публикации статистических данных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Внешний LLM-сервис, формирующий тексты аналитических заключений (Gemini 2.5 Flash)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Репозиторий исходных массивов данных (CSV), откуда их забирает конвейер загрузки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— Связи диаграммы системного контекста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684"/>
        <w:gridCol w:w="3929"/>
        <w:gridCol w:w="1684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показателей, сравнения регионов и расчёта прогнозов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Обращения к «радару проблем» и аналитическим отчётам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справок, выгрузка отчётов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Загрузка официальных демографических показателей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Получение статистики по субъектам РФ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Формирование текста аналитического заключения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Скачивание исходных CSV-массивов данных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Каждая связь на диаграмме однонаправленная: стрелка показывает, кто инициировал обмен и в какую сторону движутся данные. Уровень L1 сознательно не раскрывает внутренности системы — ни контейнеры, ни компоненты здесь не изображаются.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Диаграмма контейнеров (Level 2)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Диаграмма контейнеров «открывает» чёрный ящик уровня L1: центральный блок разбит на независимо развёртываемые исполняемые сущности. Подчеркнём, что контейнер в терминах C4 — это не Docker-единица, а любое приложение или хранилище данных, необходимое для работы системы как целого. Технологический стек зафиксирован для каждого контейнера, а для каждой межсервисной связи указан применяемый протокол.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3667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2 — Диаграмма контейнеров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 Таблица описания контейнеров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— Технологические контейнеры системы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777"/>
        <w:gridCol w:w="1590"/>
        <w:gridCol w:w="1965"/>
        <w:gridCol w:w="1965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9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Контейнер</w:t>
            </w:r>
          </w:p>
        </w:tc>
        <w:tc>
          <w:tcPr>
            <w:tcW w:type="pct" w:w="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Тех­но­ло­ги­че­ский стек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19 / Vite, Three.js, Recharts, Leaflet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Клиентский интерфейс: 3D-глобус, тепловые карты, дашборды, графики, сопоставление территорий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 (планируемое)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Native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Мобильный клиент мониторинга и прогнозов. Контейнер уровня To-Be: принадлежит целевой архитектуре, находится в разработке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3.10 / FastAPI, Pandas, PyArrow, Statsmodels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Ядро бизнес-логики: REST API мониторинга, сопоставления территорий, про­гно­зи­ро­ва­ния, отчётности и LLM-анализа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/ Pandas, gdown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Служебный инструментарий: выгрузка исходных массивов, очистка, пересчёт CSV в Parquet, геомаппинг регионов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де­мо­гра­фи­че­ских данных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Parquet / PyArrow (файловое хранилище)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Хранение показателей Росстата и ЕМИСС: население, рождаемость, смертность, миграция (~6 ГБ)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 — Связи диаграммы контейнеров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684"/>
        <w:gridCol w:w="3929"/>
        <w:gridCol w:w="1684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Работа с дашбордами и прогнозами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Получение отчётов и «радара проблем»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Вызовы REST API (/api/population, /api/forecast, /api/report и др.)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Вызовы REST API (To-Be)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показателей и агрегатов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Запись подготовленных массивов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Загрузка исходных массивов (CSV)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 (gdown)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текста аналитического заключения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 (REST)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5.3. Обоснование архитектурных решений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Изоляция клиентского слоя от серверного. Веб-приложение оформлено самостоятельным контейнером: его статическая сборка (Vite) развёртывается независимо, а взаимодействие с сервером идёт исключительно через REST API. Такой разрыв связанности позволяет развивать интерфейс и бэкенд в разных темпах и разными специалистами.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Конвейер данных как отдельный контейнер. Загрузка, очистка и конвертация исходных массивов реализованы офлайн-утилитами, не входящими в процесс API-сервиса. Конвейер можно запускать по расписанию вне зависимости от работоспособности бэкенда — это прямое следование принципу единственной ответственности, вынесенное на уровень развёртывания.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Parquet вместо классической СУБД. Нагрузка системы характеризуется редким чтением больших неизменяемых массивов, что идеально ложится на колоночный формат Parquet: PyArrow обрабатывает файлы «в памяти» без затрат на администрирование СУБД, сохраняя высокую скорость аналитических выборок.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Мобильное приложение как контейнер To-Be. Методика C4 разрешает документировать не только текущую (as-is), но и целевую (to-be) архитектуру. Мобильный клиент присутствует на диаграмме как планируемый контейнер с пометкой [To-Be]; стек React Native выбран из-за переиспользования наработанной командой экспертизы в React 19, а подключение через существующий REST API не требует перестройки остальных контейнеров.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LLM-генерация вынесена за границу системы. Тексты аналитических заключений порождает внешний сервис Google Gemini: собственная модель внутри DemoScope отсутствует, поэтому API размещён за пределами System_Boundary.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Глоссарий идентификаторов (Glossary IDs)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Сквозные текстовые идентификаторы, единые для всех диаграмм проекта: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5 — Глоссарий идентификаторов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4490"/>
        <w:gridCol w:w="2807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2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analyst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official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researcher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 (граница системы)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 (To-Be)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демографических данных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 (БД)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rosstat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emiss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gemini_api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gdrive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Соответствие требованиям методического пособия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6 — Чеклист соответствия требованиям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5145"/>
        <w:gridCol w:w="4210"/>
      </w:tblGrid>
      <w:tr>
        <w:trPr>
          <w:cantSplit/>
          <w:tblHeader/>
        </w:trPr>
        <w:tc>
          <w:tcPr>
            <w:tcW w:type="pct" w:w="2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Требование</w:t>
            </w:r>
          </w:p>
        </w:tc>
        <w:tc>
          <w:tcPr>
            <w:tcW w:type="pct" w:w="2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Выполнение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Система — единый неделимый «чёрный ящик» на L1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устройство системы на уровне L1 не раскрывается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Центральный блок и не менее 3 пользовательских ролей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3 персоны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3 внешних систем вне зоны контроля разработчиков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4 внешние системы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Все связи строго направленные, с описанием данных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7 направленных связей, каждая с описанием и протоколом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Декомпозиция центрального блока на контейнеры (L2)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5 контейнеров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5 контейнеров, включая мобильное и веб-приложение, бэкенд, хранилища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все категории присутствуют; мобильное приложение — контейнер To-Be (обоснование в п. 5.3)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Технологический стек для каждого контейнера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приведён в таблице 3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Сетевые протоколы для всех межсервисных связей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указаны у каждой связи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Таблица описания контейнеров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п. 5.1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Инструмент — PlantUML + C4-PlantUML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макросы Person, System, System_Ext, Container, ContainerDb, Rel, LAYOUT_WITH_LEGEND, LAYOUT_LEFT_RIGHT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Запреты: только Rel(), без skinparam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нарушений нет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 итогам лабораторной работы отработаны два первых уровня абстракции C4 Model на материале курсового проекта. Диаграмма системного контекста закрепила внешние границы системы DemoScope: три пользовательские роли, четыре внешние системы, семь направленных потоков данных с явными протоколами. Диаграмма контейнеров выполнила декомпозицию системы на пять независимо развёртываемых сущностей с фиксацией технологического стека каждого контейнера. Обе схемы описаны как код (Diagrams-as-Code) в нотации C4-PlantUML: текстовое описание диаграмм хранится в репозитории и автоматически превращается в изображения, что обеспечивает воспроизводимость и контроль версий архитектуры. Построенные уровни создают основу для следующего шага — декомпозиции Backend API на компоненты (Level 3) и последующего проектирования классов (Level 4).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48171177a40bff7bbc130ab4a8e7d501628f3ae6.png"/><Relationship Id="rId10" Type="http://schemas.openxmlformats.org/officeDocument/2006/relationships/image" Target="media/271c0b7775dd04ba65f82d2d59f6bd7dc2f3519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— C4 Model</dc:title>
  <dc:creator>Студент</dc:creator>
  <cp:lastModifiedBy>Un-named</cp:lastModifiedBy>
  <cp:revision>1</cp:revision>
  <dcterms:created xsi:type="dcterms:W3CDTF">2026-10-02T13:49:54.947Z</dcterms:created>
  <dcterms:modified xsi:type="dcterms:W3CDTF">2026-10-02T13:49:54.949Z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