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МИНОБРНАУКИ РОССИИ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высшего образования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«Московский государственный технологический университет «СТАНКИН»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(ФГАОУ ВО «МГТУ «СТАНКИН»)</w:t>
      </w:r>
    </w:p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8"/>
        <w:gridCol w:w="4678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Институт информационных технологий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Кафедра управления и информатики в технических системах</w:t>
            </w:r>
          </w:p>
        </w:tc>
      </w:tr>
    </w:tbl>
    <w:p/>
    <w:p/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Лабораторная работа №2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  <w:t xml:space="preserve"> ПО ДИСЦИПЛИНЕ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«ИСИТ»</w:t>
      </w:r>
    </w:p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71"/>
        <w:gridCol w:w="748"/>
        <w:gridCol w:w="561"/>
        <w:gridCol w:w="561"/>
        <w:gridCol w:w="2526"/>
        <w:gridCol w:w="1310"/>
        <w:gridCol w:w="1777"/>
      </w:tblGrid>
      <w:tr>
        <w:trPr>
          <w:cantSplit/>
        </w:trPr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СТУДЕНТА</w:t>
            </w:r>
          </w:p>
        </w:tc>
        <w:tc>
          <w:tcPr>
            <w:tcW w:type="pct" w:w="4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КУРСА</w:t>
            </w:r>
          </w:p>
        </w:tc>
        <w:tc>
          <w:tcPr>
            <w:tcW w:type="pct" w:w="13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БАКАЛАВРИАТА</w:t>
            </w:r>
          </w:p>
        </w:tc>
        <w:tc>
          <w:tcPr>
            <w:tcW w:type="pct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ГРУППЫ</w:t>
            </w:r>
          </w:p>
        </w:tc>
        <w:tc>
          <w:tcPr>
            <w:tcW w:type="pct" w:w="9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ИДБ-23-13</w:t>
            </w:r>
          </w:p>
        </w:tc>
      </w:tr>
      <w:tr>
        <w:trPr>
          <w:cantSplit/>
        </w:trPr>
        <w:tc>
          <w:tcPr>
            <w:tcW w:type="pct" w:w="17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(уровень профессионального образования)</w:t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Бектеев Георгий</w:t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(ФИО)</w:t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«C4 Model. Диаграмма компонентов (Level 3)»</w:t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(ТЕМА РАБОТЫ)</w:t>
            </w:r>
          </w:p>
        </w:tc>
      </w:tr>
    </w:tbl>
    <w:p/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39"/>
        <w:gridCol w:w="7016"/>
      </w:tblGrid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Направление: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09.03.03 Прикладная информатика</w:t>
            </w:r>
          </w:p>
        </w:tc>
      </w:tr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Профиль подготовки: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«Управление данными»</w:t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8"/>
        <w:gridCol w:w="4023"/>
        <w:gridCol w:w="1403"/>
        <w:gridCol w:w="1871"/>
      </w:tblGrid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Отчет сдан «___» __________ 2026 г.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Оценка ______________________________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Бычков Сергей Юрьевич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(Ф.И.О., должность, степень, звание.)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(подпись)</w:t>
            </w:r>
          </w:p>
        </w:tc>
      </w:tr>
    </w:tbl>
    <w:p/>
    <w:p/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МОСКВА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Исходные данные. Ключевой контейнер Backend API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Диаграмма компонентов (Level 3)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Спецификация внутренних интерфейсов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Обоснование архитектурных решений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Глоссарий идентификаторов (Glossary IDs)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Соответствие требованиям методического пособия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9. Выводы</w:t>
      </w:r>
    </w:p>
    <w:p>
      <w:pPr>
        <w:sectPr>
          <w:footerReference w:type="default" r:id="rId6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Получить практические навыки декомпозиции контейнера на внутренние логические элементы с использованием третьего уровня абстракции методологии C4 Model: научиться выделять компоненты ключевого контейнера бизнес-логики, фиксировать их ответственность и внутренние интерфейсы, демонстрировать разделение ответственности в соответствии с принципами многослойной архитектуры. Закрепить подход Diagrams-as-Code — описание архитектуры в текстовом формате PlantUML с библиотекой C4-PlantUML.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задачи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соответствии с методическим пособием в рамках лабораторной работы №2 необходимо: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разработать диаграмму компонентов (Component Diagram) для ключевого контейнера: выполнить декомпозицию контейнера бизнес-логики (бэкенда) на внутренние логические компоненты, выполняющиеся в едином адресном пространстве; диаграмма должна содержать не менее четырёх взаимосвязанных компонентов; продемонстрировать явное разделение ответственности между компонентами в соответствии с принципами многослойной архитектуры;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подготовить текстовое обоснование принятых архитектурных решений и спецификацию внутренних интерфейсов компонентов;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оформить отчёт по лабораторной работе.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Исходные данные. Ключевой контейнер Backend API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Объектом декомпозиции является контейнер api_backend (Backend API) системы DemoScope — платформы демографической аналитики, описанной в лабораторной работе №1. Контейнер реализован на стеке Python 3.10 / FastAPI с библиотеками Pandas, PyArrow и Statsmodels и исполняет ядро бизнес-логики системы: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REST API мониторинга демографических показателей (численность населения, рождаемость, смертность, миграция, заработная плата), тепловых карт и сравнения территорий;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прогнозирование динамики населения методами Хольта-Уинтерса, ARIMA и когортно-компонентным методом со сценарными поправками и доверительными интервалами;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выявление проблемных территорий («радар проблем») на основе предиктивных алертов;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генерация аналитических справок, в том числе с привлечением внешней большой языковой модели Google Gemini.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Backend API выбран в качестве ключевого контейнера обоснованно: именно в нём сосредоточена вся бизнес-логика системы, тогда как остальные контейнеры — клиентские приложения (web_app, mobile_app), хранилища (data_store, db_service) и конвейер подготовки данных (data_pipeline) — выполняют функции интерфейса, хранения и загрузки данных. В рамках распределения задач проектной команды №18 группы ИДБ-23-13 (Бектеев Г.А., Алибеков А., Лиджиев Э.С., Слисаренко Д., Сырлыбаев Б.С.) декомпозиция клиентского контейнера web_app параллельно выполняется фронтенд-разработчиком команды (Слисаренко Д.), а в настоящей работе детально рассматривается серверный контейнер api_backend. Внутри контейнера компоненты выполняются в едином адресном пространстве процесса и взаимодействуют прямыми программными вызовами (Python Call), без сетевых протоколов.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Диаграмма компонентов (Level 3)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Диаграмма компонентов выполняет «зум» внутрь контейнера api_backend: граница Container_Boundary объединяет внутренние логические компоненты, а внешние по отношению к бэкенду контейнеры (веб- и мобильное приложение, хранилища данных) и внешние системы вынесены за рамки границы. Внутри границы выделено шесть компонентов: маршрутизатор запросов, три сервиса бизнес-логики и два репозитория данных.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1 — Диаграмма компонентов контейнера Backend API системы DemoScope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4.1. Спецификация компонентов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 — Компоненты контейнера Backend API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1777"/>
        <w:gridCol w:w="1871"/>
        <w:gridCol w:w="1684"/>
        <w:gridCol w:w="4023"/>
      </w:tblGrid>
      <w:tr>
        <w:trPr>
          <w:cantSplit/>
          <w:tblHeader/>
        </w:trPr>
        <w:tc>
          <w:tcPr>
            <w:tcW w:type="pct" w:w="9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Компонент</w:t>
            </w:r>
          </w:p>
        </w:tc>
        <w:tc>
          <w:tcPr>
            <w:tcW w:type="pct" w:w="1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Технологии</w:t>
            </w:r>
          </w:p>
        </w:tc>
        <w:tc>
          <w:tcPr>
            <w:tcW w:type="pct" w:w="21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Ответственность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 Router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FastAPI Router, Pydantic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Маршрутизация REST-запросов (/api/population, /api/forecast, /api/report и др.), валидация входных схем, CORS-политика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про­гнозирования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forecast_comp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Statsmodels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Оркестрация прогнозов: выбор алгоритма (Хольт-Уинтерс, ARIMA, когортно-компонентный), сценарные поправки, доверительные интервалы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аналитики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analytics_comp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Pandas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Агрегация показателей, тепловые карты, сравнение территорий, расчёт топ-изменений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отчётов и алертов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report_comp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Module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Генерация аналитических справок (вызов LLM), предиктивные алерты «радара проблем»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данных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data_repo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PyArrow / Parquet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Единый слой доступа к озеру данных: чтение временных рядов и агрегатов, предрасчёт и кэширование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служебной БД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db_repo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SQLAlchemy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Доступ к служебной БД: учётные записи, сессии, история отчётов, кэш прогнозов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Спецификация внутренних интерфейсов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Внутрипроцессное взаимодействие компонентов строится по принципу «слои через интерфейсы»: маршрутизатор обращается только к сервисам бизнес-логики, сервисы — только к репозиториям, репозитории — только к хранилищам. Ниже зафиксированы ключевые интерфейсы компонентов.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 Внешний интерфейс (REST API маршрутизатора)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 — Операции REST API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1871"/>
        <w:gridCol w:w="3368"/>
        <w:gridCol w:w="4116"/>
      </w:tblGrid>
      <w:tr>
        <w:trPr>
          <w:cantSplit/>
          <w:tblHeader/>
        </w:trPr>
        <w:tc>
          <w:tcPr>
            <w:tcW w:type="pct" w:w="1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Операция</w:t>
            </w:r>
          </w:p>
        </w:tc>
        <w:tc>
          <w:tcPr>
            <w:tcW w:type="pct" w:w="18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Метод и путь</w:t>
            </w:r>
          </w:p>
        </w:tc>
        <w:tc>
          <w:tcPr>
            <w:tcW w:type="pct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Список территорий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GET /api/regions, GET /api/municipalities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Справочники субъектов и муниципалитетов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Показатели мониторинга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GET /api/population, GET /api/demographics, GET /api/salary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Временные ряды показателей по территориям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Аналитические выборки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GET /api/top-changes, GET /api/heatmap, GET /api/compare/territories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Топ-изменения, тепловая карта, сравнение территорий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Про­гно­зи­ро­ва­ние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POST /api/forecast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Прогноз динамики населения по выбранному алгоритму и сценарию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Отчёты и алерты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POST /api/report, GET /api/predictive-alerts, POST /api/llm-analysis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Аналитические справки, «радар проблем», LLM-анализ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5.2. Внутренние программные интерфейсы (Python Call)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 — Внутренние программные интерфейсы компонентов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1777"/>
        <w:gridCol w:w="4771"/>
        <w:gridCol w:w="2807"/>
      </w:tblGrid>
      <w:tr>
        <w:trPr>
          <w:cantSplit/>
          <w:tblHeader/>
        </w:trPr>
        <w:tc>
          <w:tcPr>
            <w:tcW w:type="pct" w:w="9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Владелец</w:t>
            </w:r>
          </w:p>
        </w:tc>
        <w:tc>
          <w:tcPr>
            <w:tcW w:type="pct" w:w="25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Интерфейс (сигнатура)</w:t>
            </w:r>
          </w:p>
        </w:tc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Вызывающие компоненты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forecast_comp</w:t>
            </w:r>
          </w:p>
        </w:tc>
        <w:tc>
          <w:tcPr>
            <w:tcW w:type="pct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run_forecast(years, values, horizon, model_type, scenario, cohort_data) -&gt; dict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analytics_comp</w:t>
            </w:r>
          </w:p>
        </w:tc>
        <w:tc>
          <w:tcPr>
            <w:tcW w:type="pct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get_heatmap_data(), get_compare_territories(region, years), get_top_changes(limit, years)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report_comp</w:t>
            </w:r>
          </w:p>
        </w:tc>
        <w:tc>
          <w:tcPr>
            <w:tcW w:type="pct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generate_report(region, indicators) -&gt; Report, get_predictive_alerts() -&gt; list[Alert]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data_repo</w:t>
            </w:r>
          </w:p>
        </w:tc>
        <w:tc>
          <w:tcPr>
            <w:tcW w:type="pct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get_population_data(region, years), get_population_timeseries(region), load_births(), load_deaths()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forecast_comp, analytics_comp, report_comp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db_repo</w:t>
            </w:r>
          </w:p>
        </w:tc>
        <w:tc>
          <w:tcPr>
            <w:tcW w:type="pct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get_forecast_cache(key), save_forecast_cache(key, payload), save_report_history(report)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forecast_comp, report_comp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Формулировки сигнатур фиксируют целевые проектные контракты компонента (подход as-is/to-be, принятый в лабораторной работе №1): названия и состав операций сверены с действующей кодовой базой проекта, однако часть контрактов — в частности, доступ к кэшу прогнозов и истории отчётов через репозиторий db_repo, а также сценарные поправки в run_forecast — реализуется по мере развития проекта в спринтах.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5.3. Спецификация связей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 — Связи диаграммы компонентов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1777"/>
        <w:gridCol w:w="1965"/>
        <w:gridCol w:w="3555"/>
        <w:gridCol w:w="2058"/>
      </w:tblGrid>
      <w:tr>
        <w:trPr>
          <w:cantSplit/>
          <w:tblHeader/>
        </w:trPr>
        <w:tc>
          <w:tcPr>
            <w:tcW w:type="pct" w:w="9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Передаваемые данные / бизнес-действие</w:t>
            </w:r>
          </w:p>
        </w:tc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(SPA)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к REST API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к REST API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analytics_comp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Вызов функций агрегации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forecast_comp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Вызов точки входа прогнозов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report_comp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Вызов генерации справок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forecast_comp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data_repo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Чтение временных рядов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analytics_comp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data_repo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Чтение показателей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report_comp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data_repo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Чтение данных для справок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forecast_comp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db_repo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Кэш прогнозов (чтение/запись)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report_comp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db_repo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Сохранение истории отчётов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Call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data_repo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Хранилище демографических данных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Чтение Parquet-фрагментов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(Parquet)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db_repo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Выполнение SQL-запросов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SQL/TCP 5432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report_comp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 генерации текста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 (REST)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Стрелки между внутренними компонентами — прямые программные вызовы в общем адресном пространстве. Изнутри контейнера наружу ведут только стрелки от репозиториев к хранилищам и от сервиса отчётов к внешнему LLM-сервису; входящие сетевые стрелки — запросы клиентских приложений к маршрутизатору.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Обоснование архитектурных решений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Многослойная архитектура. Компоненты сгруппированы в три слоя: слой представления (api_router), слой бизнес-логики (forecast_comp, analytics_comp, report_comp) и слой доступа к данным (data_repo, db_repo). Зависимости направлены строго вниз: маршрутизатор не обращается к хранилищам напрямую, а сервисы не знают о транспортном уровне. Такая структура изолирует замену любых горизонталей — например, смена веб-фреймворка не затрагивает бизнес-логику.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Выделение единого слоя доступа к данным. Всё чтение демографических массивов инкапсулировано в репозитории data_repo: сервисы работают с рядами и агрегатами, не зная деталей физического формата (Parquet) и схемы разбиения файлов озера данных. Это соответствует принципу инверсии зависимостей — бизнес-слой зависит от интерфейса репозитория, а не от технологии хранения.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Разделение аналитической и служебной нагрузки. Прогнозирование, аналитика и отчёты выделены в три независимых сервиса бизнес-логики: у каждого своя зона ответственности и собственные источники данных. Кэш прогнозов и история отчётов обслуживаются отдельным репозиторием db_repo с транзакционной СУБД, что отделяет служебную нагрузку от больших аналитических выборок.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Единая точка входа прогнозирования. Сервис прогнозирования предоставляет один интерфейс run_forecast с параметром выбора алгоритма: маршрутизатор не знает о трёх методах прогнозирования, их перебор и сценарные поправки инкапсулированы внутри компонента (детализация на уровне классов выполнена в лабораторной работе №3).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Внешние интеграции за границей контейнера. Генерация текста справок выполняется внешним сервисом Google Gemini: компонент report_comp обращается к нему по HTTPS/JSON, что отражено на диаграмме выносом LLM-сервиса за границу Container_Boundary.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Глоссарий идентификаторов (Glossary IDs)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 идентификаторам уровней L1/L2 (см. лабораторную работу №1) добавлены идентификаторы компонентов бэкенда: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5 — Глоссарий идентификаторов компонентов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432"/>
        <w:gridCol w:w="4116"/>
        <w:gridCol w:w="2807"/>
      </w:tblGrid>
      <w:tr>
        <w:trPr>
          <w:cantSplit/>
          <w:tblHeader/>
        </w:trPr>
        <w:tc>
          <w:tcPr>
            <w:tcW w:type="pct" w:w="1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api_router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 Router (маршрутизатор)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Компонент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forecast_comp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прогнозирования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Компонент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analytics_comp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аналитики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Компонент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report_comp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 отчётов и алертов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Компонент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data_repo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данных (озеро данных)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Компонент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db_repo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служебной БД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Компонент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web_app, mobile_app, data_store, db_service, gemini_api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Внешние по отношению к бэкенду элементы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Контейнеры / внешние системы (см. ЛР1)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Соответствие требованиям методического пособия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6 — Чеклист соответствия требованиям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5145"/>
        <w:gridCol w:w="4210"/>
      </w:tblGrid>
      <w:tr>
        <w:trPr>
          <w:cantSplit/>
          <w:tblHeader/>
        </w:trPr>
        <w:tc>
          <w:tcPr>
            <w:tcW w:type="pct" w:w="2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Требование</w:t>
            </w:r>
          </w:p>
        </w:tc>
        <w:tc>
          <w:tcPr>
            <w:tcW w:type="pct" w:w="2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Выполнение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Декомпозиция ключевого контейнера бизнес-логики на внутренние компоненты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контейнер api_backend декомпозирован на 6 компонентов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 менее 4 взаимосвязанных компонентов в едином адресном пространстве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6 компонентов, взаимодействие — прямые программные вызовы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Явное разделение ответственности (многослойная архитектура)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3 слоя — представление, бизнес-логика, доступ к данным (п. 6)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Текстовое обоснование архитектурных решений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п. 6, пять обоснований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Спецификация внутренних интерфейсов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п. 5.1 (REST), п. 5.2 (программные интерфейсы), п. 5.3 (связи)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Протоколы на всех внешних связях компонента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HTTPS/JSON, SQL/TCP 5432, файловый I/O, HTTPS/JSON (REST)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Инструмент — PlantUML + C4-PlantUML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макросы Component, Container_Boundary, Container, ContainerDb, System_Ext, Rel, LAYOUT_WITH_LEGEND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Запреты: только Rel(), без skinparam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нарушений нет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ходе лабораторной работы освоен третий уровень абстракции модели C4 применительно к теме курсового проекта. Ключевой контейнер системы DemoScope — Backend API — декомпозирован на шесть внутренних компонентов, сгруппированных в три слоя: маршрутизатор запросов, три сервиса бизнес-логики (прогнозирование, аналитика, отчёты и алерты) и два репозитория данных. Зафиксированы ответственность каждого компонента и его внутренние интерфейсы: внешний REST API, программные интерфейсы сервисов и репозиториев, протоколы всех внешних связей. Диаграмма построена в нотации C4-PlantUML в подходе Diagrams-as-Code. Выделение слоя доступа к данным и единой точки входа прогнозирования подготовило основу для следующего уровня детализации — проектирования классов прогнозного компонента с паттерном «Стратегия» (лабораторная работа №3).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 w:line="36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2884f41c8d69e0adbb95df412bff07a064b72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 — C4 Model. Диаграмма компонентов</dc:title>
  <dc:creator>Бектеев Георгий</dc:creator>
  <cp:lastModifiedBy>Un-named</cp:lastModifiedBy>
  <cp:revision>1</cp:revision>
  <dcterms:created xsi:type="dcterms:W3CDTF">2026-10-30T11:11:06.871Z</dcterms:created>
  <dcterms:modified xsi:type="dcterms:W3CDTF">2026-10-30T11:11:06.873Z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