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1BDB6" w14:textId="26F196E5" w:rsidR="00D117D7" w:rsidRPr="00D117D7" w:rsidRDefault="00D117D7" w:rsidP="00D117D7">
      <w:pPr>
        <w:spacing w:line="360" w:lineRule="auto"/>
        <w:jc w:val="both"/>
        <w:rPr>
          <w:rFonts w:ascii="Arial" w:hAnsi="Arial" w:cs="Arial"/>
          <w:b/>
          <w:bCs/>
        </w:rPr>
      </w:pPr>
      <w:r w:rsidRPr="00D117D7">
        <w:rPr>
          <w:rFonts w:ascii="Arial" w:hAnsi="Arial" w:cs="Arial"/>
          <w:b/>
          <w:bCs/>
        </w:rPr>
        <w:t>Propuesta de estrategias didácticas para el abordaje de la correcta escritura de las grafías b y d en estudiantes con dislexia.</w:t>
      </w:r>
    </w:p>
    <w:p w14:paraId="412DC5F4" w14:textId="3B306865" w:rsidR="00D117D7" w:rsidRPr="00D117D7" w:rsidRDefault="00D117D7" w:rsidP="00D117D7">
      <w:pPr>
        <w:spacing w:line="360" w:lineRule="auto"/>
        <w:jc w:val="both"/>
        <w:rPr>
          <w:rFonts w:ascii="Arial" w:hAnsi="Arial" w:cs="Arial"/>
        </w:rPr>
      </w:pPr>
      <w:r w:rsidRPr="00D117D7">
        <w:rPr>
          <w:rFonts w:ascii="Arial" w:hAnsi="Arial" w:cs="Arial"/>
        </w:rPr>
        <w:t xml:space="preserve">Con el objetivo de fortalecer el proceso de aprendizaje de los estudiantes con dislexia y favorecer la correcta escritura de las grafías </w:t>
      </w:r>
      <w:r w:rsidRPr="00D117D7">
        <w:rPr>
          <w:rFonts w:ascii="Arial" w:hAnsi="Arial" w:cs="Arial"/>
          <w:b/>
          <w:bCs/>
        </w:rPr>
        <w:t>b</w:t>
      </w:r>
      <w:r w:rsidRPr="00D117D7">
        <w:rPr>
          <w:rFonts w:ascii="Arial" w:hAnsi="Arial" w:cs="Arial"/>
        </w:rPr>
        <w:t xml:space="preserve"> y </w:t>
      </w:r>
      <w:r w:rsidRPr="00D117D7">
        <w:rPr>
          <w:rFonts w:ascii="Arial" w:hAnsi="Arial" w:cs="Arial"/>
          <w:b/>
          <w:bCs/>
        </w:rPr>
        <w:t>d</w:t>
      </w:r>
      <w:r w:rsidRPr="00D117D7">
        <w:rPr>
          <w:rFonts w:ascii="Arial" w:hAnsi="Arial" w:cs="Arial"/>
        </w:rPr>
        <w:t>, se proponen diversas estrategias didácticas dirigidas al personal docente. Estas estrategias pretenden facilitar la enseñanza mediante el uso de materiales didácticos, recursos visuales, actividades lúdicas y el acompañamiento pedagógico. De esta manera, se busca atender las necesidades educativas del estudiantado y promover un aprendizaje más significativo e inclusivo dentro del aula.</w:t>
      </w:r>
    </w:p>
    <w:p w14:paraId="140FE90D" w14:textId="0847DD9B" w:rsidR="00D117D7" w:rsidRPr="00D117D7" w:rsidRDefault="00D117D7" w:rsidP="00D117D7">
      <w:pPr>
        <w:spacing w:line="360" w:lineRule="auto"/>
        <w:jc w:val="both"/>
        <w:rPr>
          <w:rFonts w:ascii="Arial" w:hAnsi="Arial" w:cs="Arial"/>
        </w:rPr>
      </w:pPr>
      <w:r w:rsidRPr="00D117D7">
        <w:rPr>
          <w:rFonts w:ascii="Arial" w:hAnsi="Arial" w:cs="Arial"/>
          <w:b/>
          <w:bCs/>
        </w:rPr>
        <w:t>1. Uso de material didáctico multisensorial:</w:t>
      </w:r>
      <w:r>
        <w:rPr>
          <w:rFonts w:ascii="Arial" w:hAnsi="Arial" w:cs="Arial"/>
        </w:rPr>
        <w:t xml:space="preserve"> </w:t>
      </w:r>
      <w:r w:rsidRPr="00D117D7">
        <w:rPr>
          <w:rFonts w:ascii="Arial" w:hAnsi="Arial" w:cs="Arial"/>
        </w:rPr>
        <w:t xml:space="preserve">El docente puede implementar recursos que estimulen diferentes sentidos, como tarjetas visuales, letras en relieve, plastilina, arena o pizarras táctiles para formar las letras </w:t>
      </w:r>
      <w:r w:rsidRPr="00D117D7">
        <w:rPr>
          <w:rFonts w:ascii="Arial" w:hAnsi="Arial" w:cs="Arial"/>
          <w:b/>
          <w:bCs/>
        </w:rPr>
        <w:t>b</w:t>
      </w:r>
      <w:r w:rsidRPr="00D117D7">
        <w:rPr>
          <w:rFonts w:ascii="Arial" w:hAnsi="Arial" w:cs="Arial"/>
        </w:rPr>
        <w:t xml:space="preserve"> y </w:t>
      </w:r>
      <w:r w:rsidRPr="00D117D7">
        <w:rPr>
          <w:rFonts w:ascii="Arial" w:hAnsi="Arial" w:cs="Arial"/>
          <w:b/>
          <w:bCs/>
        </w:rPr>
        <w:t>d</w:t>
      </w:r>
      <w:r w:rsidRPr="00D117D7">
        <w:rPr>
          <w:rFonts w:ascii="Arial" w:hAnsi="Arial" w:cs="Arial"/>
        </w:rPr>
        <w:t>. Este tipo de actividades contribuye al fortalecimiento de la memoria visual, motora y táctil, lo que facilita que los estudiantes con dislexia logren diferenciar y recordar correctamente ambas grafías.</w:t>
      </w:r>
    </w:p>
    <w:p w14:paraId="416C4F2B" w14:textId="3EB0A68B" w:rsidR="00D117D7" w:rsidRPr="00D117D7" w:rsidRDefault="00D117D7" w:rsidP="00D117D7">
      <w:pPr>
        <w:spacing w:line="360" w:lineRule="auto"/>
        <w:jc w:val="both"/>
        <w:rPr>
          <w:rFonts w:ascii="Arial" w:hAnsi="Arial" w:cs="Arial"/>
        </w:rPr>
      </w:pPr>
      <w:r w:rsidRPr="00D117D7">
        <w:rPr>
          <w:rFonts w:ascii="Arial" w:hAnsi="Arial" w:cs="Arial"/>
          <w:b/>
          <w:bCs/>
        </w:rPr>
        <w:t>2. Asociación visual y simbólica de las grafías:</w:t>
      </w:r>
      <w:r>
        <w:rPr>
          <w:rFonts w:ascii="Arial" w:hAnsi="Arial" w:cs="Arial"/>
        </w:rPr>
        <w:t xml:space="preserve"> </w:t>
      </w:r>
      <w:r w:rsidRPr="00D117D7">
        <w:rPr>
          <w:rFonts w:ascii="Arial" w:hAnsi="Arial" w:cs="Arial"/>
        </w:rPr>
        <w:t xml:space="preserve">Asimismo, el docente puede utilizar imágenes o palabras clave que permitan distinguir cada letra. Por ejemplo, relacionar la </w:t>
      </w:r>
      <w:r w:rsidRPr="00D117D7">
        <w:rPr>
          <w:rFonts w:ascii="Arial" w:hAnsi="Arial" w:cs="Arial"/>
          <w:b/>
          <w:bCs/>
        </w:rPr>
        <w:t>b</w:t>
      </w:r>
      <w:r w:rsidRPr="00D117D7">
        <w:rPr>
          <w:rFonts w:ascii="Arial" w:hAnsi="Arial" w:cs="Arial"/>
        </w:rPr>
        <w:t xml:space="preserve"> con palabras como </w:t>
      </w:r>
      <w:r w:rsidRPr="00D117D7">
        <w:rPr>
          <w:rFonts w:ascii="Arial" w:hAnsi="Arial" w:cs="Arial"/>
          <w:i/>
          <w:iCs/>
        </w:rPr>
        <w:t>bola</w:t>
      </w:r>
      <w:r w:rsidRPr="00D117D7">
        <w:rPr>
          <w:rFonts w:ascii="Arial" w:hAnsi="Arial" w:cs="Arial"/>
        </w:rPr>
        <w:t xml:space="preserve"> o </w:t>
      </w:r>
      <w:r w:rsidRPr="00D117D7">
        <w:rPr>
          <w:rFonts w:ascii="Arial" w:hAnsi="Arial" w:cs="Arial"/>
          <w:i/>
          <w:iCs/>
        </w:rPr>
        <w:t>burro</w:t>
      </w:r>
      <w:r w:rsidRPr="00D117D7">
        <w:rPr>
          <w:rFonts w:ascii="Arial" w:hAnsi="Arial" w:cs="Arial"/>
        </w:rPr>
        <w:t xml:space="preserve">, y la </w:t>
      </w:r>
      <w:r w:rsidRPr="00D117D7">
        <w:rPr>
          <w:rFonts w:ascii="Arial" w:hAnsi="Arial" w:cs="Arial"/>
          <w:b/>
          <w:bCs/>
        </w:rPr>
        <w:t>d</w:t>
      </w:r>
      <w:r w:rsidRPr="00D117D7">
        <w:rPr>
          <w:rFonts w:ascii="Arial" w:hAnsi="Arial" w:cs="Arial"/>
        </w:rPr>
        <w:t xml:space="preserve"> con </w:t>
      </w:r>
      <w:r w:rsidRPr="00D117D7">
        <w:rPr>
          <w:rFonts w:ascii="Arial" w:hAnsi="Arial" w:cs="Arial"/>
          <w:i/>
          <w:iCs/>
        </w:rPr>
        <w:t>dado</w:t>
      </w:r>
      <w:r w:rsidRPr="00D117D7">
        <w:rPr>
          <w:rFonts w:ascii="Arial" w:hAnsi="Arial" w:cs="Arial"/>
        </w:rPr>
        <w:t xml:space="preserve"> o </w:t>
      </w:r>
      <w:r w:rsidRPr="00D117D7">
        <w:rPr>
          <w:rFonts w:ascii="Arial" w:hAnsi="Arial" w:cs="Arial"/>
          <w:i/>
          <w:iCs/>
        </w:rPr>
        <w:t>diez</w:t>
      </w:r>
      <w:r w:rsidRPr="00D117D7">
        <w:rPr>
          <w:rFonts w:ascii="Arial" w:hAnsi="Arial" w:cs="Arial"/>
        </w:rPr>
        <w:t>. Estas asociaciones visuales favorecen que el estudiantado identifique con mayor facilidad la forma de cada letra y recuerde su correcta escritura.</w:t>
      </w:r>
    </w:p>
    <w:p w14:paraId="73260E58" w14:textId="74AF124C" w:rsidR="00D117D7" w:rsidRPr="00D117D7" w:rsidRDefault="00D117D7" w:rsidP="00D117D7">
      <w:pPr>
        <w:spacing w:line="360" w:lineRule="auto"/>
        <w:jc w:val="both"/>
        <w:rPr>
          <w:rFonts w:ascii="Arial" w:hAnsi="Arial" w:cs="Arial"/>
        </w:rPr>
      </w:pPr>
      <w:r w:rsidRPr="00D117D7">
        <w:rPr>
          <w:rFonts w:ascii="Arial" w:hAnsi="Arial" w:cs="Arial"/>
          <w:b/>
          <w:bCs/>
        </w:rPr>
        <w:t>3. Prácticas de escritura guiada y repetición estructurada:</w:t>
      </w:r>
      <w:r>
        <w:rPr>
          <w:rFonts w:ascii="Arial" w:hAnsi="Arial" w:cs="Arial"/>
        </w:rPr>
        <w:t xml:space="preserve"> </w:t>
      </w:r>
      <w:r w:rsidRPr="00D117D7">
        <w:rPr>
          <w:rFonts w:ascii="Arial" w:hAnsi="Arial" w:cs="Arial"/>
        </w:rPr>
        <w:t>Otra estrategia consiste en realizar ejercicios de escritura progresiva, en los cuales el estudiante primero observa la grafía, luego la traza, posteriormente la copia y finalmente la escribe de manera autónoma. La práctica constante, acompañada de retroalimentación por parte del docente, permite fortalecer el aprendizaje y disminuir la confusión entre ambas letras.</w:t>
      </w:r>
    </w:p>
    <w:p w14:paraId="16012B20" w14:textId="5C9BC057" w:rsidR="00D117D7" w:rsidRPr="00D117D7" w:rsidRDefault="00D117D7" w:rsidP="00D117D7">
      <w:pPr>
        <w:spacing w:line="360" w:lineRule="auto"/>
        <w:jc w:val="both"/>
        <w:rPr>
          <w:rFonts w:ascii="Arial" w:hAnsi="Arial" w:cs="Arial"/>
        </w:rPr>
      </w:pPr>
      <w:r w:rsidRPr="00D117D7">
        <w:rPr>
          <w:rFonts w:ascii="Arial" w:hAnsi="Arial" w:cs="Arial"/>
          <w:b/>
          <w:bCs/>
        </w:rPr>
        <w:t>4. Uso de actividades lúdicas para reforzar el aprendizaje:</w:t>
      </w:r>
      <w:r>
        <w:rPr>
          <w:rFonts w:ascii="Arial" w:hAnsi="Arial" w:cs="Arial"/>
        </w:rPr>
        <w:t xml:space="preserve"> </w:t>
      </w:r>
      <w:r w:rsidRPr="00D117D7">
        <w:rPr>
          <w:rFonts w:ascii="Arial" w:hAnsi="Arial" w:cs="Arial"/>
        </w:rPr>
        <w:t xml:space="preserve">El docente también puede incorporar juegos educativos como sopas de letras, loterías de palabras, rompecabezas de sílabas o tarjetas de emparejamiento que incluyan palabras con </w:t>
      </w:r>
      <w:r w:rsidRPr="00D117D7">
        <w:rPr>
          <w:rFonts w:ascii="Arial" w:hAnsi="Arial" w:cs="Arial"/>
          <w:b/>
          <w:bCs/>
        </w:rPr>
        <w:lastRenderedPageBreak/>
        <w:t>b</w:t>
      </w:r>
      <w:r w:rsidRPr="00D117D7">
        <w:rPr>
          <w:rFonts w:ascii="Arial" w:hAnsi="Arial" w:cs="Arial"/>
        </w:rPr>
        <w:t xml:space="preserve"> y </w:t>
      </w:r>
      <w:r w:rsidRPr="00D117D7">
        <w:rPr>
          <w:rFonts w:ascii="Arial" w:hAnsi="Arial" w:cs="Arial"/>
          <w:b/>
          <w:bCs/>
        </w:rPr>
        <w:t>d</w:t>
      </w:r>
      <w:r w:rsidRPr="00D117D7">
        <w:rPr>
          <w:rFonts w:ascii="Arial" w:hAnsi="Arial" w:cs="Arial"/>
        </w:rPr>
        <w:t>. Estas actividades favorecen la motivación del estudiantado y permiten reforzar el reconocimiento de las grafías de una manera más dinámica y participativa.</w:t>
      </w:r>
    </w:p>
    <w:p w14:paraId="45E0267E" w14:textId="41D8F4B4" w:rsidR="00D117D7" w:rsidRPr="00D117D7" w:rsidRDefault="00D117D7" w:rsidP="00D117D7">
      <w:pPr>
        <w:spacing w:line="360" w:lineRule="auto"/>
        <w:jc w:val="both"/>
        <w:rPr>
          <w:rFonts w:ascii="Arial" w:hAnsi="Arial" w:cs="Arial"/>
        </w:rPr>
      </w:pPr>
      <w:r w:rsidRPr="00D117D7">
        <w:rPr>
          <w:rFonts w:ascii="Arial" w:hAnsi="Arial" w:cs="Arial"/>
          <w:b/>
          <w:bCs/>
        </w:rPr>
        <w:t>5. Apoyo individualizado y retroalimentación constante:</w:t>
      </w:r>
      <w:r>
        <w:rPr>
          <w:rFonts w:ascii="Arial" w:hAnsi="Arial" w:cs="Arial"/>
        </w:rPr>
        <w:t xml:space="preserve"> </w:t>
      </w:r>
      <w:r w:rsidRPr="00D117D7">
        <w:rPr>
          <w:rFonts w:ascii="Arial" w:hAnsi="Arial" w:cs="Arial"/>
        </w:rPr>
        <w:t>Finalmente, es fundamental que el docente brinde acompañamiento individual a los estudiantes con dislexia, observando sus avances y dificultades durante el proceso de aprendizaje. A través de la orientación, el seguimiento y las correcciones positivas, se fortalece la confianza del estudiante y se favorece el desarrollo de sus habilidades de lectoescritura.</w:t>
      </w:r>
    </w:p>
    <w:p w14:paraId="3144E13A" w14:textId="77777777" w:rsidR="00D117D7" w:rsidRDefault="00D117D7"/>
    <w:sectPr w:rsidR="00D117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C143F"/>
    <w:multiLevelType w:val="hybridMultilevel"/>
    <w:tmpl w:val="F7B0E7E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965FF2"/>
    <w:multiLevelType w:val="hybridMultilevel"/>
    <w:tmpl w:val="0D885B5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7770367">
    <w:abstractNumId w:val="0"/>
  </w:num>
  <w:num w:numId="2" w16cid:durableId="1162889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7D7"/>
    <w:rsid w:val="00210631"/>
    <w:rsid w:val="003E7836"/>
    <w:rsid w:val="00CF44CF"/>
    <w:rsid w:val="00D117D7"/>
    <w:rsid w:val="00EC1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AAEC0"/>
  <w15:chartTrackingRefBased/>
  <w15:docId w15:val="{7D9B73BD-E686-4243-AAB4-0AF1531D7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1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1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1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1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1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1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1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1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1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1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1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1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17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17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17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17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17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17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1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1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1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1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1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17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17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17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1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17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17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418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Matarrita Medina</dc:creator>
  <cp:keywords/>
  <dc:description/>
  <cp:lastModifiedBy>Paola Matarrita Medina</cp:lastModifiedBy>
  <cp:revision>2</cp:revision>
  <dcterms:created xsi:type="dcterms:W3CDTF">2026-03-11T02:56:00Z</dcterms:created>
  <dcterms:modified xsi:type="dcterms:W3CDTF">2026-03-11T02:56:00Z</dcterms:modified>
</cp:coreProperties>
</file>