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Database Normalisation Explanations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1st Normal Form (1NF)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a table to be in the 1NF, it should conform to these 4 rules: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</w:t>
        <w:tab/>
        <w:t xml:space="preserve">It should have single (atomic) valued attributes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</w:t>
        <w:tab/>
        <w:t xml:space="preserve">Values stored in a column should be of the same domain (datatype)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</w:t>
        <w:tab/>
        <w:t xml:space="preserve">All the columns in the table should have unique names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</w:t>
        <w:tab/>
        <w:t xml:space="preserve">Finally, the order of the columns in the table does not matter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2nd Normal Form (2NF)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a table to be in the 2NF, it should conform to these 2 rules: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</w:t>
        <w:tab/>
        <w:t xml:space="preserve">It should be in 1NF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</w:t>
        <w:tab/>
        <w:t xml:space="preserve">It should not have partial dependency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(Partial Dependency: where an attribute in a table depends on only a part of the primary key and not the whole key)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3rd Normal Form (3NF)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a table to be in the 3NF, it should conform to these 2 rules: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</w:t>
        <w:tab/>
        <w:t xml:space="preserve">It should be in 2NF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</w:t>
        <w:tab/>
        <w:t xml:space="preserve">It does not have transitive dependency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(Transient Dependency: where a non-prime key column depends on another non-prime column rather than depending on the prime key column)  In other words:  an attribute should depend on the key, the whole key and nothing but the key,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