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Quarterly metrics table fixture.</w:t>
      </w:r>
    </w:p>
    <w:tbl>
      <w:tr>
        <w:tc>
          <w:p>
            <w:r>
              <w:t>Metric</w:t>
            </w:r>
          </w:p>
        </w:tc>
        <w:tc>
          <w:p>
            <w:r>
              <w:t>Value</w:t>
            </w:r>
          </w:p>
        </w:tc>
      </w:tr>
      <w:tr>
        <w:tc>
          <w:p>
            <w:r>
              <w:t>Latency ms</w:t>
            </w:r>
          </w:p>
        </w:tc>
        <w:tc>
          <w:p>
            <w:r>
              <w:t>42</w:t>
            </w:r>
          </w:p>
        </w:tc>
      </w:tr>
    </w:tbl>
  </w:body>
</w:document>
</file>

<file path=word/_rels/document.xml.rels><?xml version="1.0"?>
<Relationships xmlns="http://schemas.openxmlformats.org/package/2006/relationships">
  <Relationship Id="rIdImage" Type="http://schemas.openxmlformats.org/officeDocument/2006/relationships/image" Target="media/corpus.png"/>
</Relationships>
</file>