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分位数法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一、方法说明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 xml:space="preserve">概念含义 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分位数法，指通过对数据进行</w:t>
      </w:r>
      <w:r>
        <w:rPr>
          <w:rFonts w:eastAsia="等线" w:ascii="Arial" w:cs="Arial" w:hAnsi="Arial"/>
          <w:b w:val="true"/>
          <w:sz w:val="22"/>
        </w:rPr>
        <w:t>排序</w:t>
      </w:r>
      <w:r>
        <w:rPr>
          <w:rFonts w:eastAsia="等线" w:ascii="Arial" w:cs="Arial" w:hAnsi="Arial"/>
          <w:sz w:val="22"/>
        </w:rPr>
        <w:t>并且</w:t>
      </w:r>
      <w:r>
        <w:rPr>
          <w:rFonts w:eastAsia="等线" w:ascii="Arial" w:cs="Arial" w:hAnsi="Arial"/>
          <w:b w:val="true"/>
          <w:sz w:val="22"/>
        </w:rPr>
        <w:t xml:space="preserve"> N 等划分</w:t>
      </w:r>
      <w:r>
        <w:rPr>
          <w:rFonts w:eastAsia="等线" w:ascii="Arial" w:cs="Arial" w:hAnsi="Arial"/>
          <w:sz w:val="22"/>
        </w:rPr>
        <w:t>的方法，把数据划分为 N 个区域，产生得到 N-1 个 N 分位数。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 xml:space="preserve">数学原理 </w:t>
      </w:r>
      <w:bookmarkEnd w:id="2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52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中位数</w:t>
      </w:r>
      <w:r>
        <w:rPr>
          <w:rFonts w:eastAsia="等线" w:ascii="Arial" w:cs="Arial" w:hAnsi="Arial"/>
          <w:sz w:val="22"/>
        </w:rPr>
        <w:t>是分位数中最常见的一种，由于它把</w:t>
      </w:r>
      <w:r>
        <w:rPr>
          <w:rFonts w:eastAsia="等线" w:ascii="Arial" w:cs="Arial" w:hAnsi="Arial"/>
          <w:sz w:val="22"/>
          <w:u w:val="single"/>
        </w:rPr>
        <w:t>排序数列</w:t>
      </w:r>
      <w:r>
        <w:rPr>
          <w:rFonts w:eastAsia="等线" w:ascii="Arial" w:cs="Arial" w:hAnsi="Arial"/>
          <w:sz w:val="22"/>
        </w:rPr>
        <w:t>分成了</w:t>
      </w:r>
      <w:r>
        <w:rPr>
          <w:rFonts w:eastAsia="等线" w:ascii="Arial" w:cs="Arial" w:hAnsi="Arial"/>
          <w:b w:val="true"/>
          <w:sz w:val="22"/>
        </w:rPr>
        <w:t>相等的两部分</w:t>
      </w:r>
      <w:r>
        <w:rPr>
          <w:rFonts w:eastAsia="等线" w:ascii="Arial" w:cs="Arial" w:hAnsi="Arial"/>
          <w:sz w:val="22"/>
        </w:rPr>
        <w:t>，因此也被称为</w:t>
      </w:r>
      <w:r>
        <w:rPr>
          <w:rFonts w:eastAsia="等线" w:ascii="Arial" w:cs="Arial" w:hAnsi="Arial"/>
          <w:b w:val="true"/>
          <w:sz w:val="22"/>
        </w:rPr>
        <w:t>二分位数。</w:t>
      </w:r>
    </w:p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提示</w:t>
            </w:r>
            <w:r>
              <w:rPr>
                <w:rFonts w:eastAsia="等线" w:ascii="Arial" w:cs="Arial" w:hAnsi="Arial"/>
                <w:sz w:val="22"/>
              </w:rPr>
              <w:t>：中位数是按顺序排序的一组数据中居于中间位置的数，代表一个样本、种群或概率分布中的一个数值，它可将数值集合划分为相等的上下两部分。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而其他分位数（例如三分位数、四分数等）的原理与中位数一致，将按从小到大排序的数值集合，划分为相等的 N 个部分，得到的 N-1 个分位数则分别是这 N 个部分的分界值。</w:t>
      </w:r>
    </w:p>
    <w:tbl>
      <w:tblPr>
        <w:tblW w:w="0" w:type="auto"/>
        <w:tblInd w:w="0" w:type="dxa"/>
        <w:tblBorders>
          <w:top w:val="single" w:color="fbbfbc"/>
          <w:left w:val="single" w:color="fbbfbc"/>
          <w:bottom w:val="single" w:color="fbbfbc"/>
          <w:right w:val="single" w:color="fbbfbc"/>
          <w:insideH w:val="single" w:color="fbbfbc"/>
          <w:insideV w:val="single" w:color="fbbfbc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ef1f1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优势</w:t>
            </w:r>
            <w:r>
              <w:rPr>
                <w:rFonts w:eastAsia="等线" w:ascii="Arial" w:cs="Arial" w:hAnsi="Arial"/>
                <w:sz w:val="22"/>
              </w:rPr>
              <w:t>：由于分位数是以它们在所有数值中所处的位置，来确定的全体数值的代表值，不受数值中极大值极小值的影响， 从而在一定在程度上提高了对分布数列的代表性。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 xml:space="preserve">主要作用 </w:t>
      </w:r>
      <w:bookmarkEnd w:id="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5909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 xml:space="preserve">1）数据分类 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由于排序的数列被划分为了相等的 N 个部分，因此可以根据这 N 个部分给数据进行分类，为不同部分的数据贴上不同的属性和“标签”。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 xml:space="preserve">2）辅助判断 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由于分位数即是相等的 N 个部分的分界值，它们是全体数值的代表性数值，因此可以将某一数据与它们进行比较，判断这一数据在全体数值中所处的位置。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 xml:space="preserve">操作步骤 </w:t>
      </w:r>
      <w:bookmarkEnd w:id="6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860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 xml:space="preserve">1）步骤一：统计排序 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统计数列中的所有数据，将其从小到大进行排序。 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13620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 xml:space="preserve">2）步骤二：等分序列 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以三分位数为例，将排序好的序列划分成比重相等的小中大三个区域，得到两个分位数 a，b（a 和 b 同时作为阈值，a为小中区域的分界值，b为中大两个区域的分界值）。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3525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 xml:space="preserve">3）步骤三：判断数据所处位置 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以三分位数为例，将某一数据与两个分位数 a=3.5，b=6.5 进行比较，从而判断其在整体数据中所处的位置。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a）如，7.5 &gt; b ； 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7.5 在整体数据中处于“大”这个区域。 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b）如，b &gt; 5 &gt; a ； 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5 在整体数据中处于“中”这个区域。  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c）如，0.5 &lt; a ； 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0.5 在整体数据中处于“小”这个区域。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b w:val="true"/>
          <w:sz w:val="36"/>
        </w:rPr>
        <w:t>二、方法应用</w:t>
      </w:r>
      <w:bookmarkEnd w:id="1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 xml:space="preserve">交易经验 </w:t>
      </w:r>
      <w:bookmarkEnd w:id="1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交易背景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越来越多的</w:t>
      </w:r>
      <w:r>
        <w:rPr>
          <w:rFonts w:eastAsia="等线" w:ascii="Arial" w:cs="Arial" w:hAnsi="Arial"/>
          <w:sz w:val="22"/>
        </w:rPr>
        <w:t>北向资金</w:t>
      </w:r>
      <w:r>
        <w:rPr>
          <w:rFonts w:eastAsia="等线" w:ascii="Arial" w:cs="Arial" w:hAnsi="Arial"/>
          <w:sz w:val="22"/>
        </w:rPr>
        <w:t>购买 A 股，目前北向资金的成交额占比已维持在 10% 以上，影响力日渐加大。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而从历史数据来看，在北向资金单日净流入值为正的情况下，未来几天市场的平均涨跌幅以及上涨概率都有不错的表现。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在这种背景下，市场上逐渐诞生了一个交易经验，那就是北向资金大幅流入时，未来平均收益较高；北向资金大幅流出时，未来平均收益较低甚至为负。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因此，有一些声音认为，我们可以”抄北向资金的作业“，即跟随北向资金的动向进行买入卖出。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交易想法</w:t>
      </w:r>
      <w:bookmarkEnd w:id="13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在北向资金大幅流入时，跟着买入</w:t>
            </w:r>
            <w:r>
              <w:rPr>
                <w:rFonts w:eastAsia="等线" w:ascii="Arial" w:cs="Arial" w:hAnsi="Arial"/>
                <w:sz w:val="22"/>
              </w:rPr>
              <w:t>；</w:t>
            </w:r>
            <w:r>
              <w:rPr>
                <w:rFonts w:eastAsia="等线" w:ascii="Arial" w:cs="Arial" w:hAnsi="Arial"/>
                <w:b w:val="true"/>
                <w:sz w:val="22"/>
              </w:rPr>
              <w:t>在北向资金大幅流出时，跟着卖出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 xml:space="preserve">问题描述 </w:t>
      </w:r>
      <w:bookmarkEnd w:id="14"/>
    </w:p>
    <w:tbl>
      <w:tblPr>
        <w:tblW w:w="0" w:type="auto"/>
        <w:tblInd w:w="0" w:type="dxa"/>
        <w:tblBorders>
          <w:top w:val="single" w:color="fbbfbc"/>
          <w:left w:val="single" w:color="fbbfbc"/>
          <w:bottom w:val="single" w:color="fbbfbc"/>
          <w:right w:val="single" w:color="fbbfbc"/>
          <w:insideH w:val="single" w:color="fbbfbc"/>
          <w:insideV w:val="single" w:color="fbbfbc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ef1f1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大幅流入</w:t>
            </w:r>
            <w:r>
              <w:rPr>
                <w:rFonts w:eastAsia="等线" w:ascii="Arial" w:cs="Arial" w:hAnsi="Arial"/>
                <w:sz w:val="22"/>
              </w:rPr>
              <w:t>和</w:t>
            </w:r>
            <w:r>
              <w:rPr>
                <w:rFonts w:eastAsia="等线" w:ascii="Arial" w:cs="Arial" w:hAnsi="Arial"/>
                <w:b w:val="true"/>
                <w:sz w:val="22"/>
              </w:rPr>
              <w:t>大幅流出</w:t>
            </w:r>
            <w:r>
              <w:rPr>
                <w:rFonts w:eastAsia="等线" w:ascii="Arial" w:cs="Arial" w:hAnsi="Arial"/>
                <w:sz w:val="22"/>
              </w:rPr>
              <w:t>的</w:t>
            </w:r>
            <w:r>
              <w:rPr>
                <w:rFonts w:eastAsia="等线" w:ascii="Arial" w:cs="Arial" w:hAnsi="Arial"/>
                <w:b w:val="true"/>
                <w:sz w:val="22"/>
              </w:rPr>
              <w:t>判断标准</w:t>
            </w:r>
            <w:r>
              <w:rPr>
                <w:rFonts w:eastAsia="等线" w:ascii="Arial" w:cs="Arial" w:hAnsi="Arial"/>
                <w:sz w:val="22"/>
              </w:rPr>
              <w:t>是什么？（我们</w:t>
            </w:r>
            <w:r>
              <w:rPr>
                <w:rFonts w:eastAsia="等线" w:ascii="Arial" w:cs="Arial" w:hAnsi="Arial"/>
                <w:b w:val="true"/>
                <w:sz w:val="22"/>
              </w:rPr>
              <w:t>如何定义</w:t>
            </w:r>
            <w:r>
              <w:rPr>
                <w:rFonts w:eastAsia="等线" w:ascii="Arial" w:cs="Arial" w:hAnsi="Arial"/>
                <w:sz w:val="22"/>
              </w:rPr>
              <w:t>”大幅流入”和“大幅流出”呢？）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color w:val="3370ff"/>
          <w:sz w:val="32"/>
        </w:rPr>
        <w:t xml:space="preserve">7. </w:t>
      </w:r>
      <w:r>
        <w:rPr>
          <w:rFonts w:eastAsia="等线" w:ascii="Arial" w:cs="Arial" w:hAnsi="Arial"/>
          <w:b w:val="true"/>
          <w:sz w:val="32"/>
        </w:rPr>
        <w:t xml:space="preserve">量化思路 </w:t>
      </w:r>
      <w:bookmarkEnd w:id="15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sz w:val="28"/>
        </w:rPr>
        <w:t>难点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流入和流出我们可以很轻松地找到数值 0 作为它们的分界线，因为对于净流入值，正的代表流入负的代表流出，这个是毋庸置疑的。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但是对于”大幅流入”和“大幅流出”，我们</w:t>
      </w:r>
      <w:r>
        <w:rPr>
          <w:rFonts w:eastAsia="等线" w:ascii="Arial" w:cs="Arial" w:hAnsi="Arial"/>
          <w:b w:val="true"/>
          <w:sz w:val="22"/>
        </w:rPr>
        <w:t>难以找到一个固定的具体数值来定义它的标准</w:t>
      </w:r>
      <w:r>
        <w:rPr>
          <w:rFonts w:eastAsia="等线" w:ascii="Arial" w:cs="Arial" w:hAnsi="Arial"/>
          <w:sz w:val="22"/>
        </w:rPr>
        <w:t>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b w:val="true"/>
          <w:sz w:val="28"/>
        </w:rPr>
        <w:t>原因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数据是处于不断地变化中的，</w:t>
      </w:r>
      <w:r>
        <w:rPr>
          <w:rFonts w:eastAsia="等线" w:ascii="Arial" w:cs="Arial" w:hAnsi="Arial"/>
          <w:b w:val="true"/>
          <w:sz w:val="22"/>
        </w:rPr>
        <w:t>使用固定的数值来判断流入流出的幅度很容易失效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例如在 2014 ~ 2016 年期间，北向资金的累计净买入增长缓慢，而在 2016 年之后快速增长。那么 2014 年时的当日净流入值 10 亿放在 2018 年来看，就已经不可同日而语了，如果我们仍用同一个固定数值作为大幅流入的标准，这个标准也会失去参考性。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8612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sz w:val="28"/>
        </w:rPr>
        <w:t>思路</w:t>
      </w:r>
      <w:bookmarkEnd w:id="18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既然固定的数值容易失效，而且判断当天的数据情况需要以历史数据为参考依据，那么我们是否可以把思路转向判断当天数据在历史数据中的位置呢？</w:t>
            </w:r>
          </w:p>
        </w:tc>
      </w:tr>
    </w:tbl>
    <w:p/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从判断具体数值的大小，转变为判断其在历史数据中的位置</w:t>
            </w:r>
            <w:r>
              <w:rPr>
                <w:rFonts w:eastAsia="等线" w:ascii="Arial" w:cs="Arial" w:hAnsi="Arial"/>
                <w:sz w:val="22"/>
              </w:rPr>
              <w:t>。以此定义大幅流入和大幅流出的标准</w:t>
            </w:r>
            <w:r>
              <w:rPr>
                <w:rFonts w:eastAsia="等线" w:ascii="Arial" w:cs="Arial" w:hAnsi="Arial"/>
                <w:b w:val="true"/>
                <w:sz w:val="22"/>
              </w:rPr>
              <w:t>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在统计学中，分位数常用来反映其在所有数据中所处的位置，且具有数据分类和辅助判断的作用。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而投资中的情绪和动作大体可以分为三种：</w:t>
      </w:r>
      <w:r>
        <w:rPr>
          <w:rFonts w:eastAsia="等线" w:ascii="Arial" w:cs="Arial" w:hAnsi="Arial"/>
          <w:b w:val="true"/>
          <w:sz w:val="22"/>
        </w:rPr>
        <w:t>乐观买入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b w:val="true"/>
          <w:sz w:val="22"/>
        </w:rPr>
        <w:t>中性观望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b w:val="true"/>
          <w:sz w:val="22"/>
        </w:rPr>
        <w:t>悲观卖出</w:t>
      </w:r>
      <w:r>
        <w:rPr>
          <w:rFonts w:eastAsia="等线" w:ascii="Arial" w:cs="Arial" w:hAnsi="Arial"/>
          <w:sz w:val="22"/>
        </w:rPr>
        <w:t>。其中的乐观买入和悲观卖出，可以对应大幅流入买入，大幅流出卖出的交易想法。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因此，可使用</w:t>
      </w:r>
      <w:r>
        <w:rPr>
          <w:rFonts w:eastAsia="等线" w:ascii="Arial" w:cs="Arial" w:hAnsi="Arial"/>
          <w:b w:val="true"/>
          <w:sz w:val="22"/>
        </w:rPr>
        <w:t>分位数法</w:t>
      </w:r>
      <w:r>
        <w:rPr>
          <w:rFonts w:eastAsia="等线" w:ascii="Arial" w:cs="Arial" w:hAnsi="Arial"/>
          <w:sz w:val="22"/>
        </w:rPr>
        <w:t>中的</w:t>
      </w:r>
      <w:r>
        <w:rPr>
          <w:rFonts w:eastAsia="等线" w:ascii="Arial" w:cs="Arial" w:hAnsi="Arial"/>
          <w:b w:val="true"/>
          <w:sz w:val="22"/>
        </w:rPr>
        <w:t>三分位数法</w:t>
      </w:r>
      <w:r>
        <w:rPr>
          <w:rFonts w:eastAsia="等线" w:ascii="Arial" w:cs="Arial" w:hAnsi="Arial"/>
          <w:sz w:val="22"/>
        </w:rPr>
        <w:t>，将排序后的指标历史数据划分成比重相等的</w:t>
      </w:r>
      <w:r>
        <w:rPr>
          <w:rFonts w:eastAsia="等线" w:ascii="Arial" w:cs="Arial" w:hAnsi="Arial"/>
          <w:b w:val="true"/>
          <w:sz w:val="22"/>
        </w:rPr>
        <w:t>上中下</w:t>
      </w:r>
      <w:r>
        <w:rPr>
          <w:rFonts w:eastAsia="等线" w:ascii="Arial" w:cs="Arial" w:hAnsi="Arial"/>
          <w:sz w:val="22"/>
        </w:rPr>
        <w:t>三个区域，以此来对应投资中的三种情绪，并且作为大幅流入还是大幅流出的判断标准。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那么该指标当日数据落在哪个区域，即代表它在历史数据中是处于哪个位置，对应属于哪种投资情绪，是属于大幅流入还是大幅流出。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color w:val="3370ff"/>
          <w:sz w:val="32"/>
        </w:rPr>
        <w:t xml:space="preserve">8. </w:t>
      </w:r>
      <w:r>
        <w:rPr>
          <w:rFonts w:eastAsia="等线" w:ascii="Arial" w:cs="Arial" w:hAnsi="Arial"/>
          <w:b w:val="true"/>
          <w:sz w:val="32"/>
        </w:rPr>
        <w:t xml:space="preserve">场景应用 </w:t>
      </w:r>
      <w:bookmarkEnd w:id="19"/>
    </w:p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提示：</w:t>
            </w:r>
            <w:r>
              <w:rPr>
                <w:rFonts w:eastAsia="等线" w:ascii="Arial" w:cs="Arial" w:hAnsi="Arial"/>
                <w:sz w:val="22"/>
              </w:rPr>
              <w:t>以下示例以今日交易日 2022-05-17 为例，假设北向资金的所有净流入历史数据为过往8个月，即截止到 2021-09-16。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收盘后，统计当日（2022-05-17）之前所有北向资金的净流入值数据，将其</w:t>
      </w:r>
      <w:r>
        <w:rPr>
          <w:rFonts w:eastAsia="等线" w:ascii="Arial" w:cs="Arial" w:hAnsi="Arial"/>
          <w:b w:val="true"/>
          <w:sz w:val="22"/>
        </w:rPr>
        <w:t>从小到大进行排序。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3365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三等划分序列，将排序好的历史净流入值数据划分成比重相等的三个区域，得到两个分位数 a 和 b。（这两个分位数即可作为北向资金净流入值历史数据的代表性数值。）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2897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将当日的净流入值与这两个分位数进行比较，即可知道当日数据在历史中所处的位置。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4325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sz w:val="28"/>
        </w:rPr>
        <w:t>1）当日净流入值 &gt; b：</w:t>
      </w:r>
      <w:bookmarkEnd w:id="20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例如当日净流入值为 </w:t>
      </w:r>
      <w:r>
        <w:rPr>
          <w:rFonts w:eastAsia="等线" w:ascii="Arial" w:cs="Arial" w:hAnsi="Arial"/>
          <w:b w:val="true"/>
          <w:color w:val="d83931"/>
          <w:sz w:val="22"/>
        </w:rPr>
        <w:t>40</w:t>
      </w:r>
      <w:r>
        <w:rPr>
          <w:rFonts w:eastAsia="等线" w:ascii="Arial" w:cs="Arial" w:hAnsi="Arial"/>
          <w:sz w:val="22"/>
        </w:rPr>
        <w:t xml:space="preserve"> 亿，40</w:t>
      </w:r>
      <w:r>
        <w:rPr>
          <w:rFonts w:eastAsia="等线" w:ascii="Arial" w:cs="Arial" w:hAnsi="Arial"/>
          <w:b w:val="true"/>
          <w:sz w:val="22"/>
        </w:rPr>
        <w:t xml:space="preserve"> &gt; b</w:t>
      </w:r>
      <w:r>
        <w:rPr>
          <w:rFonts w:eastAsia="等线" w:ascii="Arial" w:cs="Arial" w:hAnsi="Arial"/>
          <w:sz w:val="22"/>
        </w:rPr>
        <w:t xml:space="preserve">； 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当日的净流入值在历史数据中处于小中大的</w:t>
      </w:r>
      <w:r>
        <w:rPr>
          <w:rFonts w:eastAsia="等线" w:ascii="Arial" w:cs="Arial" w:hAnsi="Arial"/>
          <w:b w:val="true"/>
          <w:sz w:val="22"/>
        </w:rPr>
        <w:t>“大”</w:t>
      </w:r>
      <w:r>
        <w:rPr>
          <w:rFonts w:eastAsia="等线" w:ascii="Arial" w:cs="Arial" w:hAnsi="Arial"/>
          <w:sz w:val="22"/>
        </w:rPr>
        <w:t>这个区域，即从历史上来看，它属于</w:t>
      </w:r>
      <w:r>
        <w:rPr>
          <w:rFonts w:eastAsia="等线" w:ascii="Arial" w:cs="Arial" w:hAnsi="Arial"/>
          <w:b w:val="true"/>
          <w:sz w:val="22"/>
        </w:rPr>
        <w:t>净流入值数值较大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b w:val="true"/>
          <w:sz w:val="22"/>
        </w:rPr>
        <w:t>流入较大</w:t>
      </w:r>
      <w:r>
        <w:rPr>
          <w:rFonts w:eastAsia="等线" w:ascii="Arial" w:cs="Arial" w:hAnsi="Arial"/>
          <w:sz w:val="22"/>
        </w:rPr>
        <w:t xml:space="preserve">的区域。 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对应的投资情绪是</w:t>
      </w:r>
      <w:r>
        <w:rPr>
          <w:rFonts w:eastAsia="等线" w:ascii="Arial" w:cs="Arial" w:hAnsi="Arial"/>
          <w:b w:val="true"/>
          <w:sz w:val="22"/>
        </w:rPr>
        <w:t>乐观情绪</w:t>
      </w:r>
      <w:r>
        <w:rPr>
          <w:rFonts w:eastAsia="等线" w:ascii="Arial" w:cs="Arial" w:hAnsi="Arial"/>
          <w:sz w:val="22"/>
        </w:rPr>
        <w:t>，执行</w:t>
      </w:r>
      <w:r>
        <w:rPr>
          <w:rFonts w:eastAsia="等线" w:ascii="Arial" w:cs="Arial" w:hAnsi="Arial"/>
          <w:b w:val="true"/>
          <w:sz w:val="22"/>
        </w:rPr>
        <w:t>下日买入</w:t>
      </w:r>
      <w:r>
        <w:rPr>
          <w:rFonts w:eastAsia="等线" w:ascii="Arial" w:cs="Arial" w:hAnsi="Arial"/>
          <w:sz w:val="22"/>
        </w:rPr>
        <w:t xml:space="preserve">的操作。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1" w:id="21"/>
      <w:r>
        <w:rPr>
          <w:rFonts w:eastAsia="等线" w:ascii="Arial" w:cs="Arial" w:hAnsi="Arial"/>
          <w:b w:val="true"/>
          <w:sz w:val="28"/>
        </w:rPr>
        <w:t>2）b &gt; 当日净流入值 &gt; a：</w:t>
      </w:r>
      <w:bookmarkEnd w:id="21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例如当日净流入值为 </w:t>
      </w:r>
      <w:r>
        <w:rPr>
          <w:rFonts w:eastAsia="等线" w:ascii="Arial" w:cs="Arial" w:hAnsi="Arial"/>
          <w:b w:val="true"/>
          <w:color w:val="8f959e"/>
          <w:sz w:val="22"/>
        </w:rPr>
        <w:t>20</w:t>
      </w:r>
      <w:r>
        <w:rPr>
          <w:rFonts w:eastAsia="等线" w:ascii="Arial" w:cs="Arial" w:hAnsi="Arial"/>
          <w:sz w:val="22"/>
        </w:rPr>
        <w:t xml:space="preserve"> 亿，</w:t>
      </w:r>
      <w:r>
        <w:rPr>
          <w:rFonts w:eastAsia="等线" w:ascii="Arial" w:cs="Arial" w:hAnsi="Arial"/>
          <w:b w:val="true"/>
          <w:sz w:val="22"/>
        </w:rPr>
        <w:t>b &gt; 20 &gt; a</w:t>
      </w:r>
      <w:r>
        <w:rPr>
          <w:rFonts w:eastAsia="等线" w:ascii="Arial" w:cs="Arial" w:hAnsi="Arial"/>
          <w:sz w:val="22"/>
        </w:rPr>
        <w:t xml:space="preserve">； 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当日的净流入值在历史数据中处于小中大的</w:t>
      </w:r>
      <w:r>
        <w:rPr>
          <w:rFonts w:eastAsia="等线" w:ascii="Arial" w:cs="Arial" w:hAnsi="Arial"/>
          <w:b w:val="true"/>
          <w:sz w:val="22"/>
        </w:rPr>
        <w:t>“中”</w:t>
      </w:r>
      <w:r>
        <w:rPr>
          <w:rFonts w:eastAsia="等线" w:ascii="Arial" w:cs="Arial" w:hAnsi="Arial"/>
          <w:sz w:val="22"/>
        </w:rPr>
        <w:t>这个区域，即从历史上来看，它属于</w:t>
      </w:r>
      <w:r>
        <w:rPr>
          <w:rFonts w:eastAsia="等线" w:ascii="Arial" w:cs="Arial" w:hAnsi="Arial"/>
          <w:b w:val="true"/>
          <w:sz w:val="22"/>
        </w:rPr>
        <w:t>净流入值数值中等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b w:val="true"/>
          <w:sz w:val="22"/>
        </w:rPr>
        <w:t>流入流出均较小</w:t>
      </w:r>
      <w:r>
        <w:rPr>
          <w:rFonts w:eastAsia="等线" w:ascii="Arial" w:cs="Arial" w:hAnsi="Arial"/>
          <w:sz w:val="22"/>
        </w:rPr>
        <w:t xml:space="preserve">的区域。 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对应的投资情绪是</w:t>
      </w:r>
      <w:r>
        <w:rPr>
          <w:rFonts w:eastAsia="等线" w:ascii="Arial" w:cs="Arial" w:hAnsi="Arial"/>
          <w:b w:val="true"/>
          <w:sz w:val="22"/>
        </w:rPr>
        <w:t>中性情绪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b w:val="true"/>
          <w:sz w:val="22"/>
        </w:rPr>
        <w:t>下日观望</w:t>
      </w:r>
      <w:r>
        <w:rPr>
          <w:rFonts w:eastAsia="等线" w:ascii="Arial" w:cs="Arial" w:hAnsi="Arial"/>
          <w:sz w:val="22"/>
        </w:rPr>
        <w:t xml:space="preserve">。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</w:rPr>
        <w:t>3）当日净流入值 &lt; a：</w:t>
      </w:r>
      <w:bookmarkEnd w:id="22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例如当日净流入值为 </w:t>
      </w:r>
      <w:r>
        <w:rPr>
          <w:rFonts w:eastAsia="等线" w:ascii="Arial" w:cs="Arial" w:hAnsi="Arial"/>
          <w:b w:val="true"/>
          <w:color w:val="2ea121"/>
          <w:sz w:val="22"/>
        </w:rPr>
        <w:t>-10</w:t>
      </w:r>
      <w:r>
        <w:rPr>
          <w:rFonts w:eastAsia="等线" w:ascii="Arial" w:cs="Arial" w:hAnsi="Arial"/>
          <w:sz w:val="22"/>
        </w:rPr>
        <w:t xml:space="preserve"> 亿，</w:t>
      </w:r>
      <w:r>
        <w:rPr>
          <w:rFonts w:eastAsia="等线" w:ascii="Arial" w:cs="Arial" w:hAnsi="Arial"/>
          <w:b w:val="true"/>
          <w:sz w:val="22"/>
        </w:rPr>
        <w:t>-10 &lt; a；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当日的净流入值在历史数据中处于小中大的</w:t>
      </w:r>
      <w:r>
        <w:rPr>
          <w:rFonts w:eastAsia="等线" w:ascii="Arial" w:cs="Arial" w:hAnsi="Arial"/>
          <w:b w:val="true"/>
          <w:sz w:val="22"/>
        </w:rPr>
        <w:t>“下”</w:t>
      </w:r>
      <w:r>
        <w:rPr>
          <w:rFonts w:eastAsia="等线" w:ascii="Arial" w:cs="Arial" w:hAnsi="Arial"/>
          <w:sz w:val="22"/>
        </w:rPr>
        <w:t>这个区域，即从历史上来看，它属于</w:t>
      </w:r>
      <w:r>
        <w:rPr>
          <w:rFonts w:eastAsia="等线" w:ascii="Arial" w:cs="Arial" w:hAnsi="Arial"/>
          <w:b w:val="true"/>
          <w:sz w:val="22"/>
        </w:rPr>
        <w:t>净流入值数值较小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b w:val="true"/>
          <w:sz w:val="22"/>
        </w:rPr>
        <w:t>流出较大</w:t>
      </w:r>
      <w:r>
        <w:rPr>
          <w:rFonts w:eastAsia="等线" w:ascii="Arial" w:cs="Arial" w:hAnsi="Arial"/>
          <w:sz w:val="22"/>
        </w:rPr>
        <w:t xml:space="preserve">的区域。 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对应的投资情绪是</w:t>
      </w:r>
      <w:r>
        <w:rPr>
          <w:rFonts w:eastAsia="等线" w:ascii="Arial" w:cs="Arial" w:hAnsi="Arial"/>
          <w:b w:val="true"/>
          <w:sz w:val="22"/>
        </w:rPr>
        <w:t>悲观情绪</w:t>
      </w:r>
      <w:r>
        <w:rPr>
          <w:rFonts w:eastAsia="等线" w:ascii="Arial" w:cs="Arial" w:hAnsi="Arial"/>
          <w:sz w:val="22"/>
        </w:rPr>
        <w:t>，执行</w:t>
      </w:r>
      <w:r>
        <w:rPr>
          <w:rFonts w:eastAsia="等线" w:ascii="Arial" w:cs="Arial" w:hAnsi="Arial"/>
          <w:b w:val="true"/>
          <w:sz w:val="22"/>
        </w:rPr>
        <w:t>下日卖出</w:t>
      </w:r>
      <w:r>
        <w:rPr>
          <w:rFonts w:eastAsia="等线" w:ascii="Arial" w:cs="Arial" w:hAnsi="Arial"/>
          <w:sz w:val="22"/>
        </w:rPr>
        <w:t xml:space="preserve">的操作。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3" w:id="23"/>
      <w:r>
        <w:rPr>
          <w:rFonts w:eastAsia="等线" w:ascii="Arial" w:cs="Arial" w:hAnsi="Arial"/>
          <w:b w:val="true"/>
          <w:sz w:val="36"/>
        </w:rPr>
        <w:t>三、总结延伸</w:t>
      </w:r>
      <w:bookmarkEnd w:id="2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color w:val="3370ff"/>
          <w:sz w:val="32"/>
        </w:rPr>
        <w:t xml:space="preserve">9. </w:t>
      </w:r>
      <w:r>
        <w:rPr>
          <w:rFonts w:eastAsia="等线" w:ascii="Arial" w:cs="Arial" w:hAnsi="Arial"/>
          <w:b w:val="true"/>
          <w:sz w:val="32"/>
        </w:rPr>
        <w:t xml:space="preserve">总结： </w:t>
      </w:r>
      <w:bookmarkEnd w:id="24"/>
    </w:p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方法的核心是——</w:t>
            </w:r>
            <w:r>
              <w:rPr>
                <w:rFonts w:eastAsia="等线" w:ascii="Arial" w:cs="Arial" w:hAnsi="Arial"/>
                <w:b w:val="true"/>
                <w:sz w:val="22"/>
              </w:rPr>
              <w:t>判断当前数据在历史数据中的位置。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我们可以抓住这个核心，从而对其进行变式，以灵活适应实际情形。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5" w:id="25"/>
      <w:r>
        <w:rPr>
          <w:rFonts w:eastAsia="等线" w:ascii="Arial" w:cs="Arial" w:hAnsi="Arial"/>
          <w:color w:val="3370ff"/>
          <w:sz w:val="32"/>
        </w:rPr>
        <w:t xml:space="preserve">10. </w:t>
      </w:r>
      <w:r>
        <w:rPr>
          <w:rFonts w:eastAsia="等线" w:ascii="Arial" w:cs="Arial" w:hAnsi="Arial"/>
          <w:b w:val="true"/>
          <w:sz w:val="32"/>
        </w:rPr>
        <w:t xml:space="preserve">延伸： 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除了上述的方法应用之外。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1）还可以考虑使用其他分位数，进行更细的划分，将数据划分成更多的区域。例如十二分位数： 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将历史数据划分成 12 个区域，前 4 个区域代表的是乐观买入，中间 4 个区域代表的是中性观望，后 4 个区域代表的是悲观卖出。 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那么即可为买入卖出设置不同的买入档位、卖出档位。 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2）还可以考虑使用该方法对其他指标进行判断，作为买卖动作的参考依据。例如成交量、价格、分时量等。 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3）还可以考虑使用该方法跟随其他大型资金的动向，判断当前数值在历史数据中的位置，作为是选择买入、观望，还是卖出的参考依据。例如公募基金、产业基金、设备基金等。 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fff67a"/>
          <w:left w:val="single" w:color="fff67a"/>
          <w:bottom w:val="single" w:color="fff67a"/>
          <w:right w:val="single" w:color="fff67a"/>
          <w:insideH w:val="single" w:color="fff67a"/>
          <w:insideV w:val="single" w:color="fff67a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efff0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备注：分位数法</w:t>
            </w:r>
            <w:r>
              <w:rPr>
                <w:rFonts w:eastAsia="等线" w:ascii="Arial" w:cs="Arial" w:hAnsi="Arial"/>
                <w:sz w:val="22"/>
              </w:rPr>
              <w:t>可以反映某单一数据在整体数据中所处的位置，但由于它是通过得到几个代表性数值（分位数），进而得知这几个位置的数据水平。因此它并没有利用全部数据，无法反映整体数据的总体水平。如需反映数据的总体水平，还需结合平均数、方差、极差等数据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06823">
    <w:lvl>
      <w:numFmt w:val="bullet"/>
      <w:suff w:val="tab"/>
      <w:lvlText w:val="•"/>
      <w:rPr>
        <w:color w:val="3370ff"/>
      </w:rPr>
    </w:lvl>
  </w:abstractNum>
  <w:abstractNum w:abstractNumId="506824">
    <w:lvl>
      <w:numFmt w:val="bullet"/>
      <w:suff w:val="tab"/>
      <w:lvlText w:val="￮"/>
      <w:rPr>
        <w:color w:val="3370ff"/>
      </w:rPr>
    </w:lvl>
  </w:abstractNum>
  <w:abstractNum w:abstractNumId="506825">
    <w:lvl>
      <w:numFmt w:val="bullet"/>
      <w:suff w:val="tab"/>
      <w:lvlText w:val="•"/>
      <w:rPr>
        <w:color w:val="3370ff"/>
      </w:rPr>
    </w:lvl>
  </w:abstractNum>
  <w:abstractNum w:abstractNumId="506826">
    <w:lvl>
      <w:numFmt w:val="bullet"/>
      <w:suff w:val="tab"/>
      <w:lvlText w:val="￮"/>
      <w:rPr>
        <w:color w:val="3370ff"/>
      </w:rPr>
    </w:lvl>
  </w:abstractNum>
  <w:abstractNum w:abstractNumId="506827">
    <w:lvl>
      <w:numFmt w:val="bullet"/>
      <w:suff w:val="tab"/>
      <w:lvlText w:val="•"/>
      <w:rPr>
        <w:color w:val="3370ff"/>
      </w:rPr>
    </w:lvl>
  </w:abstractNum>
  <w:abstractNum w:abstractNumId="506828">
    <w:lvl>
      <w:numFmt w:val="bullet"/>
      <w:suff w:val="tab"/>
      <w:lvlText w:val="￮"/>
      <w:rPr>
        <w:color w:val="3370ff"/>
      </w:rPr>
    </w:lvl>
  </w:abstractNum>
  <w:abstractNum w:abstractNumId="506829">
    <w:lvl>
      <w:numFmt w:val="bullet"/>
      <w:suff w:val="tab"/>
      <w:lvlText w:val="•"/>
      <w:rPr>
        <w:color w:val="3370ff"/>
      </w:rPr>
    </w:lvl>
  </w:abstractNum>
  <w:abstractNum w:abstractNumId="506830">
    <w:lvl>
      <w:numFmt w:val="bullet"/>
      <w:suff w:val="tab"/>
      <w:lvlText w:val="•"/>
      <w:rPr>
        <w:color w:val="3370ff"/>
      </w:rPr>
    </w:lvl>
  </w:abstractNum>
  <w:abstractNum w:abstractNumId="506831">
    <w:lvl>
      <w:numFmt w:val="bullet"/>
      <w:suff w:val="tab"/>
      <w:lvlText w:val="•"/>
      <w:rPr>
        <w:color w:val="3370ff"/>
      </w:rPr>
    </w:lvl>
  </w:abstractNum>
  <w:abstractNum w:abstractNumId="506832">
    <w:lvl>
      <w:numFmt w:val="bullet"/>
      <w:suff w:val="tab"/>
      <w:lvlText w:val="•"/>
      <w:rPr>
        <w:color w:val="3370ff"/>
      </w:rPr>
    </w:lvl>
  </w:abstractNum>
  <w:abstractNum w:abstractNumId="506833">
    <w:lvl>
      <w:numFmt w:val="bullet"/>
      <w:suff w:val="tab"/>
      <w:lvlText w:val="•"/>
      <w:rPr>
        <w:color w:val="3370ff"/>
      </w:rPr>
    </w:lvl>
  </w:abstractNum>
  <w:abstractNum w:abstractNumId="506834">
    <w:lvl>
      <w:numFmt w:val="bullet"/>
      <w:suff w:val="tab"/>
      <w:lvlText w:val="•"/>
      <w:rPr>
        <w:color w:val="3370ff"/>
      </w:rPr>
    </w:lvl>
  </w:abstractNum>
  <w:abstractNum w:abstractNumId="506835">
    <w:lvl>
      <w:numFmt w:val="bullet"/>
      <w:suff w:val="tab"/>
      <w:lvlText w:val="•"/>
      <w:rPr>
        <w:color w:val="3370ff"/>
      </w:rPr>
    </w:lvl>
  </w:abstractNum>
  <w:abstractNum w:abstractNumId="506836">
    <w:lvl>
      <w:numFmt w:val="bullet"/>
      <w:suff w:val="tab"/>
      <w:lvlText w:val="•"/>
      <w:rPr>
        <w:color w:val="3370ff"/>
      </w:rPr>
    </w:lvl>
  </w:abstractNum>
  <w:abstractNum w:abstractNumId="506837">
    <w:lvl>
      <w:numFmt w:val="bullet"/>
      <w:suff w:val="tab"/>
      <w:lvlText w:val="•"/>
      <w:rPr>
        <w:color w:val="3370ff"/>
      </w:rPr>
    </w:lvl>
  </w:abstractNum>
  <w:abstractNum w:abstractNumId="506838">
    <w:lvl>
      <w:numFmt w:val="bullet"/>
      <w:suff w:val="tab"/>
      <w:lvlText w:val="•"/>
      <w:rPr>
        <w:color w:val="3370ff"/>
      </w:rPr>
    </w:lvl>
  </w:abstractNum>
  <w:abstractNum w:abstractNumId="506839">
    <w:lvl>
      <w:numFmt w:val="bullet"/>
      <w:suff w:val="tab"/>
      <w:lvlText w:val="￮"/>
      <w:rPr>
        <w:color w:val="3370ff"/>
      </w:rPr>
    </w:lvl>
  </w:abstractNum>
  <w:abstractNum w:abstractNumId="506840">
    <w:lvl>
      <w:numFmt w:val="bullet"/>
      <w:suff w:val="tab"/>
      <w:lvlText w:val="￮"/>
      <w:rPr>
        <w:color w:val="3370ff"/>
      </w:rPr>
    </w:lvl>
  </w:abstractNum>
  <w:abstractNum w:abstractNumId="506841">
    <w:lvl>
      <w:numFmt w:val="bullet"/>
      <w:suff w:val="tab"/>
      <w:lvlText w:val="•"/>
      <w:rPr>
        <w:color w:val="3370ff"/>
      </w:rPr>
    </w:lvl>
  </w:abstractNum>
  <w:abstractNum w:abstractNumId="506842">
    <w:lvl>
      <w:numFmt w:val="bullet"/>
      <w:suff w:val="tab"/>
      <w:lvlText w:val="•"/>
      <w:rPr>
        <w:color w:val="3370ff"/>
      </w:rPr>
    </w:lvl>
  </w:abstractNum>
  <w:num w:numId="1">
    <w:abstractNumId w:val="506823"/>
  </w:num>
  <w:num w:numId="2">
    <w:abstractNumId w:val="506824"/>
  </w:num>
  <w:num w:numId="3">
    <w:abstractNumId w:val="506825"/>
  </w:num>
  <w:num w:numId="4">
    <w:abstractNumId w:val="506826"/>
  </w:num>
  <w:num w:numId="5">
    <w:abstractNumId w:val="506827"/>
  </w:num>
  <w:num w:numId="6">
    <w:abstractNumId w:val="506828"/>
  </w:num>
  <w:num w:numId="7">
    <w:abstractNumId w:val="506829"/>
  </w:num>
  <w:num w:numId="8">
    <w:abstractNumId w:val="506830"/>
  </w:num>
  <w:num w:numId="9">
    <w:abstractNumId w:val="506831"/>
  </w:num>
  <w:num w:numId="10">
    <w:abstractNumId w:val="506832"/>
  </w:num>
  <w:num w:numId="11">
    <w:abstractNumId w:val="506833"/>
  </w:num>
  <w:num w:numId="12">
    <w:abstractNumId w:val="506834"/>
  </w:num>
  <w:num w:numId="13">
    <w:abstractNumId w:val="506835"/>
  </w:num>
  <w:num w:numId="14">
    <w:abstractNumId w:val="506836"/>
  </w:num>
  <w:num w:numId="15">
    <w:abstractNumId w:val="506837"/>
  </w:num>
  <w:num w:numId="16">
    <w:abstractNumId w:val="506838"/>
  </w:num>
  <w:num w:numId="17">
    <w:abstractNumId w:val="506839"/>
  </w:num>
  <w:num w:numId="18">
    <w:abstractNumId w:val="506840"/>
  </w:num>
  <w:num w:numId="19">
    <w:abstractNumId w:val="506841"/>
  </w:num>
  <w:num w:numId="20">
    <w:abstractNumId w:val="50684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2025-05-12T17:28:31Z</dcterms:created>
  <dc:creator>Apache POI</dc:creator>
</cp:coreProperties>
</file>