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 xml:space="preserve"> 4. 代码框架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代码框架有什么用？</w:t>
      </w:r>
      <w:bookmarkEnd w:id="0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在正式课程中，想必你已经了解了该如何从零到一去编写一个策略了。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但对于量化新手而言，在开发策略时，还是会比较容易遇到问题。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当有了新想法时，却要花几个小时甚至几天的时间，实现从0-1的代码开发。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当想灵活切换单标的或多标的做回测时，却因为代码结构问题，导致修改起来非常的麻烦。</w:t>
            </w:r>
          </w:p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当想把测试好的代码搬上模拟交易或实盘交易时，却总是缺少一些功能要补充，比如符合交易所要求的T+1规则等。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为了避免以上问题，帮助你更高效地开发并应用策略到模拟交易及实盘交易中。我们给你提供了一个逻辑更为清晰、功能更加完善的</w:t>
      </w:r>
      <w:r>
        <w:rPr>
          <w:rFonts w:eastAsia="等线" w:ascii="Arial" w:cs="Arial" w:hAnsi="Arial"/>
          <w:b w:val="true"/>
          <w:sz w:val="22"/>
        </w:rPr>
        <w:t>代码框架</w:t>
      </w:r>
      <w:r>
        <w:rPr>
          <w:rFonts w:eastAsia="等线" w:ascii="Arial" w:cs="Arial" w:hAnsi="Arial"/>
          <w:sz w:val="22"/>
        </w:rPr>
        <w:t>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可以帮助你规避策略代码开发中的常见问题，把精力更多地聚焦在策略的核心逻辑上。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更快速地将</w:t>
            </w:r>
            <w:r>
              <w:rPr>
                <w:rFonts w:eastAsia="等线" w:ascii="Arial" w:cs="Arial" w:hAnsi="Arial"/>
                <w:b w:val="true"/>
                <w:sz w:val="22"/>
              </w:rPr>
              <w:t>新想法转化为策略代码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更灵活</w:t>
            </w:r>
            <w:r>
              <w:rPr>
                <w:rFonts w:eastAsia="等线" w:ascii="Arial" w:cs="Arial" w:hAnsi="Arial"/>
                <w:sz w:val="22"/>
              </w:rPr>
              <w:t>、高效</w:t>
            </w:r>
            <w:r>
              <w:rPr>
                <w:rFonts w:eastAsia="等线" w:ascii="Arial" w:cs="Arial" w:hAnsi="Arial"/>
                <w:sz w:val="22"/>
              </w:rPr>
              <w:t>地</w:t>
            </w:r>
            <w:r>
              <w:rPr>
                <w:rFonts w:eastAsia="等线" w:ascii="Arial" w:cs="Arial" w:hAnsi="Arial"/>
                <w:b w:val="true"/>
                <w:sz w:val="22"/>
              </w:rPr>
              <w:t>调试策略</w:t>
            </w:r>
            <w:r>
              <w:rPr>
                <w:rFonts w:eastAsia="等线" w:ascii="Arial" w:cs="Arial" w:hAnsi="Arial"/>
                <w:sz w:val="22"/>
              </w:rPr>
              <w:t>，包括回测标的，策略信号及交易信号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</w:t>
            </w:r>
            <w:r>
              <w:rPr>
                <w:rFonts w:eastAsia="等线" w:ascii="Arial" w:cs="Arial" w:hAnsi="Arial"/>
                <w:b w:val="true"/>
                <w:sz w:val="22"/>
              </w:rPr>
              <w:t>实现模拟与实盘交易</w:t>
            </w:r>
            <w:r>
              <w:rPr>
                <w:rFonts w:eastAsia="等线" w:ascii="Arial" w:cs="Arial" w:hAnsi="Arial"/>
                <w:sz w:val="22"/>
              </w:rPr>
              <w:t>（比如时间、资金、价格风控要求、T+1功能、订单取消功能等）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代码框架是什么？</w:t>
      </w:r>
      <w:bookmarkEnd w:id="1"/>
    </w:p>
    <w:tbl>
      <w:tblPr>
        <w:tblW w:w="0" w:type="auto"/>
        <w:tblInd w:w="0" w:type="dxa"/>
        <w:tblBorders>
          <w:top w:val="single" w:color="cdb2fa"/>
          <w:left w:val="single" w:color="cdb2fa"/>
          <w:bottom w:val="single" w:color="cdb2fa"/>
          <w:right w:val="single" w:color="cdb2fa"/>
          <w:insideH w:val="single" w:color="cdb2fa"/>
          <w:insideV w:val="single" w:color="cdb2fa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6f1f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代码框架是一个提前写好的代码模板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框架</w:t>
      </w:r>
      <w:r>
        <w:rPr>
          <w:rFonts w:eastAsia="等线" w:ascii="Arial" w:cs="Arial" w:hAnsi="Arial"/>
          <w:b w:val="true"/>
          <w:sz w:val="30"/>
        </w:rPr>
        <w:t>结构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代码框架由两种</w:t>
      </w:r>
      <w:r>
        <w:rPr>
          <w:rFonts w:eastAsia="等线" w:ascii="Arial" w:cs="Arial" w:hAnsi="Arial"/>
          <w:sz w:val="22"/>
        </w:rPr>
        <w:t>代码块</w:t>
      </w:r>
      <w:r>
        <w:rPr>
          <w:rFonts w:eastAsia="等线" w:ascii="Arial" w:cs="Arial" w:hAnsi="Arial"/>
          <w:sz w:val="22"/>
        </w:rPr>
        <w:t>组成，它们分别是：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通用代码</w:t>
      </w:r>
      <w:r>
        <w:rPr>
          <w:rFonts w:eastAsia="等线" w:ascii="Arial" w:cs="Arial" w:hAnsi="Arial"/>
          <w:sz w:val="22"/>
        </w:rPr>
        <w:t>：任何交易策略几乎都可以用到的代码内容；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特有代码：</w:t>
      </w:r>
      <w:r>
        <w:rPr>
          <w:rFonts w:eastAsia="等线" w:ascii="Arial" w:cs="Arial" w:hAnsi="Arial"/>
          <w:sz w:val="22"/>
        </w:rPr>
        <w:t>不同交易策略各自特有的代码内容。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362450" cy="38004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我将以 RSI 交易策略作为代示例代码，逐个模块来为你介绍代码框架的具体内容。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注意：本文档不会具体讲解代码细节，如果你有疑问，可以复习课程中的讲解内容</w:t>
            </w:r>
            <w:r>
              <w:rPr>
                <w:rFonts w:eastAsia="等线" w:ascii="Arial" w:cs="Arial" w:hAnsi="Arial"/>
                <w:sz w:val="22"/>
              </w:rPr>
              <w:t>，</w:t>
            </w:r>
            <w:r>
              <w:rPr>
                <w:rFonts w:eastAsia="等线" w:ascii="Arial" w:cs="Arial" w:hAnsi="Arial"/>
                <w:sz w:val="22"/>
              </w:rPr>
              <w:t>或者寻求助教老师的帮助。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编写方法</w:t>
      </w:r>
      <w:bookmarkEnd w:id="3"/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05325" cy="74771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hyperlink r:id="rId7">
        <w:r>
          <w:rPr>
            <w:rFonts w:eastAsia="等线" w:ascii="Arial" w:cs="Arial" w:hAnsi="Arial"/>
            <w:b w:val="true"/>
            <w:color w:val="3370ff"/>
            <w:sz w:val="30"/>
          </w:rPr>
          <w:t>框架代码（点击查看完整代码）</w:t>
        </w:r>
      </w:hyperlink>
      <w:bookmarkEnd w:id="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指标模块</w:t>
      </w:r>
      <w:bookmarkEnd w:id="5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" w:id="6"/>
      <w:r>
        <w:rPr>
          <w:rFonts w:eastAsia="等线" w:ascii="Arial" w:cs="Arial" w:hAnsi="Arial"/>
          <w:b w:val="true"/>
          <w:sz w:val="24"/>
        </w:rPr>
        <w:t>框架说明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在指标模块中，代码框架有两个</w:t>
      </w:r>
      <w:r>
        <w:rPr>
          <w:rFonts w:eastAsia="等线" w:ascii="Arial" w:cs="Arial" w:hAnsi="Arial"/>
          <w:sz w:val="22"/>
        </w:rPr>
        <w:t>代码块</w:t>
      </w:r>
      <w:r>
        <w:rPr>
          <w:rFonts w:eastAsia="等线" w:ascii="Arial" w:cs="Arial" w:hAnsi="Arial"/>
          <w:sz w:val="22"/>
        </w:rPr>
        <w:t>（标紫的为通用代码、橙色的为特有代码）：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cdb2fa"/>
        </w:rPr>
        <w:t>设置通用参数</w:t>
      </w:r>
      <w:r>
        <w:rPr>
          <w:rFonts w:eastAsia="等线" w:ascii="Arial" w:cs="Arial" w:hAnsi="Arial"/>
          <w:sz w:val="22"/>
        </w:rPr>
        <w:t>：通用性参数是指无论是你现在的交易策略，还是其他交易策略都可以用到的参数，比如：买卖数量、止盈止损的比例。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设置特有参数</w:t>
      </w:r>
      <w:r>
        <w:rPr>
          <w:rFonts w:eastAsia="等线" w:ascii="Arial" w:cs="Arial" w:hAnsi="Arial"/>
          <w:sz w:val="22"/>
        </w:rPr>
        <w:t>：指你当下的策略所特有的参数内容。如 RSI 交易策略中RSI 的买卖阈值。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162425" cy="36290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" w:id="7"/>
      <w:r>
        <w:rPr>
          <w:rFonts w:eastAsia="等线" w:ascii="Arial" w:cs="Arial" w:hAnsi="Arial"/>
          <w:b w:val="true"/>
          <w:sz w:val="24"/>
        </w:rPr>
        <w:t>代码内容</w:t>
      </w:r>
      <w:bookmarkEnd w:id="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cdb2fa"/>
              </w:rPr>
              <w:t># 设置每次买卖的数量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context.trade_size = 100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cdb2fa"/>
              </w:rPr>
              <w:t># 设置止盈比例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context.take_profit = 0.15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cdb2fa"/>
              </w:rPr>
              <w:t># 设置止损比例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context.stop_loss = 0.08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以上为每个策略都会用到的常用参数设置部分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接下来针对具体的策略，可以计算一些针对性的参数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------------------------------------------------------------------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># 初始化RSI指标上限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context.top = 70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># 初始化RSI指标下限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context.bot = 25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># 设置指标字典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context.rsi_dict = {}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># 设置RSI的计算周期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rsi_period = 6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># 遍历所有标的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># 计算周期为6的RSI指标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rsi = RSI(data.close, period=rsi_period, safediv=True)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  <w:shd w:fill="fed4a4"/>
              </w:rPr>
              <w:t xml:space="preserve"># 记录标的对应的RSI指标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context.rsi_dict[data] = {'rsi': rsi}</w:t>
            </w:r>
          </w:p>
        </w:tc>
      </w:tr>
    </w:tbl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3 ~ 8 行标</w:t>
      </w:r>
      <w:r>
        <w:rPr>
          <w:rFonts w:eastAsia="等线" w:ascii="Arial" w:cs="Arial" w:hAnsi="Arial"/>
          <w:sz w:val="22"/>
          <w:shd w:fill="cdb2fa"/>
        </w:rPr>
        <w:t>紫色</w:t>
      </w:r>
      <w:r>
        <w:rPr>
          <w:rFonts w:eastAsia="等线" w:ascii="Arial" w:cs="Arial" w:hAnsi="Arial"/>
          <w:sz w:val="22"/>
        </w:rPr>
        <w:t>的代码，为通用代码：</w:t>
      </w:r>
      <w:r>
        <w:rPr>
          <w:rFonts w:eastAsia="等线" w:ascii="Arial" w:cs="Arial" w:hAnsi="Arial"/>
          <w:sz w:val="22"/>
          <w:shd w:fill="cdb2fa"/>
        </w:rPr>
        <w:t>设置通用参数。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14 ~ 27 行标</w:t>
      </w:r>
      <w:r>
        <w:rPr>
          <w:rFonts w:eastAsia="等线" w:ascii="Arial" w:cs="Arial" w:hAnsi="Arial"/>
          <w:sz w:val="22"/>
          <w:shd w:fill="fed4a4"/>
        </w:rPr>
        <w:t>橙色</w:t>
      </w:r>
      <w:r>
        <w:rPr>
          <w:rFonts w:eastAsia="等线" w:ascii="Arial" w:cs="Arial" w:hAnsi="Arial"/>
          <w:sz w:val="22"/>
        </w:rPr>
        <w:t>的代码，为特有代码：</w:t>
      </w:r>
      <w:r>
        <w:rPr>
          <w:rFonts w:eastAsia="等线" w:ascii="Arial" w:cs="Arial" w:hAnsi="Arial"/>
          <w:sz w:val="22"/>
          <w:shd w:fill="fed4a4"/>
        </w:rPr>
        <w:t>设置特有参数。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标的模块</w:t>
      </w:r>
      <w:bookmarkEnd w:id="8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" w:id="9"/>
      <w:r>
        <w:rPr>
          <w:rFonts w:eastAsia="等线" w:ascii="Arial" w:cs="Arial" w:hAnsi="Arial"/>
          <w:b w:val="true"/>
          <w:sz w:val="24"/>
        </w:rPr>
        <w:t>框架说明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在标的模块中，代码框架只有一个通用</w:t>
      </w:r>
      <w:r>
        <w:rPr>
          <w:rFonts w:eastAsia="等线" w:ascii="Arial" w:cs="Arial" w:hAnsi="Arial"/>
          <w:sz w:val="22"/>
        </w:rPr>
        <w:t>代码块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cdb2fa"/>
        </w:rPr>
        <w:t>设置基准标的及标的列表</w:t>
      </w:r>
      <w:r>
        <w:rPr>
          <w:rFonts w:eastAsia="等线" w:ascii="Arial" w:cs="Arial" w:hAnsi="Arial"/>
          <w:sz w:val="22"/>
        </w:rPr>
        <w:t>：设置基准标的，并将需要测试的标的添加到标的列表中。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019550" cy="35052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0" w:id="10"/>
      <w:r>
        <w:rPr>
          <w:rFonts w:eastAsia="等线" w:ascii="Arial" w:cs="Arial" w:hAnsi="Arial"/>
          <w:b w:val="true"/>
          <w:sz w:val="24"/>
        </w:rPr>
        <w:t>代码内容</w:t>
      </w:r>
      <w:bookmarkEnd w:id="1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"""选股"""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context.benchmark = "000300.XSHG"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设置标的列表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context.symbol_list = ["000300.XSHG"]</w:t>
            </w:r>
          </w:p>
        </w:tc>
      </w:tr>
    </w:tbl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3 ~ 6 行标</w:t>
      </w:r>
      <w:r>
        <w:rPr>
          <w:rFonts w:eastAsia="等线" w:ascii="Arial" w:cs="Arial" w:hAnsi="Arial"/>
          <w:sz w:val="22"/>
          <w:shd w:fill="cdb2fa"/>
        </w:rPr>
        <w:t>紫色</w:t>
      </w:r>
      <w:r>
        <w:rPr>
          <w:rFonts w:eastAsia="等线" w:ascii="Arial" w:cs="Arial" w:hAnsi="Arial"/>
          <w:sz w:val="22"/>
        </w:rPr>
        <w:t>的代码，为代码框架中的通用代码：</w:t>
      </w:r>
      <w:r>
        <w:rPr>
          <w:rFonts w:eastAsia="等线" w:ascii="Arial" w:cs="Arial" w:hAnsi="Arial"/>
          <w:sz w:val="22"/>
          <w:shd w:fill="cdb2fa"/>
        </w:rPr>
        <w:t>设置基准标的及标的列表。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b w:val="true"/>
          <w:sz w:val="28"/>
        </w:rPr>
        <w:t>择时模块</w:t>
      </w:r>
      <w:bookmarkEnd w:id="11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" w:id="12"/>
      <w:r>
        <w:rPr>
          <w:rFonts w:eastAsia="等线" w:ascii="Arial" w:cs="Arial" w:hAnsi="Arial"/>
          <w:b w:val="true"/>
          <w:sz w:val="24"/>
        </w:rPr>
        <w:t>框架说明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在择时模块中，代码框架一共有三个</w:t>
      </w:r>
      <w:r>
        <w:rPr>
          <w:rFonts w:eastAsia="等线" w:ascii="Arial" w:cs="Arial" w:hAnsi="Arial"/>
          <w:sz w:val="22"/>
        </w:rPr>
        <w:t>代码块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cdb2fa"/>
        </w:rPr>
        <w:t>设置信号字典</w:t>
      </w:r>
      <w:r>
        <w:rPr>
          <w:rFonts w:eastAsia="等线" w:ascii="Arial" w:cs="Arial" w:hAnsi="Arial"/>
          <w:sz w:val="22"/>
        </w:rPr>
        <w:t>：设置一个信号字典，于存储各标的的策略信号。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“</w:t>
            </w:r>
            <w:r>
              <w:rPr>
                <w:rFonts w:eastAsia="等线" w:ascii="Arial" w:cs="Arial" w:hAnsi="Arial"/>
                <w:color w:val="646a73"/>
                <w:sz w:val="22"/>
              </w:rPr>
              <w:t>策略信号</w:t>
            </w:r>
            <w:r>
              <w:rPr>
                <w:rFonts w:eastAsia="等线" w:ascii="Arial" w:cs="Arial" w:hAnsi="Arial"/>
                <w:color w:val="646a73"/>
                <w:sz w:val="22"/>
              </w:rPr>
              <w:t>”</w:t>
            </w:r>
            <w:r>
              <w:rPr>
                <w:rFonts w:eastAsia="等线" w:ascii="Arial" w:cs="Arial" w:hAnsi="Arial"/>
                <w:color w:val="646a73"/>
                <w:sz w:val="22"/>
              </w:rPr>
              <w:t>是策略输出的交易判断，内容是：哪些标的该买入，哪些标的该卖出。</w:t>
            </w:r>
          </w:p>
        </w:tc>
      </w:tr>
    </w:tbl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计算并存储策略信号</w:t>
      </w:r>
      <w:r>
        <w:rPr>
          <w:rFonts w:eastAsia="等线" w:ascii="Arial" w:cs="Arial" w:hAnsi="Arial"/>
          <w:sz w:val="22"/>
        </w:rPr>
        <w:t>：根据根据策略的交易逻辑，计算策略中各标的的策略信号，并储存到信号字典中；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cdb2fa"/>
        </w:rPr>
        <w:t>执行交易</w:t>
      </w:r>
      <w:r>
        <w:rPr>
          <w:rFonts w:eastAsia="等线" w:ascii="Arial" w:cs="Arial" w:hAnsi="Arial"/>
          <w:sz w:val="22"/>
        </w:rPr>
        <w:t>：根据信号字典的内容执行交易。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676650" cy="32004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" w:id="13"/>
      <w:r>
        <w:rPr>
          <w:rFonts w:eastAsia="等线" w:ascii="Arial" w:cs="Arial" w:hAnsi="Arial"/>
          <w:b w:val="true"/>
          <w:sz w:val="24"/>
        </w:rPr>
        <w:t>代码内容</w:t>
      </w:r>
      <w:bookmarkEnd w:id="1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"""择时"""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设置交易字典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trade_dict = {'需买入的标的对象': [], '需买入标的的代码': [], '需卖出的标的对象': [], '需卖出的标的代码': []}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# 遍历所有标的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获取RSI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rsi = context.rsi_dict[data]['rsi']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当RSI值低于其下限时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if rsi[0] &lt; context.bot: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# 记录需要买入的标的对象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trade_dict['需买入的标的对象'].append(data)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# 记录需要买入标的对象的代码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trade_dict['需买入标的的代码'].append(data._name)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当RSI值高于其上限时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elif rsi[0] &gt; context.top: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# 记录需要卖出的标的对象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trade_dict['需卖出的标的对象'].append(data)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# 记录需要卖出标的对象的代码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    trade_dict['需卖出的标的代码'].append(data._name)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如果需买入标的的代码列表或需卖出的标的代码不为空：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if trade_dict['需买入标的的代码'] or trade_dict['需卖出的标的代码']: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打印列表中的信息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context.log('\n 需卖出的标的为：{} \n 需买入的标的为：{}'.format(trade_dict['需卖出的标的代码'], trade_dict['需买入标的的代码']))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择时到此，将输出所有标的需要操作的状态，新的策略只需要在这之前根据策略内容输出对应的状态即可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接下来执行交易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遍历需要卖出的标的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for sell_data in trade_dict['需卖出的标的对象']: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获取持仓数量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hold_size = context.getposition(sell_data).size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如果持仓数量大于0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if hold_size &gt; 0: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执行平仓，订单类型为市价单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context.close(data=sell_data)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# 执行平仓，订单类型为限价单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context.sell(data=sell_data, size=hold_size, price=sell_data.close[0], exectype=Order.Limit)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遍历需要买入的标的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for buy_data in trade_dict['需买入的标的对象']: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执行买入，订单类型为市价单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context.buy(data=buy_data, size=context.trade_size)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# 执行买入，订单类型为限价单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context.buy(data=buy_data, size=context.trade_size, price=buy_data.close[0], exectype=Order.Limit)</w:t>
            </w:r>
          </w:p>
        </w:tc>
      </w:tr>
    </w:tbl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3 ~ 4 行标</w:t>
      </w:r>
      <w:r>
        <w:rPr>
          <w:rFonts w:eastAsia="等线" w:ascii="Arial" w:cs="Arial" w:hAnsi="Arial"/>
          <w:sz w:val="22"/>
          <w:shd w:fill="cdb2fa"/>
        </w:rPr>
        <w:t>紫色</w:t>
      </w:r>
      <w:r>
        <w:rPr>
          <w:rFonts w:eastAsia="等线" w:ascii="Arial" w:cs="Arial" w:hAnsi="Arial"/>
          <w:sz w:val="22"/>
        </w:rPr>
        <w:t>的代码，为通用代码：</w:t>
      </w:r>
      <w:r>
        <w:rPr>
          <w:rFonts w:eastAsia="等线" w:ascii="Arial" w:cs="Arial" w:hAnsi="Arial"/>
          <w:sz w:val="22"/>
          <w:shd w:fill="cdb2fa"/>
        </w:rPr>
        <w:t>设置通用参数；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5 ~ 21 行标</w:t>
      </w:r>
      <w:r>
        <w:rPr>
          <w:rFonts w:eastAsia="等线" w:ascii="Arial" w:cs="Arial" w:hAnsi="Arial"/>
          <w:sz w:val="22"/>
          <w:shd w:fill="fed4a4"/>
        </w:rPr>
        <w:t>橙色</w:t>
      </w:r>
      <w:r>
        <w:rPr>
          <w:rFonts w:eastAsia="等线" w:ascii="Arial" w:cs="Arial" w:hAnsi="Arial"/>
          <w:sz w:val="22"/>
        </w:rPr>
        <w:t>的代码，为特有代码：</w:t>
      </w:r>
      <w:r>
        <w:rPr>
          <w:rFonts w:eastAsia="等线" w:ascii="Arial" w:cs="Arial" w:hAnsi="Arial"/>
          <w:sz w:val="22"/>
          <w:shd w:fill="fed4a4"/>
        </w:rPr>
        <w:t>计算并储存策略信号；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23 ~ 47 行代码标</w:t>
      </w:r>
      <w:r>
        <w:rPr>
          <w:rFonts w:eastAsia="等线" w:ascii="Arial" w:cs="Arial" w:hAnsi="Arial"/>
          <w:sz w:val="22"/>
          <w:shd w:fill="cdb2fa"/>
        </w:rPr>
        <w:t>紫色</w:t>
      </w:r>
      <w:r>
        <w:rPr>
          <w:rFonts w:eastAsia="等线" w:ascii="Arial" w:cs="Arial" w:hAnsi="Arial"/>
          <w:sz w:val="22"/>
        </w:rPr>
        <w:t>的代码，为通用代码：</w:t>
      </w:r>
      <w:r>
        <w:rPr>
          <w:rFonts w:eastAsia="等线" w:ascii="Arial" w:cs="Arial" w:hAnsi="Arial"/>
          <w:sz w:val="22"/>
          <w:shd w:fill="cdb2fa"/>
        </w:rPr>
        <w:t>执行交易。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" w:id="14"/>
      <w:r>
        <w:rPr>
          <w:rFonts w:eastAsia="等线" w:ascii="Arial" w:cs="Arial" w:hAnsi="Arial"/>
          <w:b w:val="true"/>
          <w:sz w:val="28"/>
        </w:rPr>
        <w:t>风控模块</w:t>
      </w:r>
      <w:bookmarkEnd w:id="14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" w:id="15"/>
      <w:r>
        <w:rPr>
          <w:rFonts w:eastAsia="等线" w:ascii="Arial" w:cs="Arial" w:hAnsi="Arial"/>
          <w:b w:val="true"/>
          <w:sz w:val="24"/>
        </w:rPr>
        <w:t>框架说明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在风控模块中，代码框架有一个</w:t>
      </w:r>
      <w:r>
        <w:rPr>
          <w:rFonts w:eastAsia="等线" w:ascii="Arial" w:cs="Arial" w:hAnsi="Arial"/>
          <w:sz w:val="22"/>
        </w:rPr>
        <w:t>代码块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cdb2fa"/>
        </w:rPr>
        <w:t>固定止盈止损法</w:t>
      </w:r>
      <w:r>
        <w:rPr>
          <w:rFonts w:eastAsia="等线" w:ascii="Arial" w:cs="Arial" w:hAnsi="Arial"/>
          <w:sz w:val="22"/>
        </w:rPr>
        <w:t>：为代码框架在风控模块预设的风控方法固定止盈止损法。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733800" cy="32575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6" w:id="16"/>
      <w:r>
        <w:rPr>
          <w:rFonts w:eastAsia="等线" w:ascii="Arial" w:cs="Arial" w:hAnsi="Arial"/>
          <w:b w:val="true"/>
          <w:sz w:val="24"/>
        </w:rPr>
        <w:t>代码内容</w:t>
      </w:r>
      <w:bookmarkEnd w:id="1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control_risk(context):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"""风控"""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遍历所有标的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获取标的当前持仓数量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hold_size = context.getposition(data).size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# 如果有持仓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if hold_size &gt; 0: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获取持仓均价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hold_price = context.getposition(data).price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计算止损价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stop_price = (1 - context.stop_loss) * hold_price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计算止盈价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profit_price = (1 + context.take_profit) * hold_price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# 如果当前价格达到了止盈或止损价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if data.close[0] &lt; stop_price or data.close[0] &gt; profit_price: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    # 执行平仓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    context.close(data=data)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            context.log("执行了止盈或止损")</w:t>
            </w:r>
          </w:p>
        </w:tc>
      </w:tr>
    </w:tbl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 3 ~ 20 行标</w:t>
      </w:r>
      <w:r>
        <w:rPr>
          <w:rFonts w:eastAsia="等线" w:ascii="Arial" w:cs="Arial" w:hAnsi="Arial"/>
          <w:sz w:val="22"/>
          <w:shd w:fill="cdb2fa"/>
        </w:rPr>
        <w:t>紫色</w:t>
      </w:r>
      <w:r>
        <w:rPr>
          <w:rFonts w:eastAsia="等线" w:ascii="Arial" w:cs="Arial" w:hAnsi="Arial"/>
          <w:sz w:val="22"/>
        </w:rPr>
        <w:t>的代码，为通用代码：</w:t>
      </w:r>
      <w:r>
        <w:rPr>
          <w:rFonts w:eastAsia="等线" w:ascii="Arial" w:cs="Arial" w:hAnsi="Arial"/>
          <w:sz w:val="22"/>
          <w:shd w:fill="cdb2fa"/>
        </w:rPr>
        <w:t>固定止盈止损法；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代码框架怎么用？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在具体应用代码框架时，有以下</w:t>
      </w:r>
      <w:r>
        <w:rPr>
          <w:rFonts w:eastAsia="等线" w:ascii="Arial" w:cs="Arial" w:hAnsi="Arial"/>
          <w:b w:val="true"/>
          <w:sz w:val="22"/>
        </w:rPr>
        <w:t>三个角度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代码开发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策略调试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策略优化/增加功能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b w:val="true"/>
          <w:sz w:val="28"/>
        </w:rPr>
        <w:t>代码开发</w:t>
      </w:r>
      <w:bookmarkEnd w:id="18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9" w:id="19"/>
      <w:r>
        <w:rPr>
          <w:rFonts w:eastAsia="等线" w:ascii="Arial" w:cs="Arial" w:hAnsi="Arial"/>
          <w:b w:val="true"/>
          <w:sz w:val="24"/>
        </w:rPr>
        <w:t>使用说明</w:t>
      </w:r>
      <w:bookmarkEnd w:id="19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在用代码框架开发时，你只需要</w:t>
            </w:r>
            <w:r>
              <w:rPr>
                <w:rFonts w:eastAsia="等线" w:ascii="Arial" w:cs="Arial" w:hAnsi="Arial"/>
                <w:b w:val="true"/>
                <w:sz w:val="22"/>
              </w:rPr>
              <w:t>新增或微调通用代码</w:t>
            </w:r>
            <w:r>
              <w:rPr>
                <w:rFonts w:eastAsia="等线" w:ascii="Arial" w:cs="Arial" w:hAnsi="Arial"/>
                <w:sz w:val="22"/>
              </w:rPr>
              <w:t>，再根据代码框架的编写步骤</w:t>
            </w:r>
            <w:r>
              <w:rPr>
                <w:rFonts w:eastAsia="等线" w:ascii="Arial" w:cs="Arial" w:hAnsi="Arial"/>
                <w:b w:val="true"/>
                <w:sz w:val="22"/>
              </w:rPr>
              <w:t>重新编写并替换特有代码</w:t>
            </w:r>
            <w:r>
              <w:rPr>
                <w:rFonts w:eastAsia="等线" w:ascii="Arial" w:cs="Arial" w:hAnsi="Arial"/>
                <w:sz w:val="22"/>
              </w:rPr>
              <w:t>，以实现策略的快速落地。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181475" cy="3638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0" w:id="20"/>
      <w:r>
        <w:rPr>
          <w:rFonts w:eastAsia="等线" w:ascii="Arial" w:cs="Arial" w:hAnsi="Arial"/>
          <w:b w:val="true"/>
          <w:sz w:val="24"/>
        </w:rPr>
        <w:t>使用示例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例如，你要开发单均线策略，那么你只需修改对于原代码框架（RSI 交易策略）中的</w:t>
      </w:r>
      <w:r>
        <w:rPr>
          <w:rFonts w:eastAsia="等线" w:ascii="Arial" w:cs="Arial" w:hAnsi="Arial"/>
          <w:b w:val="true"/>
          <w:sz w:val="22"/>
        </w:rPr>
        <w:t>指标模块、</w:t>
      </w:r>
      <w:r>
        <w:rPr>
          <w:rFonts w:eastAsia="等线" w:ascii="Arial" w:cs="Arial" w:hAnsi="Arial"/>
          <w:sz w:val="22"/>
        </w:rPr>
        <w:t>及</w:t>
      </w:r>
      <w:r>
        <w:rPr>
          <w:rFonts w:eastAsia="等线" w:ascii="Arial" w:cs="Arial" w:hAnsi="Arial"/>
          <w:b w:val="true"/>
          <w:sz w:val="22"/>
        </w:rPr>
        <w:t>择时模块</w:t>
      </w:r>
      <w:r>
        <w:rPr>
          <w:rFonts w:eastAsia="等线" w:ascii="Arial" w:cs="Arial" w:hAnsi="Arial"/>
          <w:sz w:val="22"/>
        </w:rPr>
        <w:t>的内容，修改后的结果如下（</w:t>
      </w:r>
      <w:r>
        <w:rPr>
          <w:rFonts w:eastAsia="等线" w:ascii="Arial" w:cs="Arial" w:hAnsi="Arial"/>
          <w:b w:val="true"/>
          <w:sz w:val="22"/>
        </w:rPr>
        <w:t>标橙部分为改动的内容</w:t>
      </w:r>
      <w:r>
        <w:rPr>
          <w:rFonts w:eastAsia="等线" w:ascii="Arial" w:cs="Arial" w:hAnsi="Arial"/>
          <w:sz w:val="22"/>
        </w:rPr>
        <w:t>）：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指标模块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设置每次买卖的数量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context.trade_size = 100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设置止盈比例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context.take_profit = 0.15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设置止损比例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context.stop_loss = 0.08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以上为每个策略都会用到的常用参数设置部分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接下来针对具体的策略，可以计算一些针对性的参数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------------------------------------------------------------------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# 设置指标字典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context.sma_dict = {}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# 设置均线的计算周期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sma_period = 15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# 遍历所有标的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计算均线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sma = SMA(data.close, period=sma_period)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记录标的对应均线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context.sma_dict[data] = {'SMA': sma}</w:t>
            </w:r>
          </w:p>
        </w:tc>
      </w:tr>
    </w:tbl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择时模块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"""择时"""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设置信号字典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trade_dict = {'需买入的标的对象': [], '需买入标的的代码': [], '需卖出的标的对象': [], '需卖出的标的代码': []}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遍历所有标的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获取均线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sma = context.sma_dict[data]['SMA']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当标的收盘价上穿15日均价时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if data.close[-1] &lt; sma[-1] and data.close[0] &gt; sma[0]: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记录需要买入的标的对象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trade_dict['需买入的标的对象'].append(data)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记录需要买入标的对象的代码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trade_dict['需买入标的的代码'].append(data._name)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# 当标的收盘价下穿15日均价时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ed4a4"/>
              </w:rPr>
              <w:t xml:space="preserve">        elif data.close[-1] &gt; sma[-1] and data.close[0] &lt; sma[0]: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记录需要卖出的标的对象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trade_dict['需卖出的标的对象'].append(data)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记录需要卖出标的对象的代码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trade_dict['需卖出的标的代码'].append(data._name)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如果需买入标的的代码列表或需卖出的标的代码不为空：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if trade_dict['需买入标的的代码'] or trade_dict['需卖出的标的代码']: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打印列表中的信息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context.log('\n 需卖出的标的为：{} \n 需买入的标的为：{}'.format(trade_dict['需卖出的标的代码'], trade_dict['需买入标的的代码']))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择时到此，将输出所有标的需要操作的状态，新的策略只需要在这之前根据策略内容输出对应的状态即可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接下来执行交易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遍历需要卖出的标的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sell_data in trade_dict['需卖出的标的对象']: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获取持仓数量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hold_size = context.getposition(sell_data).size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如果持仓数量大于0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hold_size &gt; 0: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执行平仓，订单类型为市价单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context.close(data=sell_data)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# 执行平仓，订单类型为限价单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context.sell(data=sell_data, size=hold_size, price=sell_data.close[0], exectype=Order.Limit)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遍历需要买入的标的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buy_data in trade_dict['需买入的标的对象']: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执行买入，订单类型为市价单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context.buy(data=buy_data, size=context.trade_size)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# 执行买入，订单类型为限价单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context.buy(data=buy_data, size=context.trade_size, price=buy_data.close[0], exectype=Order.Limit)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b w:val="true"/>
          <w:sz w:val="28"/>
        </w:rPr>
        <w:t>策略调试</w:t>
      </w:r>
      <w:bookmarkEnd w:id="21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2" w:id="22"/>
      <w:r>
        <w:rPr>
          <w:rFonts w:eastAsia="等线" w:ascii="Arial" w:cs="Arial" w:hAnsi="Arial"/>
          <w:b w:val="true"/>
          <w:sz w:val="24"/>
        </w:rPr>
        <w:t>使用说明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在策略调试中，代码框架可以更快捷地完成</w:t>
      </w:r>
      <w:r>
        <w:rPr>
          <w:rFonts w:eastAsia="等线" w:ascii="Arial" w:cs="Arial" w:hAnsi="Arial"/>
          <w:b w:val="true"/>
          <w:sz w:val="22"/>
        </w:rPr>
        <w:t>标的切换</w:t>
      </w:r>
      <w:r>
        <w:rPr>
          <w:rFonts w:eastAsia="等线" w:ascii="Arial" w:cs="Arial" w:hAnsi="Arial"/>
          <w:sz w:val="22"/>
        </w:rPr>
        <w:t>及</w:t>
      </w:r>
      <w:r>
        <w:rPr>
          <w:rFonts w:eastAsia="等线" w:ascii="Arial" w:cs="Arial" w:hAnsi="Arial"/>
          <w:b w:val="true"/>
          <w:sz w:val="22"/>
        </w:rPr>
        <w:t>策略排查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标的切换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在代码框架中切换标的时，你只需</w:t>
            </w:r>
            <w:r>
              <w:rPr>
                <w:rFonts w:eastAsia="等线" w:ascii="Arial" w:cs="Arial" w:hAnsi="Arial"/>
                <w:b w:val="true"/>
                <w:sz w:val="22"/>
              </w:rPr>
              <w:t>调整/重新设置标的列表</w:t>
            </w:r>
            <w:r>
              <w:rPr>
                <w:rFonts w:eastAsia="等线" w:ascii="Arial" w:cs="Arial" w:hAnsi="Arial"/>
                <w:sz w:val="22"/>
              </w:rPr>
              <w:t>即可。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标的列表的设置方式包括：</w:t>
      </w:r>
    </w:p>
    <w:p>
      <w:pPr>
        <w:numPr>
          <w:numId w:val="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手动输入：直接在列表中写入标的代码；  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从指数获取：以解析指数的成分股的方式设置标的列表；  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按条件筛选：即设置一定的筛选条件，将符合条件的股票添加到标的列表中。 </w:t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策略排查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代码框架对指标数据、策略信号及交易信号（实际执行的交易行为）做了区分。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指标数据</w:t>
      </w:r>
      <w:r>
        <w:rPr>
          <w:rFonts w:eastAsia="等线" w:ascii="Arial" w:cs="Arial" w:hAnsi="Arial"/>
          <w:sz w:val="22"/>
        </w:rPr>
        <w:t>及</w:t>
      </w:r>
      <w:r>
        <w:rPr>
          <w:rFonts w:eastAsia="等线" w:ascii="Arial" w:cs="Arial" w:hAnsi="Arial"/>
          <w:b w:val="true"/>
          <w:sz w:val="22"/>
        </w:rPr>
        <w:t>策略信号</w:t>
      </w:r>
      <w:r>
        <w:rPr>
          <w:rFonts w:eastAsia="等线" w:ascii="Arial" w:cs="Arial" w:hAnsi="Arial"/>
          <w:sz w:val="22"/>
        </w:rPr>
        <w:t>分别被保存在</w:t>
      </w:r>
      <w:r>
        <w:rPr>
          <w:rFonts w:eastAsia="等线" w:ascii="Arial" w:cs="Arial" w:hAnsi="Arial"/>
          <w:b w:val="true"/>
          <w:sz w:val="22"/>
        </w:rPr>
        <w:t>指标字典</w:t>
      </w:r>
      <w:r>
        <w:rPr>
          <w:rFonts w:eastAsia="等线" w:ascii="Arial" w:cs="Arial" w:hAnsi="Arial"/>
          <w:sz w:val="22"/>
        </w:rPr>
        <w:t>及</w:t>
      </w:r>
      <w:r>
        <w:rPr>
          <w:rFonts w:eastAsia="等线" w:ascii="Arial" w:cs="Arial" w:hAnsi="Arial"/>
          <w:b w:val="true"/>
          <w:sz w:val="22"/>
        </w:rPr>
        <w:t>信号字典</w:t>
      </w:r>
      <w:r>
        <w:rPr>
          <w:rFonts w:eastAsia="等线" w:ascii="Arial" w:cs="Arial" w:hAnsi="Arial"/>
          <w:sz w:val="22"/>
        </w:rPr>
        <w:t>中，</w:t>
      </w:r>
      <w:r>
        <w:rPr>
          <w:rFonts w:eastAsia="等线" w:ascii="Arial" w:cs="Arial" w:hAnsi="Arial"/>
          <w:b w:val="true"/>
          <w:sz w:val="22"/>
        </w:rPr>
        <w:t>本身不参与交易的执行。</w:t>
      </w:r>
    </w:p>
    <w:p>
      <w:pPr>
        <w:numPr>
          <w:numId w:val="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执行交易</w:t>
      </w:r>
      <w:r>
        <w:rPr>
          <w:rFonts w:eastAsia="等线" w:ascii="Arial" w:cs="Arial" w:hAnsi="Arial"/>
          <w:sz w:val="22"/>
        </w:rPr>
        <w:t>的部分则</w:t>
      </w:r>
      <w:r>
        <w:rPr>
          <w:rFonts w:eastAsia="等线" w:ascii="Arial" w:cs="Arial" w:hAnsi="Arial"/>
          <w:b w:val="true"/>
          <w:sz w:val="22"/>
        </w:rPr>
        <w:t>由一块独立</w:t>
      </w:r>
      <w:r>
        <w:rPr>
          <w:rFonts w:eastAsia="等线" w:ascii="Arial" w:cs="Arial" w:hAnsi="Arial"/>
          <w:b w:val="true"/>
          <w:sz w:val="22"/>
        </w:rPr>
        <w:t>代码块</w:t>
      </w:r>
      <w:r>
        <w:rPr>
          <w:rFonts w:eastAsia="等线" w:ascii="Arial" w:cs="Arial" w:hAnsi="Arial"/>
          <w:b w:val="true"/>
          <w:sz w:val="22"/>
        </w:rPr>
        <w:t>负责</w:t>
      </w:r>
      <w:r>
        <w:rPr>
          <w:rFonts w:eastAsia="等线" w:ascii="Arial" w:cs="Arial" w:hAnsi="Arial"/>
          <w:sz w:val="22"/>
        </w:rPr>
        <w:t>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在用代码框架进行策略排查时，你可以</w:t>
            </w:r>
            <w:r>
              <w:rPr>
                <w:rFonts w:eastAsia="等线" w:ascii="Arial" w:cs="Arial" w:hAnsi="Arial"/>
                <w:b w:val="true"/>
                <w:sz w:val="22"/>
              </w:rPr>
              <w:t>从终端的打印结果来区分是策略信号还是交易信号出了问题，</w:t>
            </w:r>
            <w:r>
              <w:rPr>
                <w:rFonts w:eastAsia="等线" w:ascii="Arial" w:cs="Arial" w:hAnsi="Arial"/>
                <w:sz w:val="22"/>
              </w:rPr>
              <w:t>然后再对目标</w:t>
            </w:r>
            <w:r>
              <w:rPr>
                <w:rFonts w:eastAsia="等线" w:ascii="Arial" w:cs="Arial" w:hAnsi="Arial"/>
                <w:sz w:val="22"/>
              </w:rPr>
              <w:t>代码块</w:t>
            </w:r>
            <w:r>
              <w:rPr>
                <w:rFonts w:eastAsia="等线" w:ascii="Arial" w:cs="Arial" w:hAnsi="Arial"/>
                <w:sz w:val="22"/>
              </w:rPr>
              <w:t>进行修改。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3" w:id="23"/>
      <w:r>
        <w:rPr>
          <w:rFonts w:eastAsia="等线" w:ascii="Arial" w:cs="Arial" w:hAnsi="Arial"/>
          <w:b w:val="true"/>
          <w:sz w:val="24"/>
        </w:rPr>
        <w:t>使用示例</w:t>
      </w:r>
      <w:bookmarkEnd w:id="23"/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标的切换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在具体操作上，你可以在代码中手动输入设置基准标的及标的列表。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"""选股"""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context.benchmark = "000300.XSHG"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# 设置标的列表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cdb2fa"/>
              </w:rPr>
              <w:t xml:space="preserve">    context.symbol_list = ["000300.XSHG"]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策略排查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假如，你的策略出现成交失败的情况时，在终端看到的打印结果是这样的：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295775" cy="24193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那么，你就可以先检查策略信号：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305300" cy="24288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再检查交易信号：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362450" cy="24574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来找到问题的根源。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在这个示例中，你可以清楚看到是交易信号因为现金不足出了问题。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4" w:id="24"/>
      <w:r>
        <w:rPr>
          <w:rFonts w:eastAsia="等线" w:ascii="Arial" w:cs="Arial" w:hAnsi="Arial"/>
          <w:b w:val="true"/>
          <w:sz w:val="28"/>
        </w:rPr>
        <w:t>策略优化/功能增加</w:t>
      </w:r>
      <w:bookmarkEnd w:id="24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5" w:id="25"/>
      <w:r>
        <w:rPr>
          <w:rFonts w:eastAsia="等线" w:ascii="Arial" w:cs="Arial" w:hAnsi="Arial"/>
          <w:b w:val="true"/>
          <w:sz w:val="24"/>
        </w:rPr>
        <w:t>使用说明</w:t>
      </w:r>
      <w:bookmarkEnd w:id="25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在原代码基础上新增并调整新的通用</w:t>
            </w:r>
            <w:r>
              <w:rPr>
                <w:rFonts w:eastAsia="等线" w:ascii="Arial" w:cs="Arial" w:hAnsi="Arial"/>
                <w:b w:val="true"/>
                <w:sz w:val="22"/>
              </w:rPr>
              <w:t>代码块</w:t>
            </w:r>
            <w:r>
              <w:rPr>
                <w:rFonts w:eastAsia="等线" w:ascii="Arial" w:cs="Arial" w:hAnsi="Arial"/>
                <w:sz w:val="22"/>
              </w:rPr>
              <w:t>，你就可以实现代码框架的策略优化及功能增加。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6" w:id="26"/>
      <w:r>
        <w:rPr>
          <w:rFonts w:eastAsia="等线" w:ascii="Arial" w:cs="Arial" w:hAnsi="Arial"/>
          <w:b w:val="true"/>
          <w:sz w:val="24"/>
        </w:rPr>
        <w:t>使用示例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例如，我们想要在原代码基础上新增一个时间风控功能：</w:t>
      </w:r>
      <w:r>
        <w:rPr>
          <w:rFonts w:eastAsia="等线" w:ascii="Arial" w:cs="Arial" w:hAnsi="Arial"/>
          <w:b w:val="true"/>
          <w:sz w:val="22"/>
        </w:rPr>
        <w:t>如果最近一次买入的时候与当前时间相比，超过了 1 天，则执行平仓。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095750" cy="35718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各部分具体新增及调整的代码为：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补充设置参数及字典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设置最近一次买入时间记录字典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context.recently_buy_dict = {}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设置最长持仓时间为1天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context.hold_time = 1</w:t>
            </w:r>
          </w:p>
        </w:tc>
      </w:tr>
    </w:tbl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补充记录当前买入时的时间戳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记录当前买入时的时间戳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context.recently_buy_dict[buy_data._name] = context.datetime.datetime().timestamp()</w:t>
            </w:r>
          </w:p>
        </w:tc>
      </w:tr>
    </w:tbl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补充计算持仓天数，并设置风控逻辑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获取当前的时间戳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now_timestamp = context.datetime.datetime().timestamp()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过去最近一次买入的时间戳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recently_timestamp = context.recently_buy_dict[data._name]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计算距离最近一次买入相隔的天数(一天86400秒)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days = (now_timestamp - recently_timestamp) / 86400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如果当前持仓天数大于等于最长持仓天数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if days &gt;= context.hold_time: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执行平仓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context.close(data=data)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context.log("超过最长持仓天数，执行平仓")</w:t>
            </w:r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其他代码功能的添加方法，你可以在本文档中的</w:t>
            </w:r>
            <w:hyperlink r:id="rId17">
              <w:r>
                <w:rPr>
                  <w:rFonts w:eastAsia="等线" w:ascii="Arial" w:cs="Arial" w:hAnsi="Arial"/>
                  <w:color w:val="3370ff"/>
                  <w:sz w:val="22"/>
                </w:rPr>
                <w:t>功能代码集合</w:t>
              </w:r>
            </w:hyperlink>
            <w:r>
              <w:rPr>
                <w:rFonts w:eastAsia="等线" w:ascii="Arial" w:cs="Arial" w:hAnsi="Arial"/>
                <w:sz w:val="22"/>
              </w:rPr>
              <w:t>的部分查看。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7" w:id="27"/>
      <w:bookmarkEnd w:id="27"/>
    </w:p>
    <w:sectPr>
      <w:footerReference w:type="default" r:id="rId3"/>
      <w:headerReference w:type="default" r:id="rId1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86924">
    <w:lvl>
      <w:start w:val="1"/>
      <w:numFmt w:val="decimal"/>
      <w:suff w:val="tab"/>
      <w:lvlText w:val="%1."/>
      <w:rPr>
        <w:color w:val="3370ff"/>
      </w:rPr>
    </w:lvl>
  </w:abstractNum>
  <w:abstractNum w:abstractNumId="386925">
    <w:lvl>
      <w:start w:val="2"/>
      <w:numFmt w:val="decimal"/>
      <w:suff w:val="tab"/>
      <w:lvlText w:val="%1."/>
      <w:rPr>
        <w:color w:val="3370ff"/>
      </w:rPr>
    </w:lvl>
  </w:abstractNum>
  <w:abstractNum w:abstractNumId="386926">
    <w:lvl>
      <w:start w:val="3"/>
      <w:numFmt w:val="decimal"/>
      <w:suff w:val="tab"/>
      <w:lvlText w:val="%1."/>
      <w:rPr>
        <w:color w:val="3370ff"/>
      </w:rPr>
    </w:lvl>
  </w:abstractNum>
  <w:abstractNum w:abstractNumId="386927">
    <w:lvl>
      <w:start w:val="4"/>
      <w:numFmt w:val="decimal"/>
      <w:suff w:val="tab"/>
      <w:lvlText w:val="%1."/>
      <w:rPr>
        <w:color w:val="3370ff"/>
      </w:rPr>
    </w:lvl>
  </w:abstractNum>
  <w:abstractNum w:abstractNumId="386928">
    <w:lvl>
      <w:numFmt w:val="bullet"/>
      <w:suff w:val="tab"/>
      <w:lvlText w:val="•"/>
      <w:rPr>
        <w:color w:val="3370ff"/>
      </w:rPr>
    </w:lvl>
  </w:abstractNum>
  <w:abstractNum w:abstractNumId="386929">
    <w:lvl>
      <w:numFmt w:val="bullet"/>
      <w:suff w:val="tab"/>
      <w:lvlText w:val="•"/>
      <w:rPr>
        <w:color w:val="3370ff"/>
      </w:rPr>
    </w:lvl>
  </w:abstractNum>
  <w:abstractNum w:abstractNumId="386930">
    <w:lvl>
      <w:numFmt w:val="bullet"/>
      <w:suff w:val="tab"/>
      <w:lvlText w:val="•"/>
      <w:rPr>
        <w:color w:val="3370ff"/>
      </w:rPr>
    </w:lvl>
  </w:abstractNum>
  <w:abstractNum w:abstractNumId="386931">
    <w:lvl>
      <w:start w:val="1"/>
      <w:numFmt w:val="decimal"/>
      <w:suff w:val="tab"/>
      <w:lvlText w:val="%1."/>
      <w:rPr>
        <w:color w:val="3370ff"/>
      </w:rPr>
    </w:lvl>
  </w:abstractNum>
  <w:abstractNum w:abstractNumId="386932">
    <w:lvl>
      <w:start w:val="2"/>
      <w:numFmt w:val="decimal"/>
      <w:suff w:val="tab"/>
      <w:lvlText w:val="%1."/>
      <w:rPr>
        <w:color w:val="3370ff"/>
      </w:rPr>
    </w:lvl>
  </w:abstractNum>
  <w:abstractNum w:abstractNumId="386933">
    <w:lvl>
      <w:start w:val="1"/>
      <w:numFmt w:val="decimal"/>
      <w:suff w:val="tab"/>
      <w:lvlText w:val="%1."/>
      <w:rPr>
        <w:color w:val="3370ff"/>
      </w:rPr>
    </w:lvl>
  </w:abstractNum>
  <w:abstractNum w:abstractNumId="386934">
    <w:lvl>
      <w:start w:val="2"/>
      <w:numFmt w:val="decimal"/>
      <w:suff w:val="tab"/>
      <w:lvlText w:val="%1."/>
      <w:rPr>
        <w:color w:val="3370ff"/>
      </w:rPr>
    </w:lvl>
  </w:abstractNum>
  <w:abstractNum w:abstractNumId="386935">
    <w:lvl>
      <w:start w:val="1"/>
      <w:numFmt w:val="decimal"/>
      <w:suff w:val="tab"/>
      <w:lvlText w:val="%1."/>
      <w:rPr>
        <w:color w:val="3370ff"/>
      </w:rPr>
    </w:lvl>
  </w:abstractNum>
  <w:abstractNum w:abstractNumId="386936">
    <w:lvl>
      <w:start w:val="2"/>
      <w:numFmt w:val="decimal"/>
      <w:suff w:val="tab"/>
      <w:lvlText w:val="%1."/>
      <w:rPr>
        <w:color w:val="3370ff"/>
      </w:rPr>
    </w:lvl>
  </w:abstractNum>
  <w:abstractNum w:abstractNumId="386937">
    <w:lvl>
      <w:start w:val="1"/>
      <w:numFmt w:val="decimal"/>
      <w:suff w:val="tab"/>
      <w:lvlText w:val="%1."/>
      <w:rPr>
        <w:color w:val="3370ff"/>
      </w:rPr>
    </w:lvl>
  </w:abstractNum>
  <w:abstractNum w:abstractNumId="386938">
    <w:lvl>
      <w:start w:val="1"/>
      <w:numFmt w:val="decimal"/>
      <w:suff w:val="tab"/>
      <w:lvlText w:val="%1."/>
      <w:rPr>
        <w:color w:val="3370ff"/>
      </w:rPr>
    </w:lvl>
  </w:abstractNum>
  <w:abstractNum w:abstractNumId="386939">
    <w:lvl>
      <w:start w:val="1"/>
      <w:numFmt w:val="decimal"/>
      <w:suff w:val="tab"/>
      <w:lvlText w:val="%1."/>
      <w:rPr>
        <w:color w:val="3370ff"/>
      </w:rPr>
    </w:lvl>
  </w:abstractNum>
  <w:abstractNum w:abstractNumId="386940">
    <w:lvl>
      <w:start w:val="2"/>
      <w:numFmt w:val="decimal"/>
      <w:suff w:val="tab"/>
      <w:lvlText w:val="%1."/>
      <w:rPr>
        <w:color w:val="3370ff"/>
      </w:rPr>
    </w:lvl>
  </w:abstractNum>
  <w:abstractNum w:abstractNumId="386941">
    <w:lvl>
      <w:start w:val="3"/>
      <w:numFmt w:val="decimal"/>
      <w:suff w:val="tab"/>
      <w:lvlText w:val="%1."/>
      <w:rPr>
        <w:color w:val="3370ff"/>
      </w:rPr>
    </w:lvl>
  </w:abstractNum>
  <w:abstractNum w:abstractNumId="386942">
    <w:lvl>
      <w:start w:val="1"/>
      <w:numFmt w:val="decimal"/>
      <w:suff w:val="tab"/>
      <w:lvlText w:val="%1."/>
      <w:rPr>
        <w:color w:val="3370ff"/>
      </w:rPr>
    </w:lvl>
  </w:abstractNum>
  <w:abstractNum w:abstractNumId="386943">
    <w:lvl>
      <w:start w:val="2"/>
      <w:numFmt w:val="decimal"/>
      <w:suff w:val="tab"/>
      <w:lvlText w:val="%1."/>
      <w:rPr>
        <w:color w:val="3370ff"/>
      </w:rPr>
    </w:lvl>
  </w:abstractNum>
  <w:abstractNum w:abstractNumId="386944">
    <w:lvl>
      <w:start w:val="3"/>
      <w:numFmt w:val="decimal"/>
      <w:suff w:val="tab"/>
      <w:lvlText w:val="%1."/>
      <w:rPr>
        <w:color w:val="3370ff"/>
      </w:rPr>
    </w:lvl>
  </w:abstractNum>
  <w:abstractNum w:abstractNumId="386945">
    <w:lvl>
      <w:start w:val="1"/>
      <w:numFmt w:val="decimal"/>
      <w:suff w:val="tab"/>
      <w:lvlText w:val="%1."/>
      <w:rPr>
        <w:color w:val="3370ff"/>
      </w:rPr>
    </w:lvl>
  </w:abstractNum>
  <w:abstractNum w:abstractNumId="386946">
    <w:lvl>
      <w:start w:val="1"/>
      <w:numFmt w:val="decimal"/>
      <w:suff w:val="tab"/>
      <w:lvlText w:val="%1."/>
      <w:rPr>
        <w:color w:val="3370ff"/>
      </w:rPr>
    </w:lvl>
  </w:abstractNum>
  <w:abstractNum w:abstractNumId="386947">
    <w:lvl>
      <w:start w:val="1"/>
      <w:numFmt w:val="decimal"/>
      <w:suff w:val="tab"/>
      <w:lvlText w:val="%1."/>
      <w:rPr>
        <w:color w:val="3370ff"/>
      </w:rPr>
    </w:lvl>
  </w:abstractNum>
  <w:abstractNum w:abstractNumId="386948">
    <w:lvl>
      <w:start w:val="2"/>
      <w:numFmt w:val="decimal"/>
      <w:suff w:val="tab"/>
      <w:lvlText w:val="%1."/>
      <w:rPr>
        <w:color w:val="3370ff"/>
      </w:rPr>
    </w:lvl>
  </w:abstractNum>
  <w:abstractNum w:abstractNumId="386949">
    <w:lvl>
      <w:start w:val="3"/>
      <w:numFmt w:val="decimal"/>
      <w:suff w:val="tab"/>
      <w:lvlText w:val="%1."/>
      <w:rPr>
        <w:color w:val="3370ff"/>
      </w:rPr>
    </w:lvl>
  </w:abstractNum>
  <w:abstractNum w:abstractNumId="386950">
    <w:lvl>
      <w:start w:val="1"/>
      <w:numFmt w:val="decimal"/>
      <w:suff w:val="tab"/>
      <w:lvlText w:val="%1."/>
      <w:rPr>
        <w:color w:val="3370ff"/>
      </w:rPr>
    </w:lvl>
  </w:abstractNum>
  <w:abstractNum w:abstractNumId="386951">
    <w:lvl>
      <w:start w:val="2"/>
      <w:numFmt w:val="decimal"/>
      <w:suff w:val="tab"/>
      <w:lvlText w:val="%1."/>
      <w:rPr>
        <w:color w:val="3370ff"/>
      </w:rPr>
    </w:lvl>
  </w:abstractNum>
  <w:abstractNum w:abstractNumId="386952">
    <w:lvl>
      <w:start w:val="1"/>
      <w:numFmt w:val="decimal"/>
      <w:suff w:val="tab"/>
      <w:lvlText w:val="%1."/>
      <w:rPr>
        <w:color w:val="3370ff"/>
      </w:rPr>
    </w:lvl>
  </w:abstractNum>
  <w:abstractNum w:abstractNumId="386953">
    <w:lvl>
      <w:start w:val="1"/>
      <w:numFmt w:val="lowerLetter"/>
      <w:suff w:val="tab"/>
      <w:lvlText w:val="%1."/>
      <w:rPr>
        <w:color w:val="3370ff"/>
      </w:rPr>
    </w:lvl>
  </w:abstractNum>
  <w:abstractNum w:abstractNumId="386954">
    <w:lvl>
      <w:start w:val="2"/>
      <w:numFmt w:val="lowerLetter"/>
      <w:suff w:val="tab"/>
      <w:lvlText w:val="%1."/>
      <w:rPr>
        <w:color w:val="3370ff"/>
      </w:rPr>
    </w:lvl>
  </w:abstractNum>
  <w:abstractNum w:abstractNumId="386955">
    <w:lvl>
      <w:start w:val="3"/>
      <w:numFmt w:val="lowerLetter"/>
      <w:suff w:val="tab"/>
      <w:lvlText w:val="%1."/>
      <w:rPr>
        <w:color w:val="3370ff"/>
      </w:rPr>
    </w:lvl>
  </w:abstractNum>
  <w:abstractNum w:abstractNumId="386956">
    <w:lvl>
      <w:start w:val="2"/>
      <w:numFmt w:val="decimal"/>
      <w:suff w:val="tab"/>
      <w:lvlText w:val="%1."/>
      <w:rPr>
        <w:color w:val="3370ff"/>
      </w:rPr>
    </w:lvl>
  </w:abstractNum>
  <w:abstractNum w:abstractNumId="386957">
    <w:lvl>
      <w:start w:val="1"/>
      <w:numFmt w:val="lowerLetter"/>
      <w:suff w:val="tab"/>
      <w:lvlText w:val="%1."/>
      <w:rPr>
        <w:color w:val="3370ff"/>
      </w:rPr>
    </w:lvl>
  </w:abstractNum>
  <w:abstractNum w:abstractNumId="386958">
    <w:lvl>
      <w:start w:val="2"/>
      <w:numFmt w:val="lowerLetter"/>
      <w:suff w:val="tab"/>
      <w:lvlText w:val="%1."/>
      <w:rPr>
        <w:color w:val="3370ff"/>
      </w:rPr>
    </w:lvl>
  </w:abstractNum>
  <w:abstractNum w:abstractNumId="386959">
    <w:lvl>
      <w:start w:val="1"/>
      <w:numFmt w:val="decimal"/>
      <w:suff w:val="tab"/>
      <w:lvlText w:val="%1."/>
      <w:rPr>
        <w:color w:val="3370ff"/>
      </w:rPr>
    </w:lvl>
  </w:abstractNum>
  <w:abstractNum w:abstractNumId="386960">
    <w:lvl>
      <w:start w:val="2"/>
      <w:numFmt w:val="decimal"/>
      <w:suff w:val="tab"/>
      <w:lvlText w:val="%1."/>
      <w:rPr>
        <w:color w:val="3370ff"/>
      </w:rPr>
    </w:lvl>
  </w:abstractNum>
  <w:abstractNum w:abstractNumId="386961">
    <w:lvl>
      <w:start w:val="1"/>
      <w:numFmt w:val="decimal"/>
      <w:suff w:val="tab"/>
      <w:lvlText w:val="%1."/>
      <w:rPr>
        <w:color w:val="3370ff"/>
      </w:rPr>
    </w:lvl>
  </w:abstractNum>
  <w:abstractNum w:abstractNumId="386962">
    <w:lvl>
      <w:start w:val="2"/>
      <w:numFmt w:val="decimal"/>
      <w:suff w:val="tab"/>
      <w:lvlText w:val="%1."/>
      <w:rPr>
        <w:color w:val="3370ff"/>
      </w:rPr>
    </w:lvl>
  </w:abstractNum>
  <w:abstractNum w:abstractNumId="386963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386924"/>
  </w:num>
  <w:num w:numId="2">
    <w:abstractNumId w:val="386925"/>
  </w:num>
  <w:num w:numId="3">
    <w:abstractNumId w:val="386926"/>
  </w:num>
  <w:num w:numId="4">
    <w:abstractNumId w:val="386927"/>
  </w:num>
  <w:num w:numId="5">
    <w:abstractNumId w:val="386928"/>
  </w:num>
  <w:num w:numId="6">
    <w:abstractNumId w:val="386929"/>
  </w:num>
  <w:num w:numId="7">
    <w:abstractNumId w:val="386930"/>
  </w:num>
  <w:num w:numId="8">
    <w:abstractNumId w:val="386931"/>
  </w:num>
  <w:num w:numId="9">
    <w:abstractNumId w:val="386932"/>
  </w:num>
  <w:num w:numId="10">
    <w:abstractNumId w:val="386933"/>
  </w:num>
  <w:num w:numId="11">
    <w:abstractNumId w:val="386934"/>
  </w:num>
  <w:num w:numId="12">
    <w:abstractNumId w:val="386935"/>
  </w:num>
  <w:num w:numId="13">
    <w:abstractNumId w:val="386936"/>
  </w:num>
  <w:num w:numId="14">
    <w:abstractNumId w:val="386937"/>
  </w:num>
  <w:num w:numId="15">
    <w:abstractNumId w:val="386938"/>
  </w:num>
  <w:num w:numId="16">
    <w:abstractNumId w:val="386939"/>
  </w:num>
  <w:num w:numId="17">
    <w:abstractNumId w:val="386940"/>
  </w:num>
  <w:num w:numId="18">
    <w:abstractNumId w:val="386941"/>
  </w:num>
  <w:num w:numId="19">
    <w:abstractNumId w:val="386942"/>
  </w:num>
  <w:num w:numId="20">
    <w:abstractNumId w:val="386943"/>
  </w:num>
  <w:num w:numId="21">
    <w:abstractNumId w:val="386944"/>
  </w:num>
  <w:num w:numId="22">
    <w:abstractNumId w:val="386945"/>
  </w:num>
  <w:num w:numId="23">
    <w:abstractNumId w:val="386946"/>
  </w:num>
  <w:num w:numId="24">
    <w:abstractNumId w:val="386947"/>
  </w:num>
  <w:num w:numId="25">
    <w:abstractNumId w:val="386948"/>
  </w:num>
  <w:num w:numId="26">
    <w:abstractNumId w:val="386949"/>
  </w:num>
  <w:num w:numId="27">
    <w:abstractNumId w:val="386950"/>
  </w:num>
  <w:num w:numId="28">
    <w:abstractNumId w:val="386951"/>
  </w:num>
  <w:num w:numId="29">
    <w:abstractNumId w:val="386952"/>
  </w:num>
  <w:num w:numId="30">
    <w:abstractNumId w:val="386953"/>
  </w:num>
  <w:num w:numId="31">
    <w:abstractNumId w:val="386954"/>
  </w:num>
  <w:num w:numId="32">
    <w:abstractNumId w:val="386955"/>
  </w:num>
  <w:num w:numId="33">
    <w:abstractNumId w:val="386956"/>
  </w:num>
  <w:num w:numId="34">
    <w:abstractNumId w:val="386957"/>
  </w:num>
  <w:num w:numId="35">
    <w:abstractNumId w:val="386958"/>
  </w:num>
  <w:num w:numId="36">
    <w:abstractNumId w:val="386959"/>
  </w:num>
  <w:num w:numId="37">
    <w:abstractNumId w:val="386960"/>
  </w:num>
  <w:num w:numId="38">
    <w:abstractNumId w:val="386961"/>
  </w:num>
  <w:num w:numId="39">
    <w:abstractNumId w:val="386962"/>
  </w:num>
  <w:num w:numId="40">
    <w:abstractNumId w:val="38696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https://forchangesz.feishu.cn/wiki/wikcnOaW9UK2okdnvPpDR2a5jQf?sheet=5a930cf" TargetMode="External" Type="http://schemas.openxmlformats.org/officeDocument/2006/relationships/hyperlink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https://prod.pandateacher.com/web/fortrader-web/#/home?share_code=vNanyolVG4AOlgJY" TargetMode="External" Type="http://schemas.openxmlformats.org/officeDocument/2006/relationships/hyperlink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2025-05-12T16:54:43Z</dcterms:created>
  <dc:creator>Apache POI</dc:creator>
</cp:coreProperties>
</file>