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510724" w14:textId="77777777" w:rsidR="00151AC0" w:rsidRPr="00151AC0" w:rsidRDefault="00151AC0" w:rsidP="00151AC0">
      <w:pPr>
        <w:spacing w:before="36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51AC0">
        <w:rPr>
          <w:rFonts w:ascii="Arial" w:eastAsia="Times New Roman" w:hAnsi="Arial" w:cs="Arial"/>
          <w:color w:val="156082"/>
          <w:kern w:val="36"/>
          <w:sz w:val="28"/>
          <w:szCs w:val="28"/>
          <w:lang w:eastAsia="en-GB"/>
        </w:rPr>
        <w:t>Introduction</w:t>
      </w:r>
    </w:p>
    <w:p w14:paraId="3E8B9864" w14:textId="77777777" w:rsidR="00151AC0" w:rsidRPr="00151AC0" w:rsidRDefault="00151AC0" w:rsidP="00151AC0">
      <w:pPr>
        <w:spacing w:before="240" w:after="18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Australia Payments Plus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(AP+)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is the national payments and banking industry body that operates Australia’s domestic retail Payment Schemes.</w:t>
      </w:r>
      <w:r w:rsidRPr="00151AC0">
        <w:rPr>
          <w:rFonts w:ascii="Arial" w:eastAsia="Times New Roman" w:hAnsi="Arial" w:cs="Arial"/>
          <w:color w:val="000000"/>
          <w:sz w:val="22"/>
          <w:szCs w:val="22"/>
          <w:vertAlign w:val="superscript"/>
          <w:lang w:eastAsia="en-GB"/>
        </w:rPr>
        <w:t>[1]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The Reserve Bank of Australia (RBA) and Digital Finance Cooperative Research Centre (DFCRC) accepted</w:t>
      </w:r>
      <w:hyperlink r:id="rId5" w:history="1">
        <w:r w:rsidRPr="00151AC0">
          <w:rPr>
            <w:rFonts w:ascii="Arial" w:eastAsia="Times New Roman" w:hAnsi="Arial" w:cs="Arial"/>
            <w:color w:val="000000"/>
            <w:sz w:val="21"/>
            <w:szCs w:val="21"/>
            <w:u w:val="single"/>
            <w:lang w:eastAsia="en-GB"/>
          </w:rPr>
          <w:t xml:space="preserve"> three use cases</w:t>
        </w:r>
      </w:hyperlink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proposed by AP+ for the second phase of Project Acacia. These use cases were designed to highlight the elements of a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Future Payments Scheme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– an industry-operated utility and multilateral governance framework that would integrate tokenised financial markets with the existing national settlement infrastructure.</w:t>
      </w:r>
    </w:p>
    <w:p w14:paraId="0C620388" w14:textId="77777777" w:rsidR="00151AC0" w:rsidRPr="00151AC0" w:rsidRDefault="00151AC0" w:rsidP="00151AC0">
      <w:pPr>
        <w:spacing w:after="18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Each of three use cases accepted for Project Acacia explores a necessary component of a such a Scheme:  </w:t>
      </w:r>
    </w:p>
    <w:p w14:paraId="272E2BA9" w14:textId="77777777" w:rsidR="00151AC0" w:rsidRPr="00151AC0" w:rsidRDefault="00151AC0" w:rsidP="00151AC0">
      <w:pPr>
        <w:spacing w:before="240"/>
        <w:ind w:left="720" w:hanging="36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1.</w:t>
      </w:r>
      <w:r w:rsidRPr="00151AC0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 xml:space="preserve">  </w:t>
      </w:r>
      <w:r w:rsidRPr="00151AC0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ab/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NPP Token Service: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a facility supporting direct value transfers between digital tokens on public ledgers and conventional Australian dollar deposit accounts (Coin-to-Account / Account-to-Coin) via the New Payments Platform (24/7 RTGS)</w:t>
      </w:r>
    </w:p>
    <w:p w14:paraId="314DAF2A" w14:textId="77777777" w:rsidR="00151AC0" w:rsidRPr="00151AC0" w:rsidRDefault="00151AC0" w:rsidP="00151AC0">
      <w:pPr>
        <w:spacing w:before="240"/>
        <w:ind w:left="720" w:hanging="36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2.</w:t>
      </w:r>
      <w:r w:rsidRPr="00151AC0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 xml:space="preserve"> </w:t>
      </w:r>
      <w:r w:rsidRPr="00151AC0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ab/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Token Interchange Service: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an on-chain (public distributed ledger) facility allowing multilateral atomic conversion between privately issued money tokens (including stablecoins and deposit tokens) using a common interchange token representing token issuers’ off-chain central bank money balances</w:t>
      </w:r>
    </w:p>
    <w:p w14:paraId="0C459DA7" w14:textId="77777777" w:rsidR="00151AC0" w:rsidRPr="00151AC0" w:rsidRDefault="00151AC0" w:rsidP="00151AC0">
      <w:pPr>
        <w:spacing w:before="240" w:after="180"/>
        <w:ind w:left="720" w:hanging="36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b/>
          <w:bCs/>
          <w:color w:val="0E2841"/>
          <w:sz w:val="21"/>
          <w:szCs w:val="21"/>
          <w:lang w:eastAsia="en-GB"/>
        </w:rPr>
        <w:t>3.</w:t>
      </w:r>
      <w:r w:rsidRPr="00151AC0">
        <w:rPr>
          <w:rFonts w:ascii="Times New Roman" w:eastAsia="Times New Roman" w:hAnsi="Times New Roman" w:cs="Times New Roman"/>
          <w:color w:val="0E2841"/>
          <w:sz w:val="14"/>
          <w:szCs w:val="14"/>
          <w:lang w:eastAsia="en-GB"/>
        </w:rPr>
        <w:t xml:space="preserve"> </w:t>
      </w:r>
      <w:r w:rsidRPr="00151AC0">
        <w:rPr>
          <w:rFonts w:ascii="Times New Roman" w:eastAsia="Times New Roman" w:hAnsi="Times New Roman" w:cs="Times New Roman"/>
          <w:color w:val="0E2841"/>
          <w:sz w:val="14"/>
          <w:szCs w:val="14"/>
          <w:lang w:eastAsia="en-GB"/>
        </w:rPr>
        <w:tab/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Settlement Coordinator Services: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services supporting on-chain marketplaces transacting in tokenised financial instruments, including identity, compliance, and Scheme administration.</w:t>
      </w:r>
    </w:p>
    <w:p w14:paraId="65BDB667" w14:textId="77777777" w:rsidR="00151AC0" w:rsidRPr="00151AC0" w:rsidRDefault="00151AC0" w:rsidP="00151AC0">
      <w:pPr>
        <w:spacing w:before="240" w:after="18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The Scheme would enforce fungibility of different </w:t>
      </w:r>
      <w:proofErr w:type="gramStart"/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privately-issued</w:t>
      </w:r>
      <w:proofErr w:type="gramEnd"/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Australian currency tokens by requiring their exchange to be intermediated with a multilateral interchange token mirroring off-chain public money balances. This would address key concerns raised in the 2024</w:t>
      </w:r>
      <w:hyperlink r:id="rId6" w:history="1">
        <w:r w:rsidRPr="00151AC0">
          <w:rPr>
            <w:rFonts w:ascii="Arial" w:eastAsia="Times New Roman" w:hAnsi="Arial" w:cs="Arial"/>
            <w:color w:val="000000"/>
            <w:sz w:val="21"/>
            <w:szCs w:val="21"/>
            <w:u w:val="single"/>
            <w:lang w:eastAsia="en-GB"/>
          </w:rPr>
          <w:t xml:space="preserve"> </w:t>
        </w:r>
        <w:r w:rsidRPr="00151AC0">
          <w:rPr>
            <w:rFonts w:ascii="Arial" w:eastAsia="Times New Roman" w:hAnsi="Arial" w:cs="Arial"/>
            <w:color w:val="467886"/>
            <w:sz w:val="21"/>
            <w:szCs w:val="21"/>
            <w:u w:val="single"/>
            <w:lang w:eastAsia="en-GB"/>
          </w:rPr>
          <w:t>Project Acacia Consultation Report</w:t>
        </w:r>
      </w:hyperlink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– currency singleness and distinction in the roles of public and private money.</w:t>
      </w:r>
    </w:p>
    <w:p w14:paraId="3A0B8A19" w14:textId="77777777" w:rsidR="00151AC0" w:rsidRPr="00151AC0" w:rsidRDefault="00151AC0" w:rsidP="00151AC0">
      <w:pPr>
        <w:spacing w:before="240" w:after="18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Use Case 1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– the NPP Token Service – was conducted as a desktop study by AP+ in collaboration with the settlement service provider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 xml:space="preserve"> Cuscal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and the global payments messaging consortium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SWIFT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– the infrastructure vendor for the NPP.</w:t>
      </w:r>
    </w:p>
    <w:p w14:paraId="67BDC483" w14:textId="77777777" w:rsidR="00151AC0" w:rsidRPr="00151AC0" w:rsidRDefault="00151AC0" w:rsidP="00151AC0">
      <w:pPr>
        <w:spacing w:before="24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Use Case 2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– the Token Interchange Service – involved a live pilot undertaken by AP+ in collaboration with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AUDD Digital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,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Forte AUD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, and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Macropod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(formerly Catena) as token-issuers, and with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Cuscal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as both token-issuer and settlement agent for other token-issuers. The pilot demonstrated</w:t>
      </w:r>
    </w:p>
    <w:p w14:paraId="7628B0D9" w14:textId="75990D4E" w:rsidR="00151AC0" w:rsidRPr="00151AC0" w:rsidRDefault="00151AC0" w:rsidP="00151AC0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deployment of a token interchange smart-contract facility for multilateral conversion between Australian dollar money tokens on the permissioned public ledger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Hedera</w:t>
      </w:r>
    </w:p>
    <w:p w14:paraId="12157E2E" w14:textId="50A420D4" w:rsidR="00151AC0" w:rsidRPr="00151AC0" w:rsidRDefault="00151AC0" w:rsidP="00151AC0">
      <w:pPr>
        <w:pStyle w:val="ListParagraph"/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minting and circulation of pilot wholesale Central Bank Digital Currency (</w:t>
      </w:r>
      <w:proofErr w:type="spellStart"/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wCBDC</w:t>
      </w:r>
      <w:proofErr w:type="spellEnd"/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) on a separate permissioned private network (an instance of </w:t>
      </w:r>
      <w:proofErr w:type="spellStart"/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HashSphere</w:t>
      </w:r>
      <w:proofErr w:type="spellEnd"/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)</w:t>
      </w:r>
    </w:p>
    <w:p w14:paraId="5D965C3D" w14:textId="22E928AE" w:rsidR="00151AC0" w:rsidRPr="00151AC0" w:rsidRDefault="00151AC0" w:rsidP="00151AC0">
      <w:pPr>
        <w:pStyle w:val="ListParagraph"/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deployment of a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 xml:space="preserve">synchroniser 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allowing balances of the public network Token Interchange settlement asset to </w:t>
      </w:r>
      <w:r w:rsidRPr="00151AC0">
        <w:rPr>
          <w:rFonts w:ascii="Arial" w:eastAsia="Times New Roman" w:hAnsi="Arial" w:cs="Arial"/>
          <w:i/>
          <w:iCs/>
          <w:color w:val="000000"/>
          <w:sz w:val="21"/>
          <w:szCs w:val="21"/>
          <w:lang w:eastAsia="en-GB"/>
        </w:rPr>
        <w:t xml:space="preserve">mirror 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balances of private network </w:t>
      </w:r>
      <w:proofErr w:type="spellStart"/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wCBDC</w:t>
      </w:r>
      <w:proofErr w:type="spellEnd"/>
    </w:p>
    <w:p w14:paraId="6C5D6C78" w14:textId="3AD996B3" w:rsidR="00151AC0" w:rsidRPr="00151AC0" w:rsidRDefault="00151AC0" w:rsidP="00151AC0">
      <w:pPr>
        <w:pStyle w:val="ListParagraph"/>
        <w:numPr>
          <w:ilvl w:val="0"/>
          <w:numId w:val="1"/>
        </w:numPr>
        <w:spacing w:before="240" w:after="18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deployment of a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cross-chain bridge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between Hedera and the permissionless public Ethereum network.</w:t>
      </w:r>
    </w:p>
    <w:p w14:paraId="57172F67" w14:textId="77777777" w:rsidR="00151AC0" w:rsidRPr="00151AC0" w:rsidRDefault="00151AC0" w:rsidP="00151AC0">
      <w:pPr>
        <w:spacing w:before="240" w:after="18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Use Case 3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– Settlement Coordinator Service – was intended to define a range of supporting services and Scheme rules relating to NPP-token integration and token interchange – including digital identity, KYC/KYB, Proof of Reserves, and key management for participants in tokenised financial markets. The proof of concept was originally to involve AP+ as Lead Entity in collaboration with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Imperium Markets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as operator of a tokenised money market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.</w:t>
      </w:r>
    </w:p>
    <w:p w14:paraId="2F826D58" w14:textId="77777777" w:rsidR="00151AC0" w:rsidRPr="00151AC0" w:rsidRDefault="00151AC0" w:rsidP="00151AC0">
      <w:pPr>
        <w:spacing w:before="240" w:after="180"/>
        <w:jc w:val="both"/>
        <w:rPr>
          <w:rFonts w:ascii="Times New Roman" w:eastAsia="Times New Roman" w:hAnsi="Times New Roman" w:cs="Times New Roman"/>
          <w:lang w:eastAsia="en-GB"/>
        </w:rPr>
      </w:pP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As another Project Acacia Lead Entity, Imperium Markets is pursuing its own use cases relating to the issuance and trading of tokenised wholesale money market instruments. As a result of their 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lastRenderedPageBreak/>
        <w:t xml:space="preserve">participation in the AP+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Use Case 3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, Imperium Markets made the decision to adopt Hedera as the token ledger for a use case exploring the tokenised term deposits, negotiable certificates of deposit, and annuities. In October the Reserve Bank merged this use case with AP+ Use Case 3, making Imperium Markets Lead Entity. As the technical solution was developed for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Use Case 3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, the pilot retains a focus on generic “Real World Asset” (RWA) tokenisation and Settlement Coordinator services, rather than the tokenisation of specific money market instruments.</w:t>
      </w:r>
    </w:p>
    <w:p w14:paraId="445E1552" w14:textId="39A9842A" w:rsidR="002F72EA" w:rsidRDefault="00151AC0" w:rsidP="00151AC0">
      <w:pPr>
        <w:rPr>
          <w:rFonts w:ascii="Arial" w:eastAsia="Times New Roman" w:hAnsi="Arial" w:cs="Arial"/>
          <w:color w:val="000000"/>
          <w:sz w:val="21"/>
          <w:szCs w:val="21"/>
          <w:lang w:eastAsia="en-GB"/>
        </w:rPr>
      </w:pP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This document will address questions outlined in the RBA-DFCRC </w:t>
      </w:r>
      <w:r w:rsidRPr="00151AC0">
        <w:rPr>
          <w:rFonts w:ascii="Arial" w:eastAsia="Times New Roman" w:hAnsi="Arial" w:cs="Arial"/>
          <w:b/>
          <w:bCs/>
          <w:color w:val="000000"/>
          <w:sz w:val="21"/>
          <w:szCs w:val="21"/>
          <w:lang w:eastAsia="en-GB"/>
        </w:rPr>
        <w:t>Research Information Guidelines for Lead Entities</w:t>
      </w:r>
      <w:r w:rsidRPr="00151AC0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with reference to all three use cases and to the general proposal for an Australian industry-operated Future Payments Scheme.</w:t>
      </w:r>
    </w:p>
    <w:p w14:paraId="1E7D0EEB" w14:textId="77777777" w:rsidR="00462FD7" w:rsidRDefault="00462FD7" w:rsidP="00151AC0">
      <w:pPr>
        <w:rPr>
          <w:rFonts w:ascii="Arial" w:eastAsia="Times New Roman" w:hAnsi="Arial" w:cs="Arial"/>
          <w:color w:val="000000"/>
          <w:sz w:val="21"/>
          <w:szCs w:val="21"/>
          <w:lang w:eastAsia="en-GB"/>
        </w:rPr>
      </w:pPr>
    </w:p>
    <w:p w14:paraId="1AFC7E3B" w14:textId="77777777" w:rsidR="00462FD7" w:rsidRPr="00462FD7" w:rsidRDefault="00462FD7" w:rsidP="00462FD7">
      <w:pPr>
        <w:spacing w:before="240" w:after="180"/>
        <w:jc w:val="both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156082"/>
          <w:sz w:val="28"/>
          <w:szCs w:val="28"/>
          <w:lang w:eastAsia="en-GB"/>
        </w:rPr>
        <w:t>Research Information Guideline Questions</w:t>
      </w:r>
    </w:p>
    <w:p w14:paraId="63834C1D" w14:textId="77777777" w:rsidR="00462FD7" w:rsidRPr="00462FD7" w:rsidRDefault="00462FD7" w:rsidP="00462FD7">
      <w:pPr>
        <w:ind w:left="360" w:hanging="36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kern w:val="36"/>
          <w:lang w:eastAsia="en-GB"/>
        </w:rPr>
        <w:t>1.</w:t>
      </w:r>
      <w:r w:rsidRPr="00462FD7">
        <w:rPr>
          <w:rFonts w:ascii="Times New Roman" w:eastAsia="Times New Roman" w:hAnsi="Times New Roman" w:cs="Times New Roman"/>
          <w:color w:val="156082"/>
          <w:kern w:val="36"/>
          <w:sz w:val="14"/>
          <w:szCs w:val="14"/>
          <w:lang w:eastAsia="en-GB"/>
        </w:rPr>
        <w:t xml:space="preserve">   </w:t>
      </w:r>
      <w:r w:rsidRPr="00462FD7">
        <w:rPr>
          <w:rFonts w:ascii="Arial" w:eastAsia="Times New Roman" w:hAnsi="Arial" w:cs="Arial"/>
          <w:b/>
          <w:bCs/>
          <w:color w:val="156082"/>
          <w:kern w:val="36"/>
          <w:lang w:eastAsia="en-GB"/>
        </w:rPr>
        <w:t>Overall findings</w:t>
      </w:r>
    </w:p>
    <w:p w14:paraId="3F0BD498" w14:textId="77777777" w:rsidR="00462FD7" w:rsidRPr="00462FD7" w:rsidRDefault="00462FD7" w:rsidP="00462FD7">
      <w:pPr>
        <w:spacing w:before="20" w:after="240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62FD7">
        <w:rPr>
          <w:rFonts w:ascii="Arial" w:eastAsia="Times New Roman" w:hAnsi="Arial" w:cs="Arial"/>
          <w:color w:val="156082"/>
          <w:lang w:eastAsia="en-GB"/>
        </w:rPr>
        <w:t>What is the most significant learning or insight gained from the experimentation about each of the following:</w:t>
      </w:r>
    </w:p>
    <w:p w14:paraId="43E79FD0" w14:textId="77777777" w:rsidR="00462FD7" w:rsidRPr="00462FD7" w:rsidRDefault="00462FD7" w:rsidP="00462FD7">
      <w:pPr>
        <w:spacing w:before="20" w:after="240"/>
        <w:ind w:firstLine="36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62FD7">
        <w:rPr>
          <w:rFonts w:ascii="Arial" w:eastAsia="Times New Roman" w:hAnsi="Arial" w:cs="Arial"/>
          <w:color w:val="156082"/>
          <w:lang w:eastAsia="en-GB"/>
        </w:rPr>
        <w:t>1.1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 xml:space="preserve">   </w:t>
      </w:r>
      <w:r w:rsidRPr="00462FD7">
        <w:rPr>
          <w:rFonts w:ascii="Arial" w:eastAsia="Times New Roman" w:hAnsi="Arial" w:cs="Arial"/>
          <w:color w:val="156082"/>
          <w:lang w:eastAsia="en-GB"/>
        </w:rPr>
        <w:t>The opportunities &amp; challenges of asset tokenisation in wholesale markets</w:t>
      </w:r>
    </w:p>
    <w:p w14:paraId="27EACB2D" w14:textId="77777777" w:rsidR="00462FD7" w:rsidRPr="00462FD7" w:rsidRDefault="00462FD7" w:rsidP="00462FD7">
      <w:pPr>
        <w:spacing w:after="180"/>
        <w:ind w:left="720"/>
        <w:jc w:val="both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The experiments indicate that a domestic industry consortium could feasibly establish a settlement utility integrating tokenised money and asset markets with 24/7 Real Time Gross Settlement while preserving financial stability.</w:t>
      </w:r>
    </w:p>
    <w:p w14:paraId="7581444D" w14:textId="77777777" w:rsidR="00462FD7" w:rsidRPr="00462FD7" w:rsidRDefault="00462FD7" w:rsidP="00462FD7">
      <w:pPr>
        <w:spacing w:before="20" w:after="240"/>
        <w:ind w:left="72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2"/>
          <w:szCs w:val="22"/>
          <w:lang w:eastAsia="en-GB"/>
        </w:rPr>
        <w:t>Opportunities</w:t>
      </w:r>
    </w:p>
    <w:p w14:paraId="7B263EB2" w14:textId="77777777" w:rsidR="00462FD7" w:rsidRPr="00462FD7" w:rsidRDefault="00462FD7" w:rsidP="00462FD7">
      <w:pPr>
        <w:ind w:left="1080" w:hanging="36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1.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 xml:space="preserve">  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ab/>
      </w: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Competition and Innovation in Clearing &amp; Settlement Services</w:t>
      </w:r>
    </w:p>
    <w:p w14:paraId="05403545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 </w:t>
      </w:r>
    </w:p>
    <w:p w14:paraId="0B483C43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The experiments revealed that domestic industry participants have the resources to are prepared to create</w:t>
      </w:r>
    </w:p>
    <w:p w14:paraId="6D3C7F8C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 </w:t>
      </w:r>
    </w:p>
    <w:p w14:paraId="44F61A51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 xml:space="preserve"> with the Australia’s wholesale financial market infrastructure is dominated by the Australian Securities Exchange (ASX). This organisation was </w:t>
      </w:r>
      <w:proofErr w:type="gramStart"/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undertook</w:t>
      </w:r>
      <w:proofErr w:type="gramEnd"/>
    </w:p>
    <w:p w14:paraId="305C6407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 </w:t>
      </w:r>
    </w:p>
    <w:p w14:paraId="637628C6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 xml:space="preserve">project costing $250 million project, an apology for misleading regulators, and the retention of </w:t>
      </w:r>
      <w:proofErr w:type="gramStart"/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the .</w:t>
      </w:r>
      <w:proofErr w:type="gramEnd"/>
    </w:p>
    <w:p w14:paraId="470711AA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 </w:t>
      </w:r>
    </w:p>
    <w:p w14:paraId="753D8983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A consequence of this failure has been the operational risks.  Another consequence of this failure</w:t>
      </w:r>
    </w:p>
    <w:p w14:paraId="54D14FDD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 </w:t>
      </w:r>
    </w:p>
    <w:p w14:paraId="7CF1B310" w14:textId="77777777" w:rsidR="00462FD7" w:rsidRPr="00462FD7" w:rsidRDefault="00462FD7" w:rsidP="00462FD7">
      <w:pPr>
        <w:ind w:left="1080" w:hanging="36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2.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 xml:space="preserve"> 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ab/>
      </w: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Wholesale Market Utilisation of the Fast Settlement Service (FSS) and 24/7 Liquidity</w:t>
      </w:r>
    </w:p>
    <w:p w14:paraId="5F6F6E96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 </w:t>
      </w:r>
    </w:p>
    <w:p w14:paraId="50F26169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Distributed Ledger Technology (DLT) was the previously the subject of a costly failed initiative by the Australia Securities Exchange (ASX).</w:t>
      </w:r>
    </w:p>
    <w:p w14:paraId="7D8FC8B7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 </w:t>
      </w:r>
    </w:p>
    <w:p w14:paraId="101410F1" w14:textId="77777777" w:rsidR="00462FD7" w:rsidRPr="00462FD7" w:rsidRDefault="00462FD7" w:rsidP="00462FD7">
      <w:pPr>
        <w:ind w:left="1080" w:hanging="36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3.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 xml:space="preserve"> 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ab/>
      </w: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Extending Settlement Finality to Tokenised Markets Without (Necessarily) Introducing Central Bank Digital Currency</w:t>
      </w:r>
    </w:p>
    <w:p w14:paraId="6CDA95C9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 </w:t>
      </w:r>
    </w:p>
    <w:p w14:paraId="18B12E9E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Project Acacia has excluded retail CBDC from its scope, considering only a wholesale CBDC which would be held by institutions – albeit a potentially broader range of institutions than currently have access to central bank money in the form of Exchange Settlement Accounts. Although the introduction of a wholesale CBDC would be a less disruptive innovation than the introduction of a retail CBDC, it would still represent a considerable addition to the responsibilities of the RBA, while also requiring the introduction of significant new legislation and likely inviting considerable public scrutiny and debate.  </w:t>
      </w:r>
    </w:p>
    <w:p w14:paraId="60561AC5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lastRenderedPageBreak/>
        <w:t> </w:t>
      </w:r>
    </w:p>
    <w:p w14:paraId="624DDA52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Distributed Ledger Technology (DLT) was the previously the subject of a costly failed initiative by the Australia Securities Exchange (ASX).</w:t>
      </w:r>
    </w:p>
    <w:p w14:paraId="5FBD6510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 </w:t>
      </w:r>
    </w:p>
    <w:p w14:paraId="7FDAF884" w14:textId="77777777" w:rsidR="00462FD7" w:rsidRPr="00462FD7" w:rsidRDefault="00462FD7" w:rsidP="00462FD7">
      <w:pPr>
        <w:ind w:left="1080" w:hanging="36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4.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 xml:space="preserve"> 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ab/>
      </w: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Preserving Currency Singleness and Monetary Sovereignty Through a Domestic Industry Scheme</w:t>
      </w:r>
    </w:p>
    <w:p w14:paraId="0E7CDAC4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 </w:t>
      </w:r>
    </w:p>
    <w:p w14:paraId="66E13996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In doing so, the scheme would enable the </w:t>
      </w:r>
      <w:proofErr w:type="gramStart"/>
      <w:r w:rsidRPr="00462FD7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various  innovations</w:t>
      </w:r>
      <w:proofErr w:type="gramEnd"/>
      <w:r w:rsidRPr="00462FD7">
        <w:rPr>
          <w:rFonts w:ascii="Arial" w:eastAsia="Times New Roman" w:hAnsi="Arial" w:cs="Arial"/>
          <w:color w:val="000000"/>
          <w:sz w:val="21"/>
          <w:szCs w:val="21"/>
          <w:lang w:eastAsia="en-GB"/>
        </w:rPr>
        <w:t xml:space="preserve"> pursued in the use cases presented by other Project Acacia Entities.  </w:t>
      </w:r>
    </w:p>
    <w:p w14:paraId="696B2C05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Distributed Ledger Technology (DLT) was the previously the subject of a costly failed initiative by the Australia Securities Exchange (ASX).</w:t>
      </w:r>
    </w:p>
    <w:p w14:paraId="4F84B7AC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 </w:t>
      </w:r>
    </w:p>
    <w:p w14:paraId="318724FE" w14:textId="77777777" w:rsidR="00462FD7" w:rsidRPr="00462FD7" w:rsidRDefault="00462FD7" w:rsidP="00462FD7">
      <w:pPr>
        <w:ind w:left="1080" w:hanging="36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5.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 xml:space="preserve"> 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ab/>
      </w: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Supporting Platform Interoperability as the Basis for a Global Value Layer</w:t>
      </w:r>
    </w:p>
    <w:p w14:paraId="28A2E025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 </w:t>
      </w:r>
    </w:p>
    <w:p w14:paraId="0B7DA3F1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Distributed Ledger Technology (DLT) was the previously the subject of a costly failed initiative by the Australia Securities Exchange (ASX).</w:t>
      </w:r>
    </w:p>
    <w:p w14:paraId="6E070660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 </w:t>
      </w:r>
    </w:p>
    <w:p w14:paraId="1E8C8910" w14:textId="77777777" w:rsidR="00462FD7" w:rsidRPr="00462FD7" w:rsidRDefault="00462FD7" w:rsidP="00462FD7">
      <w:pPr>
        <w:ind w:left="1080" w:hanging="36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6.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 xml:space="preserve"> 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ab/>
      </w: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Advancing Federated Digital Identity Technology</w:t>
      </w:r>
    </w:p>
    <w:p w14:paraId="1072EBC7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 </w:t>
      </w:r>
    </w:p>
    <w:p w14:paraId="23CBF747" w14:textId="77777777" w:rsidR="00462FD7" w:rsidRPr="00462FD7" w:rsidRDefault="00462FD7" w:rsidP="00462FD7">
      <w:pPr>
        <w:spacing w:after="180"/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Distributed Ledger Technology (DLT) was the previously the subject of a costly failed initiative by the Australia Securities Exchange (ASX).</w:t>
      </w:r>
    </w:p>
    <w:p w14:paraId="62DA2B4B" w14:textId="77777777" w:rsidR="00462FD7" w:rsidRPr="00462FD7" w:rsidRDefault="00462FD7" w:rsidP="00462FD7">
      <w:pPr>
        <w:spacing w:before="20" w:after="240"/>
        <w:ind w:left="72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2"/>
          <w:szCs w:val="22"/>
          <w:lang w:eastAsia="en-GB"/>
        </w:rPr>
        <w:t>Challenges</w:t>
      </w:r>
    </w:p>
    <w:p w14:paraId="66BBC78B" w14:textId="77777777" w:rsidR="00462FD7" w:rsidRPr="00462FD7" w:rsidRDefault="00462FD7" w:rsidP="00462FD7">
      <w:pPr>
        <w:ind w:left="1080" w:hanging="36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1.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 xml:space="preserve">  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ab/>
      </w: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Liquidity Fragmentation</w:t>
      </w:r>
    </w:p>
    <w:p w14:paraId="4CE2FD88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 </w:t>
      </w:r>
    </w:p>
    <w:p w14:paraId="3B2522AC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Distributed Ledger Technology (DLT) was the previously the subject of a costly failed initiative by the Australia Securities Exchange (ASX).</w:t>
      </w:r>
    </w:p>
    <w:p w14:paraId="1AAFF947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 </w:t>
      </w:r>
    </w:p>
    <w:p w14:paraId="6BFAD5A2" w14:textId="77777777" w:rsidR="00462FD7" w:rsidRPr="00462FD7" w:rsidRDefault="00462FD7" w:rsidP="00462FD7">
      <w:pPr>
        <w:ind w:left="1080" w:hanging="36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2.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 xml:space="preserve"> 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ab/>
      </w: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Legal and Regulatory Novelty</w:t>
      </w:r>
    </w:p>
    <w:p w14:paraId="10E29493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 </w:t>
      </w:r>
    </w:p>
    <w:p w14:paraId="5F6A9475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Distributed Ledger Technology (DLT) was the previously the subject of a costly failed initiative by the Australia Securities Exchange (ASX).</w:t>
      </w:r>
    </w:p>
    <w:p w14:paraId="16CE2A2B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 </w:t>
      </w:r>
    </w:p>
    <w:p w14:paraId="7E34690B" w14:textId="77777777" w:rsidR="00462FD7" w:rsidRPr="00462FD7" w:rsidRDefault="00462FD7" w:rsidP="00462FD7">
      <w:pPr>
        <w:ind w:left="1080" w:hanging="36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3.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 xml:space="preserve"> 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ab/>
      </w: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Privacy of Market Activity</w:t>
      </w:r>
    </w:p>
    <w:p w14:paraId="3BAEB864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 </w:t>
      </w:r>
    </w:p>
    <w:p w14:paraId="38E4B5A9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Distributed Ledger Technology (DLT) was the previously the subject of a costly failed initiative by the Australia Securities Exchange (ASX).</w:t>
      </w:r>
    </w:p>
    <w:p w14:paraId="3919EC5C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 </w:t>
      </w:r>
    </w:p>
    <w:p w14:paraId="328D68B4" w14:textId="77777777" w:rsidR="00462FD7" w:rsidRPr="00462FD7" w:rsidRDefault="00462FD7" w:rsidP="00462FD7">
      <w:pPr>
        <w:ind w:left="1080" w:hanging="36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4.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 xml:space="preserve"> 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ab/>
      </w: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Defining Trust Assumptions</w:t>
      </w:r>
    </w:p>
    <w:p w14:paraId="75F68EB7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 </w:t>
      </w:r>
    </w:p>
    <w:p w14:paraId="0ECDEDB5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Distributed Ledger Technology (DLT) was the previously the subject of a costly failed initiative by the Australia Securities Exchange (ASX).</w:t>
      </w:r>
    </w:p>
    <w:p w14:paraId="0D24E989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 </w:t>
      </w:r>
    </w:p>
    <w:p w14:paraId="5C1FE9C3" w14:textId="77777777" w:rsidR="00462FD7" w:rsidRPr="00462FD7" w:rsidRDefault="00462FD7" w:rsidP="00462FD7">
      <w:pPr>
        <w:ind w:left="1080" w:hanging="36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5.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 xml:space="preserve"> 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ab/>
      </w: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Platform Selection and Maturity</w:t>
      </w:r>
    </w:p>
    <w:p w14:paraId="4F57B222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 </w:t>
      </w:r>
    </w:p>
    <w:p w14:paraId="7259A973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Distributed Ledger Technology (DLT) was the previously the subject of a costly failed initiative by the Australia Securities Exchange (ASX).</w:t>
      </w:r>
    </w:p>
    <w:p w14:paraId="74C69E94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 </w:t>
      </w:r>
    </w:p>
    <w:p w14:paraId="02BE9313" w14:textId="77777777" w:rsidR="00462FD7" w:rsidRPr="00462FD7" w:rsidRDefault="00462FD7" w:rsidP="00462FD7">
      <w:pPr>
        <w:ind w:left="1080" w:hanging="36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6.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 xml:space="preserve"> 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ab/>
      </w: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Scope of Organisational Objectives, Strategic Urgency, and Domestic Industry’s Collective Action Problem</w:t>
      </w:r>
    </w:p>
    <w:p w14:paraId="641CE464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b/>
          <w:bCs/>
          <w:color w:val="156082"/>
          <w:sz w:val="21"/>
          <w:szCs w:val="21"/>
          <w:lang w:eastAsia="en-GB"/>
        </w:rPr>
        <w:t> </w:t>
      </w:r>
    </w:p>
    <w:p w14:paraId="4372BBC7" w14:textId="77777777" w:rsidR="00462FD7" w:rsidRPr="00462FD7" w:rsidRDefault="00462FD7" w:rsidP="00462FD7">
      <w:pPr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Distributed Ledger Technology (DLT) was the previously the subject of a costly failed initiative by the Australia Securities Exchange (ASX).  $</w:t>
      </w:r>
    </w:p>
    <w:p w14:paraId="239A9DE8" w14:textId="77777777" w:rsidR="00462FD7" w:rsidRPr="00462FD7" w:rsidRDefault="00462FD7" w:rsidP="00462FD7">
      <w:pPr>
        <w:spacing w:after="180"/>
        <w:ind w:left="108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AUD750K</w:t>
      </w:r>
    </w:p>
    <w:p w14:paraId="7DA8943C" w14:textId="77777777" w:rsidR="00462FD7" w:rsidRPr="00462FD7" w:rsidRDefault="00462FD7" w:rsidP="00462FD7">
      <w:pPr>
        <w:spacing w:before="20" w:after="240"/>
        <w:ind w:firstLine="36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62FD7">
        <w:rPr>
          <w:rFonts w:ascii="Arial" w:eastAsia="Times New Roman" w:hAnsi="Arial" w:cs="Arial"/>
          <w:color w:val="156082"/>
          <w:lang w:eastAsia="en-GB"/>
        </w:rPr>
        <w:lastRenderedPageBreak/>
        <w:t>1.2.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 xml:space="preserve">   </w:t>
      </w:r>
      <w:r w:rsidRPr="00462FD7">
        <w:rPr>
          <w:rFonts w:ascii="Arial" w:eastAsia="Times New Roman" w:hAnsi="Arial" w:cs="Arial"/>
          <w:color w:val="156082"/>
          <w:lang w:eastAsia="en-GB"/>
        </w:rPr>
        <w:t xml:space="preserve">The settlement model(s) </w:t>
      </w:r>
      <w:proofErr w:type="gramStart"/>
      <w:r w:rsidRPr="00462FD7">
        <w:rPr>
          <w:rFonts w:ascii="Arial" w:eastAsia="Times New Roman" w:hAnsi="Arial" w:cs="Arial"/>
          <w:color w:val="156082"/>
          <w:lang w:eastAsia="en-GB"/>
        </w:rPr>
        <w:t>explored</w:t>
      </w:r>
      <w:proofErr w:type="gramEnd"/>
      <w:r w:rsidRPr="00462FD7">
        <w:rPr>
          <w:rFonts w:ascii="Arial" w:eastAsia="Times New Roman" w:hAnsi="Arial" w:cs="Arial"/>
          <w:color w:val="156082"/>
          <w:lang w:eastAsia="en-GB"/>
        </w:rPr>
        <w:t xml:space="preserve"> and the benefits, limitations and trade-offs associated with them</w:t>
      </w:r>
    </w:p>
    <w:p w14:paraId="474BC286" w14:textId="77777777" w:rsidR="00462FD7" w:rsidRPr="00462FD7" w:rsidRDefault="00462FD7" w:rsidP="00462FD7">
      <w:pPr>
        <w:ind w:left="72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The 2024 Project Acacia Consultation Paper outlined five basic models of settlement for token transactions. Those Models distinguish technical on-chain atomic settlement (using a settlement money token) from conventional final settlement using the Reserve Bank Information and Transfer System (RITS). The models also distinguish on-chain settlement with public money tokens from on-chain settlement with private money tokens.</w:t>
      </w:r>
    </w:p>
    <w:p w14:paraId="40726AEB" w14:textId="77777777" w:rsidR="00462FD7" w:rsidRPr="00462FD7" w:rsidRDefault="00462FD7" w:rsidP="00462FD7">
      <w:pPr>
        <w:ind w:left="72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 </w:t>
      </w:r>
    </w:p>
    <w:p w14:paraId="007C83DB" w14:textId="77777777" w:rsidR="00462FD7" w:rsidRPr="00462FD7" w:rsidRDefault="00462FD7" w:rsidP="00462FD7">
      <w:pPr>
        <w:ind w:left="72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 xml:space="preserve">The settlement model explored in the AP+ experiments </w:t>
      </w:r>
      <w:proofErr w:type="spellStart"/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uis</w:t>
      </w:r>
      <w:proofErr w:type="spellEnd"/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 xml:space="preserve"> distinct from any of these models but can be compared to each of them.</w:t>
      </w:r>
    </w:p>
    <w:p w14:paraId="43DB0ACD" w14:textId="77777777" w:rsidR="00462FD7" w:rsidRPr="00462FD7" w:rsidRDefault="00462FD7" w:rsidP="00462FD7">
      <w:pPr>
        <w:ind w:left="72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 </w:t>
      </w:r>
    </w:p>
    <w:p w14:paraId="453A34B0" w14:textId="77777777" w:rsidR="00462FD7" w:rsidRPr="00462FD7" w:rsidRDefault="00462FD7" w:rsidP="00462FD7">
      <w:pPr>
        <w:ind w:left="72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 xml:space="preserve">Model </w:t>
      </w:r>
      <w:proofErr w:type="spellStart"/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A:aaa</w:t>
      </w:r>
      <w:proofErr w:type="spellEnd"/>
    </w:p>
    <w:p w14:paraId="65041D8D" w14:textId="77777777" w:rsidR="00462FD7" w:rsidRPr="00462FD7" w:rsidRDefault="00462FD7" w:rsidP="00462FD7">
      <w:pPr>
        <w:ind w:left="72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 xml:space="preserve">Model B: </w:t>
      </w:r>
      <w:proofErr w:type="spellStart"/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bbb</w:t>
      </w:r>
      <w:proofErr w:type="spellEnd"/>
    </w:p>
    <w:p w14:paraId="69EE8D5A" w14:textId="77777777" w:rsidR="00462FD7" w:rsidRPr="00462FD7" w:rsidRDefault="00462FD7" w:rsidP="00462FD7">
      <w:pPr>
        <w:ind w:left="72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 xml:space="preserve">Model </w:t>
      </w:r>
      <w:proofErr w:type="spellStart"/>
      <w:proofErr w:type="gramStart"/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C:ccc</w:t>
      </w:r>
      <w:proofErr w:type="spellEnd"/>
      <w:proofErr w:type="gramEnd"/>
    </w:p>
    <w:p w14:paraId="7FB19B72" w14:textId="77777777" w:rsidR="00462FD7" w:rsidRPr="00462FD7" w:rsidRDefault="00462FD7" w:rsidP="00462FD7">
      <w:pPr>
        <w:ind w:left="72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 xml:space="preserve">Model </w:t>
      </w:r>
      <w:proofErr w:type="spellStart"/>
      <w:proofErr w:type="gramStart"/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D:dddd</w:t>
      </w:r>
      <w:proofErr w:type="spellEnd"/>
      <w:proofErr w:type="gramEnd"/>
    </w:p>
    <w:p w14:paraId="5BA557E1" w14:textId="77777777" w:rsidR="00462FD7" w:rsidRPr="00462FD7" w:rsidRDefault="00462FD7" w:rsidP="00462FD7">
      <w:pPr>
        <w:spacing w:after="180"/>
        <w:ind w:left="72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 xml:space="preserve">Model E:  </w:t>
      </w:r>
      <w:proofErr w:type="spellStart"/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>eeee</w:t>
      </w:r>
      <w:proofErr w:type="spellEnd"/>
    </w:p>
    <w:p w14:paraId="71292921" w14:textId="77777777" w:rsidR="00462FD7" w:rsidRPr="00462FD7" w:rsidRDefault="00462FD7" w:rsidP="00462FD7">
      <w:pPr>
        <w:spacing w:before="20" w:after="240"/>
        <w:ind w:firstLine="36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62FD7">
        <w:rPr>
          <w:rFonts w:ascii="Arial" w:eastAsia="Times New Roman" w:hAnsi="Arial" w:cs="Arial"/>
          <w:color w:val="156082"/>
          <w:lang w:eastAsia="en-GB"/>
        </w:rPr>
        <w:t>1.3.</w:t>
      </w:r>
      <w:r w:rsidRPr="00462FD7">
        <w:rPr>
          <w:rFonts w:ascii="Times New Roman" w:eastAsia="Times New Roman" w:hAnsi="Times New Roman" w:cs="Times New Roman"/>
          <w:color w:val="156082"/>
          <w:sz w:val="14"/>
          <w:szCs w:val="14"/>
          <w:lang w:eastAsia="en-GB"/>
        </w:rPr>
        <w:t xml:space="preserve">   </w:t>
      </w:r>
      <w:r w:rsidRPr="00462FD7">
        <w:rPr>
          <w:rFonts w:ascii="Arial" w:eastAsia="Times New Roman" w:hAnsi="Arial" w:cs="Arial"/>
          <w:color w:val="156082"/>
          <w:lang w:eastAsia="en-GB"/>
        </w:rPr>
        <w:t>The capabilities or attributes that central bank and/or privately issued money would need to have to realise the potential of tokenisation in wholesale markets</w:t>
      </w:r>
    </w:p>
    <w:p w14:paraId="531BC163" w14:textId="77777777" w:rsidR="00462FD7" w:rsidRPr="00462FD7" w:rsidRDefault="00462FD7" w:rsidP="00462FD7">
      <w:pPr>
        <w:spacing w:after="180"/>
        <w:ind w:left="720"/>
        <w:rPr>
          <w:rFonts w:ascii="Times New Roman" w:eastAsia="Times New Roman" w:hAnsi="Times New Roman" w:cs="Times New Roman"/>
          <w:lang w:eastAsia="en-GB"/>
        </w:rPr>
      </w:pPr>
      <w:r w:rsidRPr="00462FD7">
        <w:rPr>
          <w:rFonts w:ascii="Arial" w:eastAsia="Times New Roman" w:hAnsi="Arial" w:cs="Arial"/>
          <w:color w:val="0E2841"/>
          <w:sz w:val="21"/>
          <w:szCs w:val="21"/>
          <w:lang w:eastAsia="en-GB"/>
        </w:rPr>
        <w:t xml:space="preserve">FINALITY OF SETTLEMENT &amp; FUNGIBILITY  </w:t>
      </w:r>
    </w:p>
    <w:p w14:paraId="4F83A33C" w14:textId="77777777" w:rsidR="00462FD7" w:rsidRDefault="00462FD7" w:rsidP="00151AC0"/>
    <w:sectPr w:rsidR="00462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440A23"/>
    <w:multiLevelType w:val="hybridMultilevel"/>
    <w:tmpl w:val="4240EA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960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C0"/>
    <w:rsid w:val="00013EC3"/>
    <w:rsid w:val="00151AC0"/>
    <w:rsid w:val="002F72EA"/>
    <w:rsid w:val="00462FD7"/>
    <w:rsid w:val="00885BBD"/>
    <w:rsid w:val="00A91BD4"/>
    <w:rsid w:val="00E0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E68D64"/>
  <w15:chartTrackingRefBased/>
  <w15:docId w15:val="{816402B0-3026-DF40-98CB-57BAD2AB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1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A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A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A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A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1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A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A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A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A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1AC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151AC0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151A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ba.gov.au/payments-and-infrastructure/central-bank-digital-currency/pdf/project-acacia-consultation-paper-2024-11.pdf" TargetMode="External"/><Relationship Id="rId5" Type="http://schemas.openxmlformats.org/officeDocument/2006/relationships/hyperlink" Target="https://dfcrc.com.au/wp-content/uploads/2025/08/Project-Acacia-summary-of-use-cases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1433</Words>
  <Characters>8169</Characters>
  <Application>Microsoft Office Word</Application>
  <DocSecurity>0</DocSecurity>
  <Lines>68</Lines>
  <Paragraphs>19</Paragraphs>
  <ScaleCrop>false</ScaleCrop>
  <Company/>
  <LinksUpToDate>false</LinksUpToDate>
  <CharactersWithSpaces>9583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Kelly</dc:creator>
  <cp:keywords/>
  <dc:description/>
  <cp:lastModifiedBy>Gerard Kelly</cp:lastModifiedBy>
  <cp:revision>2</cp:revision>
  <dcterms:created xsi:type="dcterms:W3CDTF">2025-11-19T15:34:00Z</dcterms:created>
  <dcterms:modified xsi:type="dcterms:W3CDTF">2025-11-19T15:34:00Z</dcterms:modified>
</cp:coreProperties>
</file>