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90E0B1" w14:textId="77777777" w:rsidR="00120036" w:rsidRPr="00120036" w:rsidRDefault="00120036" w:rsidP="00120036">
      <w:pPr>
        <w:jc w:val="both"/>
        <w:rPr>
          <w:rFonts w:ascii="Times New Roman" w:eastAsia="Times New Roman" w:hAnsi="Times New Roman" w:cs="Times New Roman"/>
          <w:lang w:eastAsia="en-GB"/>
        </w:rPr>
      </w:pPr>
      <w:r w:rsidRPr="00120036">
        <w:rPr>
          <w:rFonts w:ascii="Arial" w:eastAsia="Times New Roman" w:hAnsi="Arial" w:cs="Arial"/>
          <w:color w:val="0B3041"/>
          <w:sz w:val="32"/>
          <w:szCs w:val="32"/>
          <w:lang w:eastAsia="en-GB"/>
        </w:rPr>
        <w:t>Australia Payments Plus</w:t>
      </w:r>
    </w:p>
    <w:p w14:paraId="7208A2D7" w14:textId="77777777" w:rsidR="00120036" w:rsidRPr="00120036" w:rsidRDefault="00120036" w:rsidP="00120036">
      <w:pPr>
        <w:jc w:val="both"/>
        <w:rPr>
          <w:rFonts w:ascii="Times New Roman" w:eastAsia="Times New Roman" w:hAnsi="Times New Roman" w:cs="Times New Roman"/>
          <w:lang w:eastAsia="en-GB"/>
        </w:rPr>
      </w:pPr>
      <w:r w:rsidRPr="00120036">
        <w:rPr>
          <w:rFonts w:ascii="Arial" w:eastAsia="Times New Roman" w:hAnsi="Arial" w:cs="Arial"/>
          <w:b/>
          <w:bCs/>
          <w:color w:val="0B3041"/>
          <w:sz w:val="32"/>
          <w:szCs w:val="32"/>
          <w:lang w:eastAsia="en-GB"/>
        </w:rPr>
        <w:t> </w:t>
      </w:r>
    </w:p>
    <w:p w14:paraId="505C0951" w14:textId="77777777" w:rsidR="00120036" w:rsidRPr="00120036" w:rsidRDefault="00120036" w:rsidP="00120036">
      <w:pPr>
        <w:jc w:val="both"/>
        <w:rPr>
          <w:rFonts w:ascii="Times New Roman" w:eastAsia="Times New Roman" w:hAnsi="Times New Roman" w:cs="Times New Roman"/>
          <w:lang w:eastAsia="en-GB"/>
        </w:rPr>
      </w:pPr>
      <w:r w:rsidRPr="00120036">
        <w:rPr>
          <w:rFonts w:ascii="Arial" w:eastAsia="Times New Roman" w:hAnsi="Arial" w:cs="Arial"/>
          <w:b/>
          <w:bCs/>
          <w:color w:val="0B3041"/>
          <w:sz w:val="32"/>
          <w:szCs w:val="32"/>
          <w:lang w:eastAsia="en-GB"/>
        </w:rPr>
        <w:t>Project Acacia Phase 2 Pilot</w:t>
      </w:r>
    </w:p>
    <w:p w14:paraId="75DE41F6" w14:textId="77777777" w:rsidR="00120036" w:rsidRPr="00120036" w:rsidRDefault="00120036" w:rsidP="00120036">
      <w:pPr>
        <w:spacing w:after="120"/>
        <w:jc w:val="both"/>
        <w:rPr>
          <w:rFonts w:ascii="Times New Roman" w:eastAsia="Times New Roman" w:hAnsi="Times New Roman" w:cs="Times New Roman"/>
          <w:lang w:eastAsia="en-GB"/>
        </w:rPr>
      </w:pPr>
      <w:r w:rsidRPr="00120036">
        <w:rPr>
          <w:rFonts w:ascii="Arial" w:eastAsia="Times New Roman" w:hAnsi="Arial" w:cs="Arial"/>
          <w:color w:val="0B3041"/>
          <w:sz w:val="28"/>
          <w:szCs w:val="28"/>
          <w:lang w:eastAsia="en-GB"/>
        </w:rPr>
        <w:t>Report to the Reserve Bank of Australia</w:t>
      </w:r>
    </w:p>
    <w:p w14:paraId="6A957CE4"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b/>
          <w:bCs/>
          <w:color w:val="0B3041"/>
          <w:sz w:val="21"/>
          <w:szCs w:val="21"/>
          <w:lang w:eastAsia="en-GB"/>
        </w:rPr>
        <w:t> </w:t>
      </w:r>
    </w:p>
    <w:p w14:paraId="03E520DB"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b/>
          <w:bCs/>
          <w:color w:val="0B3041"/>
          <w:sz w:val="21"/>
          <w:szCs w:val="21"/>
          <w:lang w:eastAsia="en-GB"/>
        </w:rPr>
        <w:t> </w:t>
      </w:r>
    </w:p>
    <w:p w14:paraId="082A25DD"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b/>
          <w:bCs/>
          <w:color w:val="0B3041"/>
          <w:sz w:val="21"/>
          <w:szCs w:val="21"/>
          <w:lang w:eastAsia="en-GB"/>
        </w:rPr>
        <w:t>ELEMENTS OF A FUTURE PAYMENTS SCHEME</w:t>
      </w:r>
    </w:p>
    <w:p w14:paraId="53FB3A85"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B3041"/>
          <w:sz w:val="21"/>
          <w:szCs w:val="21"/>
          <w:lang w:eastAsia="en-GB"/>
        </w:rPr>
        <w:t>DECEMBER 2025</w:t>
      </w:r>
    </w:p>
    <w:p w14:paraId="6800D2BC"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B3041"/>
          <w:sz w:val="21"/>
          <w:szCs w:val="21"/>
          <w:lang w:eastAsia="en-GB"/>
        </w:rPr>
        <w:t> </w:t>
      </w:r>
    </w:p>
    <w:p w14:paraId="02A16F03"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B3041"/>
          <w:sz w:val="21"/>
          <w:szCs w:val="21"/>
          <w:lang w:eastAsia="en-GB"/>
        </w:rPr>
        <w:t> </w:t>
      </w:r>
    </w:p>
    <w:p w14:paraId="062C6B1C" w14:textId="77777777" w:rsidR="00120036" w:rsidRPr="00120036" w:rsidRDefault="00120036" w:rsidP="00120036">
      <w:pPr>
        <w:spacing w:before="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sz w:val="28"/>
          <w:szCs w:val="28"/>
          <w:lang w:eastAsia="en-GB"/>
        </w:rPr>
        <w:t>Introduction</w:t>
      </w:r>
    </w:p>
    <w:p w14:paraId="7115BA4F"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b/>
          <w:bCs/>
          <w:color w:val="000000"/>
          <w:sz w:val="21"/>
          <w:szCs w:val="21"/>
          <w:lang w:eastAsia="en-GB"/>
        </w:rPr>
        <w:t>Australia Payments Plus</w:t>
      </w:r>
      <w:r w:rsidRPr="00120036">
        <w:rPr>
          <w:rFonts w:ascii="Arial" w:eastAsia="Times New Roman" w:hAnsi="Arial" w:cs="Arial"/>
          <w:color w:val="000000"/>
          <w:sz w:val="21"/>
          <w:szCs w:val="21"/>
          <w:lang w:eastAsia="en-GB"/>
        </w:rPr>
        <w:t xml:space="preserve"> </w:t>
      </w:r>
      <w:r w:rsidRPr="00120036">
        <w:rPr>
          <w:rFonts w:ascii="Arial" w:eastAsia="Times New Roman" w:hAnsi="Arial" w:cs="Arial"/>
          <w:b/>
          <w:bCs/>
          <w:color w:val="000000"/>
          <w:sz w:val="21"/>
          <w:szCs w:val="21"/>
          <w:lang w:eastAsia="en-GB"/>
        </w:rPr>
        <w:t>(AP+)</w:t>
      </w:r>
      <w:r w:rsidRPr="00120036">
        <w:rPr>
          <w:rFonts w:ascii="Arial" w:eastAsia="Times New Roman" w:hAnsi="Arial" w:cs="Arial"/>
          <w:color w:val="000000"/>
          <w:sz w:val="21"/>
          <w:szCs w:val="21"/>
          <w:lang w:eastAsia="en-GB"/>
        </w:rPr>
        <w:t xml:space="preserve"> is the national payments and banking industry body that operates Australia’s domestic retail Payment Schemes.</w:t>
      </w:r>
      <w:r w:rsidRPr="00120036">
        <w:rPr>
          <w:rFonts w:ascii="Arial" w:eastAsia="Times New Roman" w:hAnsi="Arial" w:cs="Arial"/>
          <w:color w:val="000000"/>
          <w:sz w:val="22"/>
          <w:szCs w:val="22"/>
          <w:vertAlign w:val="superscript"/>
          <w:lang w:eastAsia="en-GB"/>
        </w:rPr>
        <w:t>[1]</w:t>
      </w:r>
      <w:r w:rsidRPr="00120036">
        <w:rPr>
          <w:rFonts w:ascii="Arial" w:eastAsia="Times New Roman" w:hAnsi="Arial" w:cs="Arial"/>
          <w:color w:val="000000"/>
          <w:sz w:val="21"/>
          <w:szCs w:val="21"/>
          <w:lang w:eastAsia="en-GB"/>
        </w:rPr>
        <w:t xml:space="preserve"> The Reserve Bank of Australia (RBA) and Digital Finance Cooperative Research Centre (DFCRC) accepted</w:t>
      </w:r>
      <w:hyperlink r:id="rId5" w:history="1">
        <w:r w:rsidRPr="00120036">
          <w:rPr>
            <w:rFonts w:ascii="Arial" w:eastAsia="Times New Roman" w:hAnsi="Arial" w:cs="Arial"/>
            <w:color w:val="000000"/>
            <w:sz w:val="21"/>
            <w:szCs w:val="21"/>
            <w:lang w:eastAsia="en-GB"/>
          </w:rPr>
          <w:t xml:space="preserve"> </w:t>
        </w:r>
        <w:r w:rsidRPr="00120036">
          <w:rPr>
            <w:rFonts w:ascii="Arial" w:eastAsia="Times New Roman" w:hAnsi="Arial" w:cs="Arial"/>
            <w:color w:val="000000"/>
            <w:sz w:val="21"/>
            <w:szCs w:val="21"/>
            <w:u w:val="single"/>
            <w:lang w:eastAsia="en-GB"/>
          </w:rPr>
          <w:t>three use cases</w:t>
        </w:r>
      </w:hyperlink>
      <w:r w:rsidRPr="00120036">
        <w:rPr>
          <w:rFonts w:ascii="Arial" w:eastAsia="Times New Roman" w:hAnsi="Arial" w:cs="Arial"/>
          <w:color w:val="000000"/>
          <w:sz w:val="21"/>
          <w:szCs w:val="21"/>
          <w:lang w:eastAsia="en-GB"/>
        </w:rPr>
        <w:t xml:space="preserve"> proposed by AP+ for the second phase of Project Acacia. These use cases were designed to highlight the elements of a </w:t>
      </w:r>
      <w:r w:rsidRPr="00120036">
        <w:rPr>
          <w:rFonts w:ascii="Arial" w:eastAsia="Times New Roman" w:hAnsi="Arial" w:cs="Arial"/>
          <w:b/>
          <w:bCs/>
          <w:color w:val="000000"/>
          <w:sz w:val="21"/>
          <w:szCs w:val="21"/>
          <w:lang w:eastAsia="en-GB"/>
        </w:rPr>
        <w:t>Future Payments Scheme</w:t>
      </w:r>
      <w:r w:rsidRPr="00120036">
        <w:rPr>
          <w:rFonts w:ascii="Arial" w:eastAsia="Times New Roman" w:hAnsi="Arial" w:cs="Arial"/>
          <w:color w:val="000000"/>
          <w:sz w:val="21"/>
          <w:szCs w:val="21"/>
          <w:lang w:eastAsia="en-GB"/>
        </w:rPr>
        <w:t xml:space="preserve"> – an industry-operated utility and multilateral governance framework that would integrate tokenised financial markets with the existing national settlement infrastructure.</w:t>
      </w:r>
    </w:p>
    <w:p w14:paraId="69994ED1"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Each of three use cases accepted for Project Acacia explores a necessary component of a such a Scheme:  </w:t>
      </w:r>
    </w:p>
    <w:p w14:paraId="397188A9" w14:textId="77777777" w:rsidR="00120036" w:rsidRPr="00120036" w:rsidRDefault="00120036" w:rsidP="00120036">
      <w:pPr>
        <w:spacing w:before="240"/>
        <w:ind w:left="720" w:hanging="360"/>
        <w:jc w:val="both"/>
        <w:rPr>
          <w:rFonts w:ascii="Times New Roman" w:eastAsia="Times New Roman" w:hAnsi="Times New Roman" w:cs="Times New Roman"/>
          <w:lang w:eastAsia="en-GB"/>
        </w:rPr>
      </w:pPr>
      <w:r w:rsidRPr="00120036">
        <w:rPr>
          <w:rFonts w:ascii="Arial" w:eastAsia="Times New Roman" w:hAnsi="Arial" w:cs="Arial"/>
          <w:b/>
          <w:bCs/>
          <w:color w:val="000000"/>
          <w:sz w:val="21"/>
          <w:szCs w:val="21"/>
          <w:lang w:eastAsia="en-GB"/>
        </w:rPr>
        <w:t>1.</w:t>
      </w:r>
      <w:r w:rsidRPr="00120036">
        <w:rPr>
          <w:rFonts w:ascii="Times New Roman" w:eastAsia="Times New Roman" w:hAnsi="Times New Roman" w:cs="Times New Roman"/>
          <w:color w:val="000000"/>
          <w:sz w:val="14"/>
          <w:szCs w:val="14"/>
          <w:lang w:eastAsia="en-GB"/>
        </w:rPr>
        <w:t xml:space="preserve">  </w:t>
      </w:r>
      <w:r w:rsidRPr="00120036">
        <w:rPr>
          <w:rFonts w:ascii="Times New Roman" w:eastAsia="Times New Roman" w:hAnsi="Times New Roman" w:cs="Times New Roman"/>
          <w:color w:val="000000"/>
          <w:sz w:val="14"/>
          <w:szCs w:val="14"/>
          <w:lang w:eastAsia="en-GB"/>
        </w:rPr>
        <w:tab/>
      </w:r>
      <w:r w:rsidRPr="00120036">
        <w:rPr>
          <w:rFonts w:ascii="Arial" w:eastAsia="Times New Roman" w:hAnsi="Arial" w:cs="Arial"/>
          <w:b/>
          <w:bCs/>
          <w:color w:val="000000"/>
          <w:sz w:val="21"/>
          <w:szCs w:val="21"/>
          <w:lang w:eastAsia="en-GB"/>
        </w:rPr>
        <w:t>NPP Token Service:</w:t>
      </w:r>
      <w:r w:rsidRPr="00120036">
        <w:rPr>
          <w:rFonts w:ascii="Arial" w:eastAsia="Times New Roman" w:hAnsi="Arial" w:cs="Arial"/>
          <w:color w:val="000000"/>
          <w:sz w:val="21"/>
          <w:szCs w:val="21"/>
          <w:lang w:eastAsia="en-GB"/>
        </w:rPr>
        <w:t xml:space="preserve"> a facility supporting direct value transfers between digital tokens on public ledgers and conventional Australian dollar deposit accounts (Coin-to-Account / Account-to-Coin) via the New Payments Platform (24/7 RTGS)</w:t>
      </w:r>
    </w:p>
    <w:p w14:paraId="539481FA" w14:textId="77777777" w:rsidR="00120036" w:rsidRPr="00120036" w:rsidRDefault="00120036" w:rsidP="00120036">
      <w:pPr>
        <w:spacing w:before="240"/>
        <w:ind w:left="720" w:hanging="360"/>
        <w:jc w:val="both"/>
        <w:rPr>
          <w:rFonts w:ascii="Times New Roman" w:eastAsia="Times New Roman" w:hAnsi="Times New Roman" w:cs="Times New Roman"/>
          <w:lang w:eastAsia="en-GB"/>
        </w:rPr>
      </w:pPr>
      <w:r w:rsidRPr="00120036">
        <w:rPr>
          <w:rFonts w:ascii="Arial" w:eastAsia="Times New Roman" w:hAnsi="Arial" w:cs="Arial"/>
          <w:b/>
          <w:bCs/>
          <w:color w:val="000000"/>
          <w:sz w:val="21"/>
          <w:szCs w:val="21"/>
          <w:lang w:eastAsia="en-GB"/>
        </w:rPr>
        <w:t>2.</w:t>
      </w:r>
      <w:r w:rsidRPr="00120036">
        <w:rPr>
          <w:rFonts w:ascii="Times New Roman" w:eastAsia="Times New Roman" w:hAnsi="Times New Roman" w:cs="Times New Roman"/>
          <w:color w:val="000000"/>
          <w:sz w:val="14"/>
          <w:szCs w:val="14"/>
          <w:lang w:eastAsia="en-GB"/>
        </w:rPr>
        <w:t xml:space="preserve"> </w:t>
      </w:r>
      <w:r w:rsidRPr="00120036">
        <w:rPr>
          <w:rFonts w:ascii="Times New Roman" w:eastAsia="Times New Roman" w:hAnsi="Times New Roman" w:cs="Times New Roman"/>
          <w:color w:val="000000"/>
          <w:sz w:val="14"/>
          <w:szCs w:val="14"/>
          <w:lang w:eastAsia="en-GB"/>
        </w:rPr>
        <w:tab/>
      </w:r>
      <w:r w:rsidRPr="00120036">
        <w:rPr>
          <w:rFonts w:ascii="Arial" w:eastAsia="Times New Roman" w:hAnsi="Arial" w:cs="Arial"/>
          <w:b/>
          <w:bCs/>
          <w:color w:val="000000"/>
          <w:sz w:val="21"/>
          <w:szCs w:val="21"/>
          <w:lang w:eastAsia="en-GB"/>
        </w:rPr>
        <w:t>Token Interchange Service:</w:t>
      </w:r>
      <w:r w:rsidRPr="00120036">
        <w:rPr>
          <w:rFonts w:ascii="Arial" w:eastAsia="Times New Roman" w:hAnsi="Arial" w:cs="Arial"/>
          <w:color w:val="000000"/>
          <w:sz w:val="21"/>
          <w:szCs w:val="21"/>
          <w:lang w:eastAsia="en-GB"/>
        </w:rPr>
        <w:t xml:space="preserve"> an on-chain (public distributed ledger) facility allowing multilateral atomic conversion between privately issued money tokens (including stablecoins and deposit tokens) using a common interchange token representing token issuers’ off-chain central bank money balances</w:t>
      </w:r>
    </w:p>
    <w:p w14:paraId="034B31B6" w14:textId="77777777" w:rsidR="00120036" w:rsidRPr="00120036" w:rsidRDefault="00120036" w:rsidP="00120036">
      <w:pPr>
        <w:spacing w:before="240" w:after="180"/>
        <w:ind w:left="720" w:hanging="360"/>
        <w:jc w:val="both"/>
        <w:rPr>
          <w:rFonts w:ascii="Times New Roman" w:eastAsia="Times New Roman" w:hAnsi="Times New Roman" w:cs="Times New Roman"/>
          <w:lang w:eastAsia="en-GB"/>
        </w:rPr>
      </w:pPr>
      <w:r w:rsidRPr="00120036">
        <w:rPr>
          <w:rFonts w:ascii="Arial" w:eastAsia="Times New Roman" w:hAnsi="Arial" w:cs="Arial"/>
          <w:b/>
          <w:bCs/>
          <w:color w:val="0E2841"/>
          <w:sz w:val="21"/>
          <w:szCs w:val="21"/>
          <w:lang w:eastAsia="en-GB"/>
        </w:rPr>
        <w:t>3.</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b/>
          <w:bCs/>
          <w:color w:val="000000"/>
          <w:sz w:val="21"/>
          <w:szCs w:val="21"/>
          <w:lang w:eastAsia="en-GB"/>
        </w:rPr>
        <w:t>Settlement Coordinator Services:</w:t>
      </w:r>
      <w:r w:rsidRPr="00120036">
        <w:rPr>
          <w:rFonts w:ascii="Arial" w:eastAsia="Times New Roman" w:hAnsi="Arial" w:cs="Arial"/>
          <w:color w:val="000000"/>
          <w:sz w:val="21"/>
          <w:szCs w:val="21"/>
          <w:lang w:eastAsia="en-GB"/>
        </w:rPr>
        <w:t xml:space="preserve"> services supporting on-chain marketplaces transacting in tokenised financial instruments, including identity, compliance, and Scheme administration.</w:t>
      </w:r>
    </w:p>
    <w:p w14:paraId="76BEB714"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The Scheme would enforce fungibility of different privately-issued Australian currency tokens by requiring their exchange to be intermediated with a multilateral interchange token mirroring off-chain public money balances. This would address key concerns raised in the 2024</w:t>
      </w:r>
      <w:hyperlink r:id="rId6" w:history="1">
        <w:r w:rsidRPr="00120036">
          <w:rPr>
            <w:rFonts w:ascii="Arial" w:eastAsia="Times New Roman" w:hAnsi="Arial" w:cs="Arial"/>
            <w:color w:val="000000"/>
            <w:sz w:val="21"/>
            <w:szCs w:val="21"/>
            <w:lang w:eastAsia="en-GB"/>
          </w:rPr>
          <w:t xml:space="preserve"> </w:t>
        </w:r>
        <w:r w:rsidRPr="00120036">
          <w:rPr>
            <w:rFonts w:ascii="Arial" w:eastAsia="Times New Roman" w:hAnsi="Arial" w:cs="Arial"/>
            <w:color w:val="467886"/>
            <w:sz w:val="21"/>
            <w:szCs w:val="21"/>
            <w:u w:val="single"/>
            <w:lang w:eastAsia="en-GB"/>
          </w:rPr>
          <w:t>Project Acacia Consultation Report</w:t>
        </w:r>
      </w:hyperlink>
      <w:r w:rsidRPr="00120036">
        <w:rPr>
          <w:rFonts w:ascii="Arial" w:eastAsia="Times New Roman" w:hAnsi="Arial" w:cs="Arial"/>
          <w:color w:val="000000"/>
          <w:sz w:val="21"/>
          <w:szCs w:val="21"/>
          <w:lang w:eastAsia="en-GB"/>
        </w:rPr>
        <w:t xml:space="preserve"> – currency singleness and distinction in the roles of public and private money.</w:t>
      </w:r>
    </w:p>
    <w:p w14:paraId="0D8281AB"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b/>
          <w:bCs/>
          <w:color w:val="000000"/>
          <w:sz w:val="21"/>
          <w:szCs w:val="21"/>
          <w:lang w:eastAsia="en-GB"/>
        </w:rPr>
        <w:t>Use Case 1</w:t>
      </w:r>
      <w:r w:rsidRPr="00120036">
        <w:rPr>
          <w:rFonts w:ascii="Arial" w:eastAsia="Times New Roman" w:hAnsi="Arial" w:cs="Arial"/>
          <w:color w:val="000000"/>
          <w:sz w:val="21"/>
          <w:szCs w:val="21"/>
          <w:lang w:eastAsia="en-GB"/>
        </w:rPr>
        <w:t xml:space="preserve"> – the NPP Token Service – was conducted as a desktop study by AP+ in collaboration with the settlement service provider</w:t>
      </w:r>
      <w:r w:rsidRPr="00120036">
        <w:rPr>
          <w:rFonts w:ascii="Arial" w:eastAsia="Times New Roman" w:hAnsi="Arial" w:cs="Arial"/>
          <w:b/>
          <w:bCs/>
          <w:color w:val="000000"/>
          <w:sz w:val="21"/>
          <w:szCs w:val="21"/>
          <w:lang w:eastAsia="en-GB"/>
        </w:rPr>
        <w:t xml:space="preserve"> Cuscal</w:t>
      </w:r>
      <w:r w:rsidRPr="00120036">
        <w:rPr>
          <w:rFonts w:ascii="Arial" w:eastAsia="Times New Roman" w:hAnsi="Arial" w:cs="Arial"/>
          <w:color w:val="000000"/>
          <w:sz w:val="21"/>
          <w:szCs w:val="21"/>
          <w:lang w:eastAsia="en-GB"/>
        </w:rPr>
        <w:t xml:space="preserve"> and the global payments messaging consortium </w:t>
      </w:r>
      <w:r w:rsidRPr="00120036">
        <w:rPr>
          <w:rFonts w:ascii="Arial" w:eastAsia="Times New Roman" w:hAnsi="Arial" w:cs="Arial"/>
          <w:b/>
          <w:bCs/>
          <w:color w:val="000000"/>
          <w:sz w:val="21"/>
          <w:szCs w:val="21"/>
          <w:lang w:eastAsia="en-GB"/>
        </w:rPr>
        <w:t>SWIFT</w:t>
      </w:r>
      <w:r w:rsidRPr="00120036">
        <w:rPr>
          <w:rFonts w:ascii="Arial" w:eastAsia="Times New Roman" w:hAnsi="Arial" w:cs="Arial"/>
          <w:color w:val="000000"/>
          <w:sz w:val="21"/>
          <w:szCs w:val="21"/>
          <w:lang w:eastAsia="en-GB"/>
        </w:rPr>
        <w:t xml:space="preserve"> – the infrastructure vendor for the NPP.</w:t>
      </w:r>
    </w:p>
    <w:p w14:paraId="62B529DA" w14:textId="77777777" w:rsidR="00120036" w:rsidRPr="00120036" w:rsidRDefault="00120036" w:rsidP="00120036">
      <w:pPr>
        <w:spacing w:before="240"/>
        <w:jc w:val="both"/>
        <w:rPr>
          <w:rFonts w:ascii="Times New Roman" w:eastAsia="Times New Roman" w:hAnsi="Times New Roman" w:cs="Times New Roman"/>
          <w:lang w:eastAsia="en-GB"/>
        </w:rPr>
      </w:pPr>
      <w:r w:rsidRPr="00120036">
        <w:rPr>
          <w:rFonts w:ascii="Arial" w:eastAsia="Times New Roman" w:hAnsi="Arial" w:cs="Arial"/>
          <w:b/>
          <w:bCs/>
          <w:color w:val="000000"/>
          <w:sz w:val="21"/>
          <w:szCs w:val="21"/>
          <w:lang w:eastAsia="en-GB"/>
        </w:rPr>
        <w:t>Use Case 2</w:t>
      </w:r>
      <w:r w:rsidRPr="00120036">
        <w:rPr>
          <w:rFonts w:ascii="Arial" w:eastAsia="Times New Roman" w:hAnsi="Arial" w:cs="Arial"/>
          <w:color w:val="000000"/>
          <w:sz w:val="21"/>
          <w:szCs w:val="21"/>
          <w:lang w:eastAsia="en-GB"/>
        </w:rPr>
        <w:t xml:space="preserve"> – the Token Interchange Service – involved a live pilot undertaken by AP+ in collaboration with </w:t>
      </w:r>
      <w:r w:rsidRPr="00120036">
        <w:rPr>
          <w:rFonts w:ascii="Arial" w:eastAsia="Times New Roman" w:hAnsi="Arial" w:cs="Arial"/>
          <w:b/>
          <w:bCs/>
          <w:color w:val="000000"/>
          <w:sz w:val="21"/>
          <w:szCs w:val="21"/>
          <w:lang w:eastAsia="en-GB"/>
        </w:rPr>
        <w:t>AUDD Digital</w:t>
      </w:r>
      <w:r w:rsidRPr="00120036">
        <w:rPr>
          <w:rFonts w:ascii="Arial" w:eastAsia="Times New Roman" w:hAnsi="Arial" w:cs="Arial"/>
          <w:color w:val="000000"/>
          <w:sz w:val="21"/>
          <w:szCs w:val="21"/>
          <w:lang w:eastAsia="en-GB"/>
        </w:rPr>
        <w:t xml:space="preserve">, </w:t>
      </w:r>
      <w:r w:rsidRPr="00120036">
        <w:rPr>
          <w:rFonts w:ascii="Arial" w:eastAsia="Times New Roman" w:hAnsi="Arial" w:cs="Arial"/>
          <w:b/>
          <w:bCs/>
          <w:color w:val="000000"/>
          <w:sz w:val="21"/>
          <w:szCs w:val="21"/>
          <w:lang w:eastAsia="en-GB"/>
        </w:rPr>
        <w:t>Forte AUD</w:t>
      </w:r>
      <w:r w:rsidRPr="00120036">
        <w:rPr>
          <w:rFonts w:ascii="Arial" w:eastAsia="Times New Roman" w:hAnsi="Arial" w:cs="Arial"/>
          <w:color w:val="000000"/>
          <w:sz w:val="21"/>
          <w:szCs w:val="21"/>
          <w:lang w:eastAsia="en-GB"/>
        </w:rPr>
        <w:t xml:space="preserve">, and </w:t>
      </w:r>
      <w:r w:rsidRPr="00120036">
        <w:rPr>
          <w:rFonts w:ascii="Arial" w:eastAsia="Times New Roman" w:hAnsi="Arial" w:cs="Arial"/>
          <w:b/>
          <w:bCs/>
          <w:color w:val="000000"/>
          <w:sz w:val="21"/>
          <w:szCs w:val="21"/>
          <w:lang w:eastAsia="en-GB"/>
        </w:rPr>
        <w:t>Macropod</w:t>
      </w:r>
      <w:r w:rsidRPr="00120036">
        <w:rPr>
          <w:rFonts w:ascii="Arial" w:eastAsia="Times New Roman" w:hAnsi="Arial" w:cs="Arial"/>
          <w:color w:val="000000"/>
          <w:sz w:val="21"/>
          <w:szCs w:val="21"/>
          <w:lang w:eastAsia="en-GB"/>
        </w:rPr>
        <w:t xml:space="preserve"> (formerly Catena) as token-issuers, and with </w:t>
      </w:r>
      <w:r w:rsidRPr="00120036">
        <w:rPr>
          <w:rFonts w:ascii="Arial" w:eastAsia="Times New Roman" w:hAnsi="Arial" w:cs="Arial"/>
          <w:b/>
          <w:bCs/>
          <w:color w:val="000000"/>
          <w:sz w:val="21"/>
          <w:szCs w:val="21"/>
          <w:lang w:eastAsia="en-GB"/>
        </w:rPr>
        <w:t>Cuscal</w:t>
      </w:r>
      <w:r w:rsidRPr="00120036">
        <w:rPr>
          <w:rFonts w:ascii="Arial" w:eastAsia="Times New Roman" w:hAnsi="Arial" w:cs="Arial"/>
          <w:color w:val="000000"/>
          <w:sz w:val="21"/>
          <w:szCs w:val="21"/>
          <w:lang w:eastAsia="en-GB"/>
        </w:rPr>
        <w:t xml:space="preserve"> as both token-issuer and settlement agent for other token-issuers. The pilot demonstrated</w:t>
      </w:r>
    </w:p>
    <w:p w14:paraId="5B137AE4" w14:textId="77777777" w:rsidR="00120036" w:rsidRPr="00120036" w:rsidRDefault="00120036" w:rsidP="00120036">
      <w:pPr>
        <w:ind w:left="720" w:hanging="36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w:t>
      </w:r>
      <w:r w:rsidRPr="00120036">
        <w:rPr>
          <w:rFonts w:ascii="Times New Roman" w:eastAsia="Times New Roman" w:hAnsi="Times New Roman" w:cs="Times New Roman"/>
          <w:color w:val="000000"/>
          <w:sz w:val="14"/>
          <w:szCs w:val="14"/>
          <w:lang w:eastAsia="en-GB"/>
        </w:rPr>
        <w:t xml:space="preserve">   </w:t>
      </w:r>
      <w:r w:rsidRPr="00120036">
        <w:rPr>
          <w:rFonts w:ascii="Times New Roman" w:eastAsia="Times New Roman" w:hAnsi="Times New Roman" w:cs="Times New Roman"/>
          <w:color w:val="000000"/>
          <w:sz w:val="14"/>
          <w:szCs w:val="14"/>
          <w:lang w:eastAsia="en-GB"/>
        </w:rPr>
        <w:tab/>
      </w:r>
      <w:r w:rsidRPr="00120036">
        <w:rPr>
          <w:rFonts w:ascii="Arial" w:eastAsia="Times New Roman" w:hAnsi="Arial" w:cs="Arial"/>
          <w:color w:val="000000"/>
          <w:sz w:val="21"/>
          <w:szCs w:val="21"/>
          <w:lang w:eastAsia="en-GB"/>
        </w:rPr>
        <w:t xml:space="preserve">deployment of a token interchange smart-contract facility for multilateral conversion between Australian dollar money tokens on the permissioned public ledger </w:t>
      </w:r>
      <w:r w:rsidRPr="00120036">
        <w:rPr>
          <w:rFonts w:ascii="Arial" w:eastAsia="Times New Roman" w:hAnsi="Arial" w:cs="Arial"/>
          <w:b/>
          <w:bCs/>
          <w:color w:val="000000"/>
          <w:sz w:val="21"/>
          <w:szCs w:val="21"/>
          <w:lang w:eastAsia="en-GB"/>
        </w:rPr>
        <w:t>Hedera</w:t>
      </w:r>
    </w:p>
    <w:p w14:paraId="155E6FD9" w14:textId="77777777" w:rsidR="00120036" w:rsidRPr="00120036" w:rsidRDefault="00120036" w:rsidP="00120036">
      <w:pPr>
        <w:spacing w:before="240"/>
        <w:ind w:left="720" w:hanging="36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lastRenderedPageBreak/>
        <w:t>·</w:t>
      </w:r>
      <w:r w:rsidRPr="00120036">
        <w:rPr>
          <w:rFonts w:ascii="Times New Roman" w:eastAsia="Times New Roman" w:hAnsi="Times New Roman" w:cs="Times New Roman"/>
          <w:color w:val="000000"/>
          <w:sz w:val="14"/>
          <w:szCs w:val="14"/>
          <w:lang w:eastAsia="en-GB"/>
        </w:rPr>
        <w:t xml:space="preserve">   </w:t>
      </w:r>
      <w:r w:rsidRPr="00120036">
        <w:rPr>
          <w:rFonts w:ascii="Times New Roman" w:eastAsia="Times New Roman" w:hAnsi="Times New Roman" w:cs="Times New Roman"/>
          <w:color w:val="000000"/>
          <w:sz w:val="14"/>
          <w:szCs w:val="14"/>
          <w:lang w:eastAsia="en-GB"/>
        </w:rPr>
        <w:tab/>
      </w:r>
      <w:r w:rsidRPr="00120036">
        <w:rPr>
          <w:rFonts w:ascii="Arial" w:eastAsia="Times New Roman" w:hAnsi="Arial" w:cs="Arial"/>
          <w:color w:val="000000"/>
          <w:sz w:val="21"/>
          <w:szCs w:val="21"/>
          <w:lang w:eastAsia="en-GB"/>
        </w:rPr>
        <w:t xml:space="preserve">minting and circulation of pilot wholesale Central Bank Digital Currency (wCBDC) on a separate permissioned private network (an instance of </w:t>
      </w:r>
      <w:r w:rsidRPr="00120036">
        <w:rPr>
          <w:rFonts w:ascii="Arial" w:eastAsia="Times New Roman" w:hAnsi="Arial" w:cs="Arial"/>
          <w:b/>
          <w:bCs/>
          <w:color w:val="000000"/>
          <w:sz w:val="21"/>
          <w:szCs w:val="21"/>
          <w:lang w:eastAsia="en-GB"/>
        </w:rPr>
        <w:t>HashSphere</w:t>
      </w:r>
      <w:r w:rsidRPr="00120036">
        <w:rPr>
          <w:rFonts w:ascii="Arial" w:eastAsia="Times New Roman" w:hAnsi="Arial" w:cs="Arial"/>
          <w:color w:val="000000"/>
          <w:sz w:val="21"/>
          <w:szCs w:val="21"/>
          <w:lang w:eastAsia="en-GB"/>
        </w:rPr>
        <w:t>)</w:t>
      </w:r>
    </w:p>
    <w:p w14:paraId="62F58456" w14:textId="77777777" w:rsidR="00120036" w:rsidRPr="00120036" w:rsidRDefault="00120036" w:rsidP="00120036">
      <w:pPr>
        <w:spacing w:before="240"/>
        <w:ind w:left="720" w:hanging="36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w:t>
      </w:r>
      <w:r w:rsidRPr="00120036">
        <w:rPr>
          <w:rFonts w:ascii="Times New Roman" w:eastAsia="Times New Roman" w:hAnsi="Times New Roman" w:cs="Times New Roman"/>
          <w:color w:val="000000"/>
          <w:sz w:val="14"/>
          <w:szCs w:val="14"/>
          <w:lang w:eastAsia="en-GB"/>
        </w:rPr>
        <w:t xml:space="preserve">   </w:t>
      </w:r>
      <w:r w:rsidRPr="00120036">
        <w:rPr>
          <w:rFonts w:ascii="Times New Roman" w:eastAsia="Times New Roman" w:hAnsi="Times New Roman" w:cs="Times New Roman"/>
          <w:color w:val="000000"/>
          <w:sz w:val="14"/>
          <w:szCs w:val="14"/>
          <w:lang w:eastAsia="en-GB"/>
        </w:rPr>
        <w:tab/>
      </w:r>
      <w:r w:rsidRPr="00120036">
        <w:rPr>
          <w:rFonts w:ascii="Arial" w:eastAsia="Times New Roman" w:hAnsi="Arial" w:cs="Arial"/>
          <w:color w:val="000000"/>
          <w:sz w:val="21"/>
          <w:szCs w:val="21"/>
          <w:lang w:eastAsia="en-GB"/>
        </w:rPr>
        <w:t xml:space="preserve">deployment of a </w:t>
      </w:r>
      <w:r w:rsidRPr="00120036">
        <w:rPr>
          <w:rFonts w:ascii="Arial" w:eastAsia="Times New Roman" w:hAnsi="Arial" w:cs="Arial"/>
          <w:b/>
          <w:bCs/>
          <w:color w:val="000000"/>
          <w:sz w:val="21"/>
          <w:szCs w:val="21"/>
          <w:lang w:eastAsia="en-GB"/>
        </w:rPr>
        <w:t xml:space="preserve">synchroniser </w:t>
      </w:r>
      <w:r w:rsidRPr="00120036">
        <w:rPr>
          <w:rFonts w:ascii="Arial" w:eastAsia="Times New Roman" w:hAnsi="Arial" w:cs="Arial"/>
          <w:color w:val="000000"/>
          <w:sz w:val="21"/>
          <w:szCs w:val="21"/>
          <w:lang w:eastAsia="en-GB"/>
        </w:rPr>
        <w:t xml:space="preserve">allowing balances of the public network Token Interchange settlement asset to </w:t>
      </w:r>
      <w:r w:rsidRPr="00120036">
        <w:rPr>
          <w:rFonts w:ascii="Arial" w:eastAsia="Times New Roman" w:hAnsi="Arial" w:cs="Arial"/>
          <w:i/>
          <w:iCs/>
          <w:color w:val="000000"/>
          <w:sz w:val="21"/>
          <w:szCs w:val="21"/>
          <w:lang w:eastAsia="en-GB"/>
        </w:rPr>
        <w:t xml:space="preserve">mirror </w:t>
      </w:r>
      <w:r w:rsidRPr="00120036">
        <w:rPr>
          <w:rFonts w:ascii="Arial" w:eastAsia="Times New Roman" w:hAnsi="Arial" w:cs="Arial"/>
          <w:color w:val="000000"/>
          <w:sz w:val="21"/>
          <w:szCs w:val="21"/>
          <w:lang w:eastAsia="en-GB"/>
        </w:rPr>
        <w:t>balances of private network wCBDC</w:t>
      </w:r>
    </w:p>
    <w:p w14:paraId="7FE2D365" w14:textId="77777777" w:rsidR="00120036" w:rsidRPr="00120036" w:rsidRDefault="00120036" w:rsidP="00120036">
      <w:pPr>
        <w:spacing w:before="240" w:after="180"/>
        <w:ind w:left="720" w:hanging="36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w:t>
      </w:r>
      <w:r w:rsidRPr="00120036">
        <w:rPr>
          <w:rFonts w:ascii="Times New Roman" w:eastAsia="Times New Roman" w:hAnsi="Times New Roman" w:cs="Times New Roman"/>
          <w:color w:val="000000"/>
          <w:sz w:val="14"/>
          <w:szCs w:val="14"/>
          <w:lang w:eastAsia="en-GB"/>
        </w:rPr>
        <w:t xml:space="preserve">   </w:t>
      </w:r>
      <w:r w:rsidRPr="00120036">
        <w:rPr>
          <w:rFonts w:ascii="Times New Roman" w:eastAsia="Times New Roman" w:hAnsi="Times New Roman" w:cs="Times New Roman"/>
          <w:color w:val="000000"/>
          <w:sz w:val="14"/>
          <w:szCs w:val="14"/>
          <w:lang w:eastAsia="en-GB"/>
        </w:rPr>
        <w:tab/>
      </w:r>
      <w:r w:rsidRPr="00120036">
        <w:rPr>
          <w:rFonts w:ascii="Arial" w:eastAsia="Times New Roman" w:hAnsi="Arial" w:cs="Arial"/>
          <w:color w:val="000000"/>
          <w:sz w:val="21"/>
          <w:szCs w:val="21"/>
          <w:lang w:eastAsia="en-GB"/>
        </w:rPr>
        <w:t xml:space="preserve">deployment of a </w:t>
      </w:r>
      <w:r w:rsidRPr="00120036">
        <w:rPr>
          <w:rFonts w:ascii="Arial" w:eastAsia="Times New Roman" w:hAnsi="Arial" w:cs="Arial"/>
          <w:b/>
          <w:bCs/>
          <w:color w:val="000000"/>
          <w:sz w:val="21"/>
          <w:szCs w:val="21"/>
          <w:lang w:eastAsia="en-GB"/>
        </w:rPr>
        <w:t>cross-chain bridge</w:t>
      </w:r>
      <w:r w:rsidRPr="00120036">
        <w:rPr>
          <w:rFonts w:ascii="Arial" w:eastAsia="Times New Roman" w:hAnsi="Arial" w:cs="Arial"/>
          <w:color w:val="000000"/>
          <w:sz w:val="21"/>
          <w:szCs w:val="21"/>
          <w:lang w:eastAsia="en-GB"/>
        </w:rPr>
        <w:t xml:space="preserve"> between Hedera and the permissionless public Ethereum network.</w:t>
      </w:r>
    </w:p>
    <w:p w14:paraId="3BD4C912"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b/>
          <w:bCs/>
          <w:color w:val="000000"/>
          <w:sz w:val="21"/>
          <w:szCs w:val="21"/>
          <w:lang w:eastAsia="en-GB"/>
        </w:rPr>
        <w:t>Use Case 3</w:t>
      </w:r>
      <w:r w:rsidRPr="00120036">
        <w:rPr>
          <w:rFonts w:ascii="Arial" w:eastAsia="Times New Roman" w:hAnsi="Arial" w:cs="Arial"/>
          <w:color w:val="000000"/>
          <w:sz w:val="21"/>
          <w:szCs w:val="21"/>
          <w:lang w:eastAsia="en-GB"/>
        </w:rPr>
        <w:t xml:space="preserve"> – Settlement Coordinator Service – was intended to define a range of supporting services and Scheme rules relating to NPP-token integration and token interchange – including digital identity, KYC/KYB, Proof of Reserves, and key management for participants in tokenised financial markets. The proof of concept was originally to involve AP+ as Lead Entity in collaboration with </w:t>
      </w:r>
      <w:r w:rsidRPr="00120036">
        <w:rPr>
          <w:rFonts w:ascii="Arial" w:eastAsia="Times New Roman" w:hAnsi="Arial" w:cs="Arial"/>
          <w:b/>
          <w:bCs/>
          <w:color w:val="000000"/>
          <w:sz w:val="21"/>
          <w:szCs w:val="21"/>
          <w:lang w:eastAsia="en-GB"/>
        </w:rPr>
        <w:t>Imperium Markets</w:t>
      </w:r>
      <w:r w:rsidRPr="00120036">
        <w:rPr>
          <w:rFonts w:ascii="Arial" w:eastAsia="Times New Roman" w:hAnsi="Arial" w:cs="Arial"/>
          <w:color w:val="000000"/>
          <w:sz w:val="21"/>
          <w:szCs w:val="21"/>
          <w:lang w:eastAsia="en-GB"/>
        </w:rPr>
        <w:t xml:space="preserve"> as operator of a tokenised money market</w:t>
      </w:r>
      <w:r w:rsidRPr="00120036">
        <w:rPr>
          <w:rFonts w:ascii="Arial" w:eastAsia="Times New Roman" w:hAnsi="Arial" w:cs="Arial"/>
          <w:b/>
          <w:bCs/>
          <w:color w:val="000000"/>
          <w:sz w:val="21"/>
          <w:szCs w:val="21"/>
          <w:lang w:eastAsia="en-GB"/>
        </w:rPr>
        <w:t>.</w:t>
      </w:r>
    </w:p>
    <w:p w14:paraId="6D328949"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xml:space="preserve">As another Project Acacia Lead Entity, Imperium Markets is pursuing its own use cases relating to the issuance and trading of tokenised wholesale money market instruments. As a result of their participation in the AP+ </w:t>
      </w:r>
      <w:r w:rsidRPr="00120036">
        <w:rPr>
          <w:rFonts w:ascii="Arial" w:eastAsia="Times New Roman" w:hAnsi="Arial" w:cs="Arial"/>
          <w:b/>
          <w:bCs/>
          <w:color w:val="000000"/>
          <w:sz w:val="21"/>
          <w:szCs w:val="21"/>
          <w:lang w:eastAsia="en-GB"/>
        </w:rPr>
        <w:t>Use Case 3</w:t>
      </w:r>
      <w:r w:rsidRPr="00120036">
        <w:rPr>
          <w:rFonts w:ascii="Arial" w:eastAsia="Times New Roman" w:hAnsi="Arial" w:cs="Arial"/>
          <w:color w:val="000000"/>
          <w:sz w:val="21"/>
          <w:szCs w:val="21"/>
          <w:lang w:eastAsia="en-GB"/>
        </w:rPr>
        <w:t xml:space="preserve">, Imperium Markets made the decision to adopt Hedera as the token ledger for a use case exploring the tokenised term deposits, negotiable certificates of deposit, and annuities. In October the Reserve Bank merged this use case with AP+ Use Case 3, making Imperium Markets Lead Entity. As the technical solution was developed for </w:t>
      </w:r>
      <w:r w:rsidRPr="00120036">
        <w:rPr>
          <w:rFonts w:ascii="Arial" w:eastAsia="Times New Roman" w:hAnsi="Arial" w:cs="Arial"/>
          <w:b/>
          <w:bCs/>
          <w:color w:val="000000"/>
          <w:sz w:val="21"/>
          <w:szCs w:val="21"/>
          <w:lang w:eastAsia="en-GB"/>
        </w:rPr>
        <w:t>Use Case 3</w:t>
      </w:r>
      <w:r w:rsidRPr="00120036">
        <w:rPr>
          <w:rFonts w:ascii="Arial" w:eastAsia="Times New Roman" w:hAnsi="Arial" w:cs="Arial"/>
          <w:color w:val="000000"/>
          <w:sz w:val="21"/>
          <w:szCs w:val="21"/>
          <w:lang w:eastAsia="en-GB"/>
        </w:rPr>
        <w:t>, the pilot retains a focus on generic “Real World Asset” (RWA) tokenisation and Settlement Coordinator services, rather than the tokenisation of specific money market instruments.</w:t>
      </w:r>
    </w:p>
    <w:p w14:paraId="46C995E1"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xml:space="preserve">This document will address questions outlined in the RBA-DFCRC </w:t>
      </w:r>
      <w:r w:rsidRPr="00120036">
        <w:rPr>
          <w:rFonts w:ascii="Arial" w:eastAsia="Times New Roman" w:hAnsi="Arial" w:cs="Arial"/>
          <w:b/>
          <w:bCs/>
          <w:color w:val="000000"/>
          <w:sz w:val="21"/>
          <w:szCs w:val="21"/>
          <w:lang w:eastAsia="en-GB"/>
        </w:rPr>
        <w:t>Research Information Guidelines for Lead Entities</w:t>
      </w:r>
      <w:r w:rsidRPr="00120036">
        <w:rPr>
          <w:rFonts w:ascii="Arial" w:eastAsia="Times New Roman" w:hAnsi="Arial" w:cs="Arial"/>
          <w:color w:val="000000"/>
          <w:sz w:val="21"/>
          <w:szCs w:val="21"/>
          <w:lang w:eastAsia="en-GB"/>
        </w:rPr>
        <w:t xml:space="preserve"> with reference to all three use cases and to the general proposal for an Australian industry-operated Future Payments Scheme.</w:t>
      </w:r>
    </w:p>
    <w:p w14:paraId="3E87A2FE"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color w:val="156082"/>
          <w:sz w:val="28"/>
          <w:szCs w:val="28"/>
          <w:lang w:eastAsia="en-GB"/>
        </w:rPr>
        <w:t>Research Information Guideline Questions</w:t>
      </w:r>
    </w:p>
    <w:p w14:paraId="7484C456" w14:textId="77777777" w:rsidR="00120036" w:rsidRPr="00120036" w:rsidRDefault="00120036" w:rsidP="00120036">
      <w:pPr>
        <w:ind w:left="36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b/>
          <w:bCs/>
          <w:color w:val="156082"/>
          <w:kern w:val="36"/>
          <w:lang w:eastAsia="en-GB"/>
        </w:rPr>
        <w:t>Overall findings</w:t>
      </w:r>
    </w:p>
    <w:p w14:paraId="246CFDD2" w14:textId="77777777" w:rsidR="00120036" w:rsidRPr="00120036" w:rsidRDefault="00120036" w:rsidP="00120036">
      <w:pPr>
        <w:spacing w:before="20" w:after="240"/>
        <w:ind w:left="36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What is the most significant learning or insight gained from the experimentation about each of the following:</w:t>
      </w:r>
    </w:p>
    <w:p w14:paraId="04522E65" w14:textId="77777777" w:rsidR="00120036" w:rsidRPr="00120036" w:rsidRDefault="00120036" w:rsidP="00120036">
      <w:pPr>
        <w:spacing w:before="20" w:after="240"/>
        <w:ind w:firstLine="36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1.1</w:t>
      </w:r>
      <w:r w:rsidRPr="00120036">
        <w:rPr>
          <w:rFonts w:ascii="Times New Roman" w:eastAsia="Times New Roman" w:hAnsi="Times New Roman" w:cs="Times New Roman"/>
          <w:color w:val="156082"/>
          <w:sz w:val="14"/>
          <w:szCs w:val="14"/>
          <w:lang w:eastAsia="en-GB"/>
        </w:rPr>
        <w:t xml:space="preserve">   </w:t>
      </w:r>
      <w:r w:rsidRPr="00120036">
        <w:rPr>
          <w:rFonts w:ascii="Arial" w:eastAsia="Times New Roman" w:hAnsi="Arial" w:cs="Arial"/>
          <w:color w:val="156082"/>
          <w:lang w:eastAsia="en-GB"/>
        </w:rPr>
        <w:t>The opportunities &amp; challenges of asset tokenisation in wholesale markets</w:t>
      </w:r>
    </w:p>
    <w:p w14:paraId="5FCA88A5" w14:textId="77777777" w:rsidR="00120036" w:rsidRPr="00120036" w:rsidRDefault="00120036" w:rsidP="00120036">
      <w:pPr>
        <w:spacing w:after="180"/>
        <w:ind w:left="72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The experiments indicate that a domestic industry consortium could feasibly establish a settlement utility integrating tokenised money and asset markets with 24/7 Real Time Gross Settlement while preserving financial stability.</w:t>
      </w:r>
    </w:p>
    <w:p w14:paraId="77E9055E" w14:textId="77777777" w:rsidR="00120036" w:rsidRPr="00120036" w:rsidRDefault="00120036" w:rsidP="00120036">
      <w:pPr>
        <w:spacing w:before="20" w:after="240"/>
        <w:ind w:left="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b/>
          <w:bCs/>
          <w:color w:val="156082"/>
          <w:sz w:val="22"/>
          <w:szCs w:val="22"/>
          <w:lang w:eastAsia="en-GB"/>
        </w:rPr>
        <w:t>Opportunities</w:t>
      </w:r>
    </w:p>
    <w:p w14:paraId="417FE8C6"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1.</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Competition and Innovation in Clearing &amp; Settlement Services</w:t>
      </w:r>
    </w:p>
    <w:p w14:paraId="6311D70F"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3E744034"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The experiments revealed that domestic industry participants have the resources to are prepared to create</w:t>
      </w:r>
    </w:p>
    <w:p w14:paraId="0CCFD7FF"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1C9E0198"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with the Australia’s wholesale financial market infrastructure is dominated by the Australian Securities Exchange (ASX). This organisation was undertook</w:t>
      </w:r>
    </w:p>
    <w:p w14:paraId="74AFE148"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1A6288C9"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project costing $250 million project, an apology for misleading regulators, and the retention of the .</w:t>
      </w:r>
    </w:p>
    <w:p w14:paraId="512643C9"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44035BC6"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A consequence of this failure has been the operational risks.  Another consequence of this failure</w:t>
      </w:r>
    </w:p>
    <w:p w14:paraId="4FE48808"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0D43713A"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lastRenderedPageBreak/>
        <w:t>2.</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Wholesale Market Utilisation of the Fast Settlement Service (FSS) and 24/7 Liquidity</w:t>
      </w:r>
    </w:p>
    <w:p w14:paraId="6F5B7B22"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238FC8FB"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w:t>
      </w:r>
    </w:p>
    <w:p w14:paraId="5E1E01F3"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403DAD08"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3.</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Extending Settlement Finality to Tokenised Markets Without (Necessarily) Introducing Central Bank Digital Currency</w:t>
      </w:r>
    </w:p>
    <w:p w14:paraId="1923D903"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0F48F80C"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Project Acacia has excluded retail CBDC from its scope, considering only a wholesale CBDC which would be held by institutions – albeit a potentially broader range of institutions than currently have access to central bank money in the form of Exchange Settlement Accounts. Although the introduction of a wholesale CBDC would be a less disruptive innovation than the introduction of a retail CBDC, it would still represent a considerable addition to the responsibilities of the RBA, while also requiring the introduction of significant new legislation and likely inviting considerable public scrutiny and debate.  </w:t>
      </w:r>
    </w:p>
    <w:p w14:paraId="7D60A16C"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7F1DADDB"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w:t>
      </w:r>
    </w:p>
    <w:p w14:paraId="30A3B40E"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133F3C8E"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4.</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Preserving Currency Singleness and Monetary Sovereignty Through a Domestic Industry Scheme</w:t>
      </w:r>
    </w:p>
    <w:p w14:paraId="7C02C14A"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10BE2C72"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In doing so, the scheme would enable the various  innovations pursued in the use cases presented by other Project Acacia Entities.  </w:t>
      </w:r>
    </w:p>
    <w:p w14:paraId="6ABBCEEE"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w:t>
      </w:r>
    </w:p>
    <w:p w14:paraId="41FE5F2C"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5695E53D"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5.</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Supporting Platform Interoperability as the Basis for a Global Value Layer</w:t>
      </w:r>
    </w:p>
    <w:p w14:paraId="4F882F39"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36888449"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w:t>
      </w:r>
    </w:p>
    <w:p w14:paraId="2E47B18C"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0F731736"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6.</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Advancing Federated Digital Identity Technology</w:t>
      </w:r>
    </w:p>
    <w:p w14:paraId="4D4E33CE"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4C2640B9" w14:textId="77777777" w:rsidR="00120036" w:rsidRPr="00120036" w:rsidRDefault="00120036" w:rsidP="00120036">
      <w:pPr>
        <w:spacing w:after="180"/>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w:t>
      </w:r>
    </w:p>
    <w:p w14:paraId="728DDFB5" w14:textId="77777777" w:rsidR="00120036" w:rsidRPr="00120036" w:rsidRDefault="00120036" w:rsidP="00120036">
      <w:pPr>
        <w:spacing w:before="20" w:after="240"/>
        <w:ind w:left="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b/>
          <w:bCs/>
          <w:color w:val="156082"/>
          <w:sz w:val="22"/>
          <w:szCs w:val="22"/>
          <w:lang w:eastAsia="en-GB"/>
        </w:rPr>
        <w:t>Challenges</w:t>
      </w:r>
    </w:p>
    <w:p w14:paraId="47CC0F2D"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1.</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Liquidity Fragmentation</w:t>
      </w:r>
    </w:p>
    <w:p w14:paraId="7A6F04E4"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101B8CFA"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w:t>
      </w:r>
    </w:p>
    <w:p w14:paraId="0BFC06E6"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5EA1623F"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2.</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Legal and Regulatory Novelty</w:t>
      </w:r>
    </w:p>
    <w:p w14:paraId="7042E9AB"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520B3CB5"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w:t>
      </w:r>
    </w:p>
    <w:p w14:paraId="1424C1B3"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6127B09D"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3.</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Privacy of Market Activity</w:t>
      </w:r>
    </w:p>
    <w:p w14:paraId="4AAF66E7"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460B8D06"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w:t>
      </w:r>
    </w:p>
    <w:p w14:paraId="442E089B"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350CEB97"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4.</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Defining Trust Assumptions</w:t>
      </w:r>
    </w:p>
    <w:p w14:paraId="4BB6CC0F"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3EBF2AE0"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lastRenderedPageBreak/>
        <w:t>Distributed Ledger Technology (DLT) was the previously the subject of a costly failed initiative by the Australia Securities Exchange (ASX).</w:t>
      </w:r>
    </w:p>
    <w:p w14:paraId="46DC9B88"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1847872D"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5.</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Platform Selection and Maturity</w:t>
      </w:r>
    </w:p>
    <w:p w14:paraId="0B1989DD"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6DCAA5D2"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w:t>
      </w:r>
    </w:p>
    <w:p w14:paraId="12484E85"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7AF90713" w14:textId="77777777" w:rsidR="00120036" w:rsidRPr="00120036" w:rsidRDefault="00120036" w:rsidP="00120036">
      <w:pPr>
        <w:ind w:left="1080" w:hanging="36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6.</w:t>
      </w:r>
      <w:r w:rsidRPr="00120036">
        <w:rPr>
          <w:rFonts w:ascii="Times New Roman" w:eastAsia="Times New Roman" w:hAnsi="Times New Roman" w:cs="Times New Roman"/>
          <w:color w:val="156082"/>
          <w:sz w:val="14"/>
          <w:szCs w:val="14"/>
          <w:lang w:eastAsia="en-GB"/>
        </w:rPr>
        <w:t xml:space="preserve"> </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b/>
          <w:bCs/>
          <w:color w:val="156082"/>
          <w:sz w:val="21"/>
          <w:szCs w:val="21"/>
          <w:lang w:eastAsia="en-GB"/>
        </w:rPr>
        <w:t>Scope of Organisational Objectives, Strategic Urgency, and Domestic Industry’s Collective Action Problem</w:t>
      </w:r>
    </w:p>
    <w:p w14:paraId="3E915E09"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b/>
          <w:bCs/>
          <w:color w:val="156082"/>
          <w:sz w:val="21"/>
          <w:szCs w:val="21"/>
          <w:lang w:eastAsia="en-GB"/>
        </w:rPr>
        <w:t> </w:t>
      </w:r>
    </w:p>
    <w:p w14:paraId="69D15C1A" w14:textId="77777777" w:rsidR="00120036" w:rsidRPr="00120036" w:rsidRDefault="00120036" w:rsidP="00120036">
      <w:pPr>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Distributed Ledger Technology (DLT) was the previously the subject of a costly failed initiative by the Australia Securities Exchange (ASX).  $</w:t>
      </w:r>
    </w:p>
    <w:p w14:paraId="1FC753AC" w14:textId="77777777" w:rsidR="00120036" w:rsidRPr="00120036" w:rsidRDefault="00120036" w:rsidP="00120036">
      <w:pPr>
        <w:spacing w:after="180"/>
        <w:ind w:left="108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AUD750K</w:t>
      </w:r>
    </w:p>
    <w:p w14:paraId="3CE1BB7C" w14:textId="77777777" w:rsidR="00120036" w:rsidRPr="00120036" w:rsidRDefault="00120036" w:rsidP="00120036">
      <w:pPr>
        <w:spacing w:before="20" w:after="240"/>
        <w:ind w:firstLine="36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1.2.</w:t>
      </w:r>
      <w:r w:rsidRPr="00120036">
        <w:rPr>
          <w:rFonts w:ascii="Times New Roman" w:eastAsia="Times New Roman" w:hAnsi="Times New Roman" w:cs="Times New Roman"/>
          <w:color w:val="156082"/>
          <w:sz w:val="14"/>
          <w:szCs w:val="14"/>
          <w:lang w:eastAsia="en-GB"/>
        </w:rPr>
        <w:t xml:space="preserve">   </w:t>
      </w:r>
      <w:r w:rsidRPr="00120036">
        <w:rPr>
          <w:rFonts w:ascii="Arial" w:eastAsia="Times New Roman" w:hAnsi="Arial" w:cs="Arial"/>
          <w:color w:val="156082"/>
          <w:lang w:eastAsia="en-GB"/>
        </w:rPr>
        <w:t>The settlement model(s) explored and the benefits, limitations and trade-offs associated with them</w:t>
      </w:r>
    </w:p>
    <w:p w14:paraId="3AE26142" w14:textId="77777777" w:rsidR="00120036" w:rsidRPr="00120036" w:rsidRDefault="00120036" w:rsidP="00120036">
      <w:pPr>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The 2024 Project Acacia Consultation Paper outlined five basic models of settlement for token transactions. Those Models distinguish technical on-chain atomic settlement (using a settlement money token) from conventional final settlement using the Reserve Bank Information and Transfer System (RITS). The models also distinguish on-chain settlement with public money tokens from on-chain settlement with private money tokens.</w:t>
      </w:r>
    </w:p>
    <w:p w14:paraId="19B9F952" w14:textId="77777777" w:rsidR="00120036" w:rsidRPr="00120036" w:rsidRDefault="00120036" w:rsidP="00120036">
      <w:pPr>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0E9E7830" w14:textId="77777777" w:rsidR="00120036" w:rsidRPr="00120036" w:rsidRDefault="00120036" w:rsidP="00120036">
      <w:pPr>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The settlement model explored in the AP+ experiments uis distinct from any of these models but can be compared to each of them.</w:t>
      </w:r>
    </w:p>
    <w:p w14:paraId="70758228" w14:textId="77777777" w:rsidR="00120036" w:rsidRPr="00120036" w:rsidRDefault="00120036" w:rsidP="00120036">
      <w:pPr>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 </w:t>
      </w:r>
    </w:p>
    <w:p w14:paraId="670F25A0" w14:textId="77777777" w:rsidR="00120036" w:rsidRPr="00120036" w:rsidRDefault="00120036" w:rsidP="00120036">
      <w:pPr>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Model A:aaa</w:t>
      </w:r>
    </w:p>
    <w:p w14:paraId="4B2356F2" w14:textId="77777777" w:rsidR="00120036" w:rsidRPr="00120036" w:rsidRDefault="00120036" w:rsidP="00120036">
      <w:pPr>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Model B: bbb</w:t>
      </w:r>
    </w:p>
    <w:p w14:paraId="25CB6A5E" w14:textId="77777777" w:rsidR="00120036" w:rsidRPr="00120036" w:rsidRDefault="00120036" w:rsidP="00120036">
      <w:pPr>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Model C:ccc</w:t>
      </w:r>
    </w:p>
    <w:p w14:paraId="07BC5392" w14:textId="77777777" w:rsidR="00120036" w:rsidRPr="00120036" w:rsidRDefault="00120036" w:rsidP="00120036">
      <w:pPr>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Model D:dddd</w:t>
      </w:r>
    </w:p>
    <w:p w14:paraId="5EDEBD16" w14:textId="77777777" w:rsidR="00120036" w:rsidRPr="00120036" w:rsidRDefault="00120036" w:rsidP="00120036">
      <w:pPr>
        <w:spacing w:after="180"/>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Model E:  eeee</w:t>
      </w:r>
    </w:p>
    <w:p w14:paraId="2208E5E9" w14:textId="77777777" w:rsidR="00120036" w:rsidRPr="00120036" w:rsidRDefault="00120036" w:rsidP="00120036">
      <w:pPr>
        <w:spacing w:before="20" w:after="240"/>
        <w:ind w:firstLine="36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1.3.</w:t>
      </w:r>
      <w:r w:rsidRPr="00120036">
        <w:rPr>
          <w:rFonts w:ascii="Times New Roman" w:eastAsia="Times New Roman" w:hAnsi="Times New Roman" w:cs="Times New Roman"/>
          <w:color w:val="156082"/>
          <w:sz w:val="14"/>
          <w:szCs w:val="14"/>
          <w:lang w:eastAsia="en-GB"/>
        </w:rPr>
        <w:t xml:space="preserve">   </w:t>
      </w:r>
      <w:r w:rsidRPr="00120036">
        <w:rPr>
          <w:rFonts w:ascii="Arial" w:eastAsia="Times New Roman" w:hAnsi="Arial" w:cs="Arial"/>
          <w:color w:val="156082"/>
          <w:lang w:eastAsia="en-GB"/>
        </w:rPr>
        <w:t>The capabilities or attributes that central bank and/or privately issued money would need to have to realise the potential of tokenisation in wholesale markets</w:t>
      </w:r>
    </w:p>
    <w:p w14:paraId="4A68EB38" w14:textId="77777777" w:rsidR="00120036" w:rsidRPr="00120036" w:rsidRDefault="00120036" w:rsidP="00120036">
      <w:pPr>
        <w:spacing w:after="180"/>
        <w:ind w:left="720"/>
        <w:rPr>
          <w:rFonts w:ascii="Times New Roman" w:eastAsia="Times New Roman" w:hAnsi="Times New Roman" w:cs="Times New Roman"/>
          <w:lang w:eastAsia="en-GB"/>
        </w:rPr>
      </w:pPr>
      <w:r w:rsidRPr="00120036">
        <w:rPr>
          <w:rFonts w:ascii="Arial" w:eastAsia="Times New Roman" w:hAnsi="Arial" w:cs="Arial"/>
          <w:color w:val="0E2841"/>
          <w:sz w:val="21"/>
          <w:szCs w:val="21"/>
          <w:lang w:eastAsia="en-GB"/>
        </w:rPr>
        <w:t>FINALITY OF SETTLEMENT &amp; FUNGIBILITY  </w:t>
      </w:r>
    </w:p>
    <w:p w14:paraId="36149970" w14:textId="77777777" w:rsidR="00120036" w:rsidRPr="00120036" w:rsidRDefault="00120036" w:rsidP="00120036">
      <w:pPr>
        <w:spacing w:before="360"/>
        <w:ind w:left="36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2.</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b/>
          <w:bCs/>
          <w:color w:val="156082"/>
          <w:kern w:val="36"/>
          <w:lang w:eastAsia="en-GB"/>
        </w:rPr>
        <w:t>Business motivation and economic impact</w:t>
      </w:r>
    </w:p>
    <w:p w14:paraId="4F4F2C36" w14:textId="77777777" w:rsidR="00120036" w:rsidRPr="00120036" w:rsidRDefault="00120036" w:rsidP="00120036">
      <w:pPr>
        <w:ind w:firstLine="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b/>
          <w:bCs/>
          <w:color w:val="156082"/>
          <w:kern w:val="36"/>
          <w:lang w:eastAsia="en-GB"/>
        </w:rPr>
        <w:t>     Business problem assessment</w:t>
      </w:r>
    </w:p>
    <w:p w14:paraId="2B5FFB3F"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2.1.1</w:t>
      </w:r>
      <w:r w:rsidRPr="00120036">
        <w:rPr>
          <w:rFonts w:ascii="Times New Roman" w:eastAsia="Times New Roman" w:hAnsi="Times New Roman" w:cs="Times New Roman"/>
          <w:color w:val="156082"/>
          <w:kern w:val="36"/>
          <w:sz w:val="14"/>
          <w:szCs w:val="14"/>
          <w:lang w:eastAsia="en-GB"/>
        </w:rPr>
        <w:tab/>
      </w:r>
      <w:r w:rsidRPr="00120036">
        <w:rPr>
          <w:rFonts w:ascii="Arial" w:eastAsia="Times New Roman" w:hAnsi="Arial" w:cs="Arial"/>
          <w:color w:val="156082"/>
          <w:kern w:val="36"/>
          <w:lang w:eastAsia="en-GB"/>
        </w:rPr>
        <w:t>What did you learn through your experimentation about the business problem(s) that you set out to explore in your use case?</w:t>
      </w:r>
    </w:p>
    <w:p w14:paraId="1C365B62"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2.1.2</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color w:val="156082"/>
          <w:lang w:eastAsia="en-GB"/>
        </w:rPr>
        <w:t>Did your experimentation confirm or change your view about whether and how the business problem(s) can be solved?</w:t>
      </w:r>
    </w:p>
    <w:p w14:paraId="6C5C7A9E"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2.1.3</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color w:val="156082"/>
          <w:lang w:eastAsia="en-GB"/>
        </w:rPr>
        <w:t>Did your experimentation reveal any business problems not initially considered?</w:t>
      </w:r>
    </w:p>
    <w:p w14:paraId="32D8EC32"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46EA0A1D" w14:textId="77777777" w:rsidR="00120036" w:rsidRPr="00120036" w:rsidRDefault="00120036" w:rsidP="00120036">
      <w:pPr>
        <w:ind w:firstLine="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2.</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b/>
          <w:bCs/>
          <w:color w:val="156082"/>
          <w:kern w:val="36"/>
          <w:lang w:eastAsia="en-GB"/>
        </w:rPr>
        <w:t>     Costs and benefits analysis</w:t>
      </w:r>
    </w:p>
    <w:p w14:paraId="1B92CD1C"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2.2.1</w:t>
      </w:r>
      <w:r w:rsidRPr="00120036">
        <w:rPr>
          <w:rFonts w:ascii="Times New Roman" w:eastAsia="Times New Roman" w:hAnsi="Times New Roman" w:cs="Times New Roman"/>
          <w:color w:val="156082"/>
          <w:kern w:val="36"/>
          <w:sz w:val="14"/>
          <w:szCs w:val="14"/>
          <w:lang w:eastAsia="en-GB"/>
        </w:rPr>
        <w:tab/>
      </w:r>
      <w:r w:rsidRPr="00120036">
        <w:rPr>
          <w:rFonts w:ascii="Arial" w:eastAsia="Times New Roman" w:hAnsi="Arial" w:cs="Arial"/>
          <w:color w:val="156082"/>
          <w:kern w:val="36"/>
          <w:lang w:eastAsia="en-GB"/>
        </w:rPr>
        <w:t>What evidence did your experimentation provide about the costs and benefits involved in solving the business problem(s) that you set out to explore?</w:t>
      </w:r>
    </w:p>
    <w:p w14:paraId="69D36517"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2.2.2</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color w:val="156082"/>
          <w:lang w:eastAsia="en-GB"/>
        </w:rPr>
        <w:t>How did your experimentation demonstrate one or more of: risk reduction, capital efficiency, increased liquidity (e.g. in trading the asset), operational efficiency (e.g. automation), new markets, products or services?</w:t>
      </w:r>
    </w:p>
    <w:p w14:paraId="6DDA0CDA"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lastRenderedPageBreak/>
        <w:t>2.2.3</w:t>
      </w:r>
      <w:r w:rsidRPr="00120036">
        <w:rPr>
          <w:rFonts w:ascii="Times New Roman" w:eastAsia="Times New Roman" w:hAnsi="Times New Roman" w:cs="Times New Roman"/>
          <w:color w:val="156082"/>
          <w:sz w:val="14"/>
          <w:szCs w:val="14"/>
          <w:lang w:eastAsia="en-GB"/>
        </w:rPr>
        <w:t xml:space="preserve">   </w:t>
      </w:r>
      <w:r w:rsidRPr="00120036">
        <w:rPr>
          <w:rFonts w:ascii="Arial" w:eastAsia="Times New Roman" w:hAnsi="Arial" w:cs="Arial"/>
          <w:color w:val="156082"/>
          <w:lang w:eastAsia="en-GB"/>
        </w:rPr>
        <w:t>What is your estimate of the costs and benefits (this might be at firm-level or industry-wide)?</w:t>
      </w:r>
    </w:p>
    <w:p w14:paraId="612BFDCE"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2.2.4</w:t>
      </w:r>
      <w:r w:rsidRPr="00120036">
        <w:rPr>
          <w:rFonts w:ascii="Times New Roman" w:eastAsia="Times New Roman" w:hAnsi="Times New Roman" w:cs="Times New Roman"/>
          <w:color w:val="156082"/>
          <w:sz w:val="14"/>
          <w:szCs w:val="14"/>
          <w:lang w:eastAsia="en-GB"/>
        </w:rPr>
        <w:t xml:space="preserve">   </w:t>
      </w:r>
      <w:r w:rsidRPr="00120036">
        <w:rPr>
          <w:rFonts w:ascii="Arial" w:eastAsia="Times New Roman" w:hAnsi="Arial" w:cs="Arial"/>
          <w:color w:val="156082"/>
          <w:lang w:eastAsia="en-GB"/>
        </w:rPr>
        <w:t>What new costs (e.g. increased liquidity requirements from pre-funding) or risks (e.g. operational risks, outsourcing management, conflicts of interest) might arise?</w:t>
      </w:r>
    </w:p>
    <w:p w14:paraId="6FB4B65A"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02C497D4" w14:textId="77777777" w:rsidR="00120036" w:rsidRPr="00120036" w:rsidRDefault="00120036" w:rsidP="00120036">
      <w:pPr>
        <w:ind w:firstLine="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3.</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b/>
          <w:bCs/>
          <w:color w:val="156082"/>
          <w:kern w:val="36"/>
          <w:lang w:eastAsia="en-GB"/>
        </w:rPr>
        <w:t>     Suitability of settlement and interchange assets</w:t>
      </w:r>
    </w:p>
    <w:p w14:paraId="4B0160AE"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2.3.1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Did your experimentation confirm or change your view about the suitability of the settlement asset (and, if relevant, interchange asset) that was used?</w:t>
      </w:r>
    </w:p>
    <w:p w14:paraId="0EE6C3B1"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2.3.2</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How, if at all, did the settlement or interchange asset contribute to solving the business problem(s) that you explored and the benefits obtained?</w:t>
      </w:r>
    </w:p>
    <w:p w14:paraId="45EE0490"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2.3.3</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Did you encounter any technical or operational limitations with the settlement or interchange asset?</w:t>
      </w:r>
    </w:p>
    <w:p w14:paraId="5731E90B"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2.3.4</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What evidence did your experimentation provide about the scalability of the settlement model?</w:t>
      </w:r>
    </w:p>
    <w:p w14:paraId="30C637F1" w14:textId="77777777" w:rsidR="00120036" w:rsidRPr="00120036" w:rsidRDefault="00120036" w:rsidP="00120036">
      <w:pPr>
        <w:ind w:left="108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 </w:t>
      </w:r>
    </w:p>
    <w:p w14:paraId="3F5CF670" w14:textId="77777777" w:rsidR="00120036" w:rsidRPr="00120036" w:rsidRDefault="00120036" w:rsidP="00120036">
      <w:pPr>
        <w:ind w:left="108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[Some forms of digital money (e.g. bank-issued deposit tokens) may not be freely transferable in the manner of a ‘bearer instrument’. Where the buyer of an asset tenders that kind of money in settlement of the transaction, it must be converted to a form of money that can be accepted by the seller. This gives rise to the need for an ‘interchange’ mechanism to convert one form of money to another. Depending on the nature of the money that is used in the settlement, the interchange mechanism may involve a transfer of value – via an ‘interchange asset’ – between the issuers of the settlement assets of the buyer and seller].</w:t>
      </w:r>
    </w:p>
    <w:p w14:paraId="6C66F104" w14:textId="77777777" w:rsidR="00120036" w:rsidRPr="00120036" w:rsidRDefault="00120036" w:rsidP="00120036">
      <w:pPr>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 </w:t>
      </w:r>
    </w:p>
    <w:p w14:paraId="4439077C"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5AE10294" w14:textId="77777777" w:rsidR="00120036" w:rsidRPr="00120036" w:rsidRDefault="00120036" w:rsidP="00120036">
      <w:pPr>
        <w:ind w:left="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 </w:t>
      </w:r>
    </w:p>
    <w:p w14:paraId="052CBC24"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203A526C" w14:textId="77777777" w:rsidR="00120036" w:rsidRPr="00120036" w:rsidRDefault="00120036" w:rsidP="00120036">
      <w:pPr>
        <w:spacing w:before="360"/>
        <w:ind w:left="36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2.</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b/>
          <w:bCs/>
          <w:color w:val="156082"/>
          <w:kern w:val="36"/>
          <w:lang w:eastAsia="en-GB"/>
        </w:rPr>
        <w:t>Business motivation and economic impact</w:t>
      </w:r>
    </w:p>
    <w:p w14:paraId="7878CC8D"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2.1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b/>
          <w:bCs/>
          <w:color w:val="156082"/>
          <w:kern w:val="36"/>
          <w:lang w:eastAsia="en-GB"/>
        </w:rPr>
        <w:t>     Business problem assessment</w:t>
      </w:r>
    </w:p>
    <w:p w14:paraId="4D4C3CD3"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2.1.1</w:t>
      </w:r>
      <w:r w:rsidRPr="00120036">
        <w:rPr>
          <w:rFonts w:ascii="Times New Roman" w:eastAsia="Times New Roman" w:hAnsi="Times New Roman" w:cs="Times New Roman"/>
          <w:color w:val="156082"/>
          <w:kern w:val="36"/>
          <w:sz w:val="14"/>
          <w:szCs w:val="14"/>
          <w:lang w:eastAsia="en-GB"/>
        </w:rPr>
        <w:tab/>
      </w:r>
      <w:r w:rsidRPr="00120036">
        <w:rPr>
          <w:rFonts w:ascii="Arial" w:eastAsia="Times New Roman" w:hAnsi="Arial" w:cs="Arial"/>
          <w:color w:val="156082"/>
          <w:kern w:val="36"/>
          <w:lang w:eastAsia="en-GB"/>
        </w:rPr>
        <w:t>What did you learn through your experimentation about the business problem(s) that you set out to explore in your use case?</w:t>
      </w:r>
    </w:p>
    <w:p w14:paraId="00C65162"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2.1.2</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color w:val="156082"/>
          <w:lang w:eastAsia="en-GB"/>
        </w:rPr>
        <w:t>Did your experimentation confirm or change your view about whether and how the business problem(s) can be solved?</w:t>
      </w:r>
    </w:p>
    <w:p w14:paraId="532CD133"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2.1.3</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color w:val="156082"/>
          <w:lang w:eastAsia="en-GB"/>
        </w:rPr>
        <w:t>Did your experimentation reveal any business problems not initially considered?</w:t>
      </w:r>
    </w:p>
    <w:p w14:paraId="79627EFF"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52AEF066"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 xml:space="preserve">2.2 </w:t>
      </w:r>
      <w:r w:rsidRPr="00120036">
        <w:rPr>
          <w:rFonts w:ascii="Arial" w:eastAsia="Times New Roman" w:hAnsi="Arial" w:cs="Arial"/>
          <w:b/>
          <w:bCs/>
          <w:color w:val="156082"/>
          <w:kern w:val="36"/>
          <w:lang w:eastAsia="en-GB"/>
        </w:rPr>
        <w:tab/>
        <w:t>Costs and benefits analysis</w:t>
      </w:r>
    </w:p>
    <w:p w14:paraId="1C496B53"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2.2.1</w:t>
      </w:r>
      <w:r w:rsidRPr="00120036">
        <w:rPr>
          <w:rFonts w:ascii="Times New Roman" w:eastAsia="Times New Roman" w:hAnsi="Times New Roman" w:cs="Times New Roman"/>
          <w:color w:val="156082"/>
          <w:kern w:val="36"/>
          <w:sz w:val="14"/>
          <w:szCs w:val="14"/>
          <w:lang w:eastAsia="en-GB"/>
        </w:rPr>
        <w:tab/>
      </w:r>
      <w:r w:rsidRPr="00120036">
        <w:rPr>
          <w:rFonts w:ascii="Arial" w:eastAsia="Times New Roman" w:hAnsi="Arial" w:cs="Arial"/>
          <w:color w:val="156082"/>
          <w:kern w:val="36"/>
          <w:lang w:eastAsia="en-GB"/>
        </w:rPr>
        <w:t>What evidence did your experimentation provide about the costs and benefits involved in solving the business problem(s) that you set out to explore?</w:t>
      </w:r>
    </w:p>
    <w:p w14:paraId="47A702B4"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2.2.2</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color w:val="156082"/>
          <w:lang w:eastAsia="en-GB"/>
        </w:rPr>
        <w:t>How did your experimentation demonstrate one or more of: risk reduction, capital efficiency, increased liquidity (e.g. in trading the asset), operational efficiency (e.g. automation), new markets, products or services?</w:t>
      </w:r>
    </w:p>
    <w:p w14:paraId="6D1F8C07"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2.2.3</w:t>
      </w:r>
      <w:r w:rsidRPr="00120036">
        <w:rPr>
          <w:rFonts w:ascii="Times New Roman" w:eastAsia="Times New Roman" w:hAnsi="Times New Roman" w:cs="Times New Roman"/>
          <w:color w:val="156082"/>
          <w:sz w:val="14"/>
          <w:szCs w:val="14"/>
          <w:lang w:eastAsia="en-GB"/>
        </w:rPr>
        <w:t xml:space="preserve">   </w:t>
      </w:r>
      <w:r w:rsidRPr="00120036">
        <w:rPr>
          <w:rFonts w:ascii="Arial" w:eastAsia="Times New Roman" w:hAnsi="Arial" w:cs="Arial"/>
          <w:color w:val="156082"/>
          <w:lang w:eastAsia="en-GB"/>
        </w:rPr>
        <w:t>What is your estimate of the costs and benefits (this might be at firm-level or industry-wide)?</w:t>
      </w:r>
    </w:p>
    <w:p w14:paraId="6E4BE42C"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lastRenderedPageBreak/>
        <w:t>2.2.4</w:t>
      </w:r>
      <w:r w:rsidRPr="00120036">
        <w:rPr>
          <w:rFonts w:ascii="Times New Roman" w:eastAsia="Times New Roman" w:hAnsi="Times New Roman" w:cs="Times New Roman"/>
          <w:color w:val="156082"/>
          <w:sz w:val="14"/>
          <w:szCs w:val="14"/>
          <w:lang w:eastAsia="en-GB"/>
        </w:rPr>
        <w:t xml:space="preserve">   </w:t>
      </w:r>
      <w:r w:rsidRPr="00120036">
        <w:rPr>
          <w:rFonts w:ascii="Arial" w:eastAsia="Times New Roman" w:hAnsi="Arial" w:cs="Arial"/>
          <w:color w:val="156082"/>
          <w:lang w:eastAsia="en-GB"/>
        </w:rPr>
        <w:t>What new costs (e.g. increased liquidity requirements from pre-funding) or risks (e.g. operational risks, outsourcing management, conflicts of interest) might arise?</w:t>
      </w:r>
    </w:p>
    <w:p w14:paraId="707D6118"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1502D254"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2.3</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b/>
          <w:bCs/>
          <w:color w:val="156082"/>
          <w:kern w:val="36"/>
          <w:lang w:eastAsia="en-GB"/>
        </w:rPr>
        <w:t>Suitability of settlement and interchange assets</w:t>
      </w:r>
    </w:p>
    <w:p w14:paraId="284B96B1"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76E0C449"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2.3.1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Did your experimentation confirm or change your view about the suitability of the settlement asset (and, if relevant, interchange asset) that was used?</w:t>
      </w:r>
    </w:p>
    <w:p w14:paraId="27D7295F"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2.3.2</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How, if at all, did the settlement or interchange asset contribute to solving the business problem(s) that you explored and the benefits obtained?</w:t>
      </w:r>
    </w:p>
    <w:p w14:paraId="045AD6F1"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2.3.3</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Did you encounter any technical or operational limitations with the settlement or interchange asset?</w:t>
      </w:r>
    </w:p>
    <w:p w14:paraId="2BF47C39"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2.3.4</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What evidence did your experimentation provide about the scalability of the settlement model?</w:t>
      </w:r>
    </w:p>
    <w:p w14:paraId="5D4E51AD"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20A031D1"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b/>
          <w:bCs/>
          <w:color w:val="156082"/>
          <w:kern w:val="36"/>
          <w:lang w:eastAsia="en-GB"/>
        </w:rPr>
        <w:t>2.4</w:t>
      </w:r>
      <w:r w:rsidRPr="00120036">
        <w:rPr>
          <w:rFonts w:ascii="Times New Roman" w:eastAsia="Times New Roman" w:hAnsi="Times New Roman" w:cs="Times New Roman"/>
          <w:color w:val="156082"/>
          <w:kern w:val="36"/>
          <w:sz w:val="14"/>
          <w:szCs w:val="14"/>
          <w:lang w:eastAsia="en-GB"/>
        </w:rPr>
        <w:t xml:space="preserve">        </w:t>
      </w:r>
      <w:r w:rsidRPr="00120036">
        <w:rPr>
          <w:rFonts w:ascii="Times New Roman" w:eastAsia="Times New Roman" w:hAnsi="Times New Roman" w:cs="Times New Roman"/>
          <w:color w:val="156082"/>
          <w:kern w:val="36"/>
          <w:sz w:val="14"/>
          <w:szCs w:val="14"/>
          <w:lang w:eastAsia="en-GB"/>
        </w:rPr>
        <w:tab/>
      </w:r>
      <w:r w:rsidRPr="00120036">
        <w:rPr>
          <w:rFonts w:ascii="Arial" w:eastAsia="Times New Roman" w:hAnsi="Arial" w:cs="Arial"/>
          <w:b/>
          <w:bCs/>
          <w:color w:val="156082"/>
          <w:kern w:val="36"/>
          <w:lang w:eastAsia="en-GB"/>
        </w:rPr>
        <w:t>Future Adoption</w:t>
      </w:r>
    </w:p>
    <w:p w14:paraId="3CA3DBD8" w14:textId="77777777" w:rsidR="00120036" w:rsidRPr="00120036" w:rsidRDefault="00120036" w:rsidP="00120036">
      <w:pPr>
        <w:spacing w:after="180"/>
        <w:ind w:left="360"/>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7535BACB"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2.4.1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What key enablers or blockers of broader adoption did your experimentation highlight or reveal?</w:t>
      </w:r>
    </w:p>
    <w:p w14:paraId="294BE8F8"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2.4.2</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If you utilised or simulated existing settlement infrastructure (e.g. NPP or RITS) as part of your use case, what did your experimentation reveal about changes or enhancements to that infrastructure (or supporting account structures or access policies) that may be required to better support tokenised asset markets?</w:t>
      </w:r>
    </w:p>
    <w:p w14:paraId="6035493C"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77476626" w14:textId="77777777" w:rsidR="00120036" w:rsidRPr="00120036" w:rsidRDefault="00120036" w:rsidP="00120036">
      <w:pPr>
        <w:spacing w:before="360"/>
        <w:ind w:left="36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3.</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0F4761"/>
          <w:kern w:val="36"/>
          <w:lang w:eastAsia="en-GB"/>
        </w:rPr>
        <w:t>Technology and design</w:t>
      </w:r>
    </w:p>
    <w:p w14:paraId="0926BA77"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3.1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     Design choices</w:t>
      </w:r>
    </w:p>
    <w:p w14:paraId="2DCC280B" w14:textId="77777777" w:rsidR="00120036" w:rsidRPr="00120036" w:rsidRDefault="00120036" w:rsidP="00120036">
      <w:pPr>
        <w:spacing w:before="360"/>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3.1.1</w:t>
      </w:r>
      <w:r w:rsidRPr="00120036">
        <w:rPr>
          <w:rFonts w:ascii="Times New Roman" w:eastAsia="Times New Roman" w:hAnsi="Times New Roman" w:cs="Times New Roman"/>
          <w:color w:val="156082"/>
          <w:kern w:val="36"/>
          <w:sz w:val="14"/>
          <w:szCs w:val="14"/>
          <w:lang w:eastAsia="en-GB"/>
        </w:rPr>
        <w:tab/>
      </w:r>
      <w:r w:rsidRPr="00120036">
        <w:rPr>
          <w:rFonts w:ascii="Arial" w:eastAsia="Times New Roman" w:hAnsi="Arial" w:cs="Arial"/>
          <w:color w:val="156082"/>
          <w:kern w:val="36"/>
          <w:lang w:eastAsia="en-GB"/>
        </w:rPr>
        <w:t>What major design choices were you faced with in the project, and how did you resolve them?</w:t>
      </w:r>
    </w:p>
    <w:p w14:paraId="0C290C69"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156082"/>
          <w:lang w:eastAsia="en-GB"/>
        </w:rPr>
        <w:t>3.1.2</w:t>
      </w:r>
      <w:r w:rsidRPr="00120036">
        <w:rPr>
          <w:rFonts w:ascii="Times New Roman" w:eastAsia="Times New Roman" w:hAnsi="Times New Roman" w:cs="Times New Roman"/>
          <w:color w:val="156082"/>
          <w:sz w:val="14"/>
          <w:szCs w:val="14"/>
          <w:lang w:eastAsia="en-GB"/>
        </w:rPr>
        <w:tab/>
      </w:r>
      <w:r w:rsidRPr="00120036">
        <w:rPr>
          <w:rFonts w:ascii="Arial" w:eastAsia="Times New Roman" w:hAnsi="Arial" w:cs="Arial"/>
          <w:color w:val="156082"/>
          <w:lang w:eastAsia="en-GB"/>
        </w:rPr>
        <w:t>To what extent were your design choices driven by the scale and nature of the pilot project?</w:t>
      </w:r>
    </w:p>
    <w:p w14:paraId="1DCDC687"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0E2841"/>
          <w:lang w:eastAsia="en-GB"/>
        </w:rPr>
        <w:t>3.1.3</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Were your design choices validated by your experimentation?</w:t>
      </w:r>
    </w:p>
    <w:p w14:paraId="7A45ED39"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0E2841"/>
          <w:lang w:eastAsia="en-GB"/>
        </w:rPr>
        <w:t>3.1.4</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How, if at all, would you change your design choices if you were to start over?</w:t>
      </w:r>
    </w:p>
    <w:p w14:paraId="67AAAF26" w14:textId="77777777" w:rsidR="00120036" w:rsidRPr="00120036" w:rsidRDefault="00120036" w:rsidP="00120036">
      <w:pPr>
        <w:spacing w:before="20"/>
        <w:ind w:left="1080" w:hanging="720"/>
        <w:jc w:val="both"/>
        <w:outlineLvl w:val="2"/>
        <w:rPr>
          <w:rFonts w:ascii="Times New Roman" w:eastAsia="Times New Roman" w:hAnsi="Times New Roman" w:cs="Times New Roman"/>
          <w:b/>
          <w:bCs/>
          <w:sz w:val="27"/>
          <w:szCs w:val="27"/>
          <w:lang w:eastAsia="en-GB"/>
        </w:rPr>
      </w:pPr>
      <w:r w:rsidRPr="00120036">
        <w:rPr>
          <w:rFonts w:ascii="Arial" w:eastAsia="Times New Roman" w:hAnsi="Arial" w:cs="Arial"/>
          <w:color w:val="0E2841"/>
          <w:lang w:eastAsia="en-GB"/>
        </w:rPr>
        <w:t>3.1.5</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were the most resource-intensive or problematic aspects of your design to implement as part of the project, and why?</w:t>
      </w:r>
    </w:p>
    <w:p w14:paraId="1A0E1FFF"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2AEE2F49"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0E98DF76"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19C1607A"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3.2</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     Network selection</w:t>
      </w:r>
    </w:p>
    <w:p w14:paraId="2A9EDB0C"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3.2.1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were your key motivations for your choice of blockchain network?</w:t>
      </w:r>
    </w:p>
    <w:p w14:paraId="2B463413"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3.2.2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How did the public or private, permissioned or permissionless nature of the network factor into your decision?</w:t>
      </w:r>
    </w:p>
    <w:p w14:paraId="3F489924"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lastRenderedPageBreak/>
        <w:t>3.2.3</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legal, regulatory, governance or other challenges (if any) did you experience or do you anticipate with future use of the selected network?</w:t>
      </w:r>
    </w:p>
    <w:p w14:paraId="5F27C48E"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3.2.4</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If relevant, what additional research benefits could your use case have generated if it was executed on a public permissionless network?</w:t>
      </w:r>
    </w:p>
    <w:p w14:paraId="13AC6A8F" w14:textId="77777777" w:rsidR="00120036" w:rsidRPr="00120036" w:rsidRDefault="00120036" w:rsidP="00120036">
      <w:pPr>
        <w:spacing w:after="180"/>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3.2.5</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barriers (if any) may prevent you from using a public permissionless network for your use case?</w:t>
      </w:r>
    </w:p>
    <w:p w14:paraId="5880A3CC" w14:textId="77777777" w:rsidR="00120036" w:rsidRPr="00120036" w:rsidRDefault="00120036" w:rsidP="00120036">
      <w:pPr>
        <w:spacing w:after="180"/>
        <w:ind w:left="140"/>
        <w:jc w:val="both"/>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5A18BD9F"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 xml:space="preserve">3.3 </w:t>
      </w:r>
      <w:r w:rsidRPr="00120036">
        <w:rPr>
          <w:rFonts w:ascii="Arial" w:eastAsia="Times New Roman" w:hAnsi="Arial" w:cs="Arial"/>
          <w:color w:val="156082"/>
          <w:kern w:val="36"/>
          <w:lang w:eastAsia="en-GB"/>
        </w:rPr>
        <w:tab/>
        <w:t>Automation and programmability</w:t>
      </w:r>
    </w:p>
    <w:p w14:paraId="022F67EA"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3.3.1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did you learn through your experimentation about automation (e.g. smart contracts, automated, conditional payments) beyond straight through processing?</w:t>
      </w:r>
    </w:p>
    <w:p w14:paraId="6FB225BE"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3.3.2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Was the level of automation or programmability achieved in your use case affected by the chosen settlement asset or settlement model?</w:t>
      </w:r>
    </w:p>
    <w:p w14:paraId="205ECA89"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3.3.3</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How did you ensure compliance and auditability given the automation and programmability in your use case?</w:t>
      </w:r>
    </w:p>
    <w:p w14:paraId="6F8CB286" w14:textId="77777777" w:rsidR="00120036" w:rsidRPr="00120036" w:rsidRDefault="00120036" w:rsidP="00120036">
      <w:pPr>
        <w:spacing w:after="180"/>
        <w:ind w:left="860" w:hanging="28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 </w:t>
      </w:r>
    </w:p>
    <w:p w14:paraId="03A9A6D6"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3.4</w:t>
      </w:r>
      <w:r w:rsidRPr="00120036">
        <w:rPr>
          <w:rFonts w:ascii="Times New Roman" w:eastAsia="Times New Roman" w:hAnsi="Times New Roman" w:cs="Times New Roman"/>
          <w:color w:val="156082"/>
          <w:kern w:val="36"/>
          <w:sz w:val="14"/>
          <w:szCs w:val="14"/>
          <w:lang w:eastAsia="en-GB"/>
        </w:rPr>
        <w:t xml:space="preserve">        </w:t>
      </w:r>
      <w:r w:rsidRPr="00120036">
        <w:rPr>
          <w:rFonts w:ascii="Times New Roman" w:eastAsia="Times New Roman" w:hAnsi="Times New Roman" w:cs="Times New Roman"/>
          <w:color w:val="156082"/>
          <w:kern w:val="36"/>
          <w:sz w:val="14"/>
          <w:szCs w:val="14"/>
          <w:lang w:eastAsia="en-GB"/>
        </w:rPr>
        <w:tab/>
      </w:r>
      <w:r w:rsidRPr="00120036">
        <w:rPr>
          <w:rFonts w:ascii="Arial" w:eastAsia="Times New Roman" w:hAnsi="Arial" w:cs="Arial"/>
          <w:color w:val="156082"/>
          <w:kern w:val="36"/>
          <w:lang w:eastAsia="en-GB"/>
        </w:rPr>
        <w:t xml:space="preserve">   Automation and programmability</w:t>
      </w:r>
    </w:p>
    <w:p w14:paraId="1E71FF70"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3.4.1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did you learn through your experimentation about automation (e.g. smart contracts, automated, conditional payments) beyond straight through processing?</w:t>
      </w:r>
    </w:p>
    <w:p w14:paraId="16613F29"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3.4.2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Was the level of automation or programmability achieved in your use case affected by the chosen settlement asset or settlement model?</w:t>
      </w:r>
    </w:p>
    <w:p w14:paraId="2BC0C8B6"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3.4.3</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How did you ensure compliance and auditability given the automation and programmability in your use case?</w:t>
      </w:r>
    </w:p>
    <w:p w14:paraId="1DE0A62A" w14:textId="77777777" w:rsidR="00120036" w:rsidRPr="00120036" w:rsidRDefault="00120036" w:rsidP="00120036">
      <w:pPr>
        <w:spacing w:after="180"/>
        <w:ind w:left="860" w:hanging="28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 </w:t>
      </w:r>
    </w:p>
    <w:p w14:paraId="4E536E00"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 xml:space="preserve">3.5 </w:t>
      </w:r>
      <w:r w:rsidRPr="00120036">
        <w:rPr>
          <w:rFonts w:ascii="Arial" w:eastAsia="Times New Roman" w:hAnsi="Arial" w:cs="Arial"/>
          <w:color w:val="156082"/>
          <w:kern w:val="36"/>
          <w:lang w:eastAsia="en-GB"/>
        </w:rPr>
        <w:tab/>
        <w:t>Interoperability and integration with external systems</w:t>
      </w:r>
    </w:p>
    <w:p w14:paraId="71AFE08C"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3.5.1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interoperability challenges (e.g. between tokenised asset systems and settlement systems) did you face in the project and how did you overcome them?</w:t>
      </w:r>
    </w:p>
    <w:p w14:paraId="03463FF1"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3.5.2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principles guided you to the outcomes achieved, and what did you learn?</w:t>
      </w:r>
    </w:p>
    <w:p w14:paraId="390FB560" w14:textId="77777777" w:rsidR="00120036" w:rsidRPr="00120036" w:rsidRDefault="00120036" w:rsidP="00120036">
      <w:pPr>
        <w:spacing w:after="180"/>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3.5.3</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If your use case involved using data oracles, interoperability bridges or any other similar smart contract arrangements that were dependent on external systems, what technical, operational, regulatory or other risks did you identify with those arrangements and how did you mitigate those risks?</w:t>
      </w:r>
    </w:p>
    <w:p w14:paraId="2AADFFE4"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3.6</w:t>
      </w:r>
      <w:r w:rsidRPr="00120036">
        <w:rPr>
          <w:rFonts w:ascii="Times New Roman" w:eastAsia="Times New Roman" w:hAnsi="Times New Roman" w:cs="Times New Roman"/>
          <w:color w:val="156082"/>
          <w:kern w:val="36"/>
          <w:sz w:val="14"/>
          <w:szCs w:val="14"/>
          <w:lang w:eastAsia="en-GB"/>
        </w:rPr>
        <w:t xml:space="preserve">        </w:t>
      </w:r>
      <w:r w:rsidRPr="00120036">
        <w:rPr>
          <w:rFonts w:ascii="Times New Roman" w:eastAsia="Times New Roman" w:hAnsi="Times New Roman" w:cs="Times New Roman"/>
          <w:color w:val="156082"/>
          <w:kern w:val="36"/>
          <w:sz w:val="14"/>
          <w:szCs w:val="14"/>
          <w:lang w:eastAsia="en-GB"/>
        </w:rPr>
        <w:tab/>
      </w:r>
      <w:r w:rsidRPr="00120036">
        <w:rPr>
          <w:rFonts w:ascii="Arial" w:eastAsia="Times New Roman" w:hAnsi="Arial" w:cs="Arial"/>
          <w:color w:val="156082"/>
          <w:kern w:val="36"/>
          <w:lang w:eastAsia="en-GB"/>
        </w:rPr>
        <w:t xml:space="preserve">     Technical performance and integrity</w:t>
      </w:r>
    </w:p>
    <w:p w14:paraId="703E9A67"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3.6.1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What latency and throughput results did you observe in your experimentation and how did they compare to your expectations?</w:t>
      </w:r>
    </w:p>
    <w:p w14:paraId="2CB653AF"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3.6.2</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What measures or strategies did you implement to give you confidence in your selected network’s ability to maintain transactional integrity?</w:t>
      </w:r>
    </w:p>
    <w:p w14:paraId="69B53A90"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3.6.3</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What measures did you implement to mitigate the risks associated with failed or delayed (slower) transactions or an increased cost of transactions during periods of increased network congestion?</w:t>
      </w:r>
    </w:p>
    <w:p w14:paraId="689485EB" w14:textId="77777777" w:rsidR="00120036" w:rsidRPr="00120036" w:rsidRDefault="00120036" w:rsidP="00120036">
      <w:pPr>
        <w:ind w:left="500" w:hanging="3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3.7</w:t>
      </w:r>
      <w:r w:rsidRPr="00120036">
        <w:rPr>
          <w:rFonts w:ascii="Times New Roman" w:eastAsia="Times New Roman" w:hAnsi="Times New Roman" w:cs="Times New Roman"/>
          <w:color w:val="0E2841"/>
          <w:sz w:val="14"/>
          <w:szCs w:val="14"/>
          <w:lang w:eastAsia="en-GB"/>
        </w:rPr>
        <w:t xml:space="preserve">  </w:t>
      </w:r>
      <w:r w:rsidRPr="00120036">
        <w:rPr>
          <w:rFonts w:ascii="Arial" w:eastAsia="Times New Roman" w:hAnsi="Arial" w:cs="Arial"/>
          <w:color w:val="0E2841"/>
          <w:lang w:eastAsia="en-GB"/>
        </w:rPr>
        <w:t>Central bank digital currency design and deployment</w:t>
      </w:r>
    </w:p>
    <w:p w14:paraId="24E27FE2"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3.7.1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If you used CBDC in your experimentation, what functionality of the CBDC smart contract enhanced your use case?</w:t>
      </w:r>
    </w:p>
    <w:p w14:paraId="2050D014"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3.7.2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challenges did you face using the RBA’s pilot CBDC smart contract?</w:t>
      </w:r>
    </w:p>
    <w:p w14:paraId="574B53F9"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3.7.3</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How could a CBDC smart contract be improved to support safe and efficient settlement?</w:t>
      </w:r>
    </w:p>
    <w:p w14:paraId="7FE166F2" w14:textId="77777777" w:rsidR="00120036" w:rsidRPr="00120036" w:rsidRDefault="00120036" w:rsidP="00120036">
      <w:pPr>
        <w:spacing w:after="180"/>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3.7.4</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Did using CBDC bring you the target benefits that you expected, were there any unexpected benefits and/or costs, and could the target benefits have been achieved with an alternative settlement asset?</w:t>
      </w:r>
    </w:p>
    <w:p w14:paraId="05375CE9"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37F40806" w14:textId="77777777" w:rsidR="00120036" w:rsidRPr="00120036" w:rsidRDefault="00120036" w:rsidP="00120036">
      <w:pPr>
        <w:spacing w:before="360"/>
        <w:ind w:left="36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4.</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Legal, regulatory and risk management</w:t>
      </w:r>
    </w:p>
    <w:p w14:paraId="27E49C8E"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4.1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     Legal rights and liabilities</w:t>
      </w:r>
    </w:p>
    <w:p w14:paraId="0856CD47"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4.1.1</w:t>
      </w:r>
      <w:r w:rsidRPr="00120036">
        <w:rPr>
          <w:rFonts w:ascii="Times New Roman" w:eastAsia="Times New Roman" w:hAnsi="Times New Roman" w:cs="Times New Roman"/>
          <w:color w:val="156082"/>
          <w:kern w:val="36"/>
          <w:sz w:val="14"/>
          <w:szCs w:val="14"/>
          <w:lang w:eastAsia="en-GB"/>
        </w:rPr>
        <w:tab/>
      </w:r>
      <w:r w:rsidRPr="00120036">
        <w:rPr>
          <w:rFonts w:ascii="Arial" w:eastAsia="Times New Roman" w:hAnsi="Arial" w:cs="Arial"/>
          <w:color w:val="156082"/>
          <w:kern w:val="36"/>
          <w:lang w:eastAsia="en-GB"/>
        </w:rPr>
        <w:t>How did you ensure legal certainty and enforceability of token ownership and transfer?</w:t>
      </w:r>
    </w:p>
    <w:p w14:paraId="050DE088"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4.1.2</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How did you ensure that settlements were final and irrevocable?</w:t>
      </w:r>
    </w:p>
    <w:p w14:paraId="006B7CAE" w14:textId="77777777" w:rsidR="00120036" w:rsidRPr="00120036" w:rsidRDefault="00120036" w:rsidP="00120036">
      <w:pPr>
        <w:ind w:left="1080" w:hanging="72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4.1.3</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What (if any) legal issues created uncertainty for the structuring or execution of your experimentation, and how did you resolve these uncertainties?</w:t>
      </w:r>
    </w:p>
    <w:p w14:paraId="369AC653" w14:textId="77777777" w:rsidR="00120036" w:rsidRPr="00120036" w:rsidRDefault="00120036" w:rsidP="00120036">
      <w:pPr>
        <w:ind w:left="500" w:hanging="3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4.2</w:t>
      </w:r>
      <w:r w:rsidRPr="00120036">
        <w:rPr>
          <w:rFonts w:ascii="Times New Roman" w:eastAsia="Times New Roman" w:hAnsi="Times New Roman" w:cs="Times New Roman"/>
          <w:color w:val="0E2841"/>
          <w:sz w:val="14"/>
          <w:szCs w:val="14"/>
          <w:lang w:eastAsia="en-GB"/>
        </w:rPr>
        <w:t xml:space="preserve">  </w:t>
      </w:r>
      <w:r w:rsidRPr="00120036">
        <w:rPr>
          <w:rFonts w:ascii="Arial" w:eastAsia="Times New Roman" w:hAnsi="Arial" w:cs="Arial"/>
          <w:color w:val="0E2841"/>
          <w:lang w:eastAsia="en-GB"/>
        </w:rPr>
        <w:t>Regulatory</w:t>
      </w:r>
    </w:p>
    <w:p w14:paraId="6AB730F2"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4.2.1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regulatory challenges did you encounter when piloting your use case?</w:t>
      </w:r>
    </w:p>
    <w:p w14:paraId="10DDB492" w14:textId="77777777" w:rsidR="00120036" w:rsidRPr="00120036" w:rsidRDefault="00120036" w:rsidP="00120036">
      <w:pPr>
        <w:spacing w:after="180"/>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4.2.2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(if any) regulatory barriers would prevent you from undertaking your use case outside of Project Acacia (i.e. absent the project-level relief provided by ASIC)?</w:t>
      </w:r>
    </w:p>
    <w:p w14:paraId="2464F3CC"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4FE999C6" w14:textId="77777777" w:rsidR="00120036" w:rsidRPr="00120036" w:rsidRDefault="00120036" w:rsidP="00120036">
      <w:pPr>
        <w:ind w:left="500" w:hanging="3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4.3</w:t>
      </w:r>
      <w:r w:rsidRPr="00120036">
        <w:rPr>
          <w:rFonts w:ascii="Times New Roman" w:eastAsia="Times New Roman" w:hAnsi="Times New Roman" w:cs="Times New Roman"/>
          <w:color w:val="0E2841"/>
          <w:sz w:val="14"/>
          <w:szCs w:val="14"/>
          <w:lang w:eastAsia="en-GB"/>
        </w:rPr>
        <w:t xml:space="preserve">  </w:t>
      </w:r>
      <w:r w:rsidRPr="00120036">
        <w:rPr>
          <w:rFonts w:ascii="Arial" w:eastAsia="Times New Roman" w:hAnsi="Arial" w:cs="Arial"/>
          <w:color w:val="0E2841"/>
          <w:lang w:eastAsia="en-GB"/>
        </w:rPr>
        <w:t>Operational risk management</w:t>
      </w:r>
    </w:p>
    <w:p w14:paraId="4FBD1167"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4.3.1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risk management processes and controls were implemented in support of your use case to address operational resilience and information security risks?</w:t>
      </w:r>
    </w:p>
    <w:p w14:paraId="23517968" w14:textId="77777777" w:rsidR="00120036" w:rsidRPr="00120036" w:rsidRDefault="00120036" w:rsidP="00120036">
      <w:pPr>
        <w:spacing w:after="180"/>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4.3.2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How did you manage the risks of smart contract failure or system downtime?</w:t>
      </w:r>
    </w:p>
    <w:p w14:paraId="07AB4E38"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51E4801A" w14:textId="77777777" w:rsidR="00120036" w:rsidRPr="00120036" w:rsidRDefault="00120036" w:rsidP="00120036">
      <w:pPr>
        <w:ind w:left="500" w:hanging="3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4.4</w:t>
      </w:r>
      <w:r w:rsidRPr="00120036">
        <w:rPr>
          <w:rFonts w:ascii="Times New Roman" w:eastAsia="Times New Roman" w:hAnsi="Times New Roman" w:cs="Times New Roman"/>
          <w:color w:val="0E2841"/>
          <w:sz w:val="14"/>
          <w:szCs w:val="14"/>
          <w:lang w:eastAsia="en-GB"/>
        </w:rPr>
        <w:t xml:space="preserve"> </w:t>
      </w:r>
      <w:r w:rsidRPr="00120036">
        <w:rPr>
          <w:rFonts w:ascii="Arial" w:eastAsia="Times New Roman" w:hAnsi="Arial" w:cs="Arial"/>
          <w:color w:val="0E2841"/>
          <w:lang w:eastAsia="en-GB"/>
        </w:rPr>
        <w:t>AML/CTF compliance</w:t>
      </w:r>
    </w:p>
    <w:p w14:paraId="46134368"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4.4.1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Did you identify any challenges regarding compliance with AML/CTF or sanctions laws within a tokenised ecosystem?</w:t>
      </w:r>
    </w:p>
    <w:p w14:paraId="6C0DBE13" w14:textId="77777777" w:rsidR="00120036" w:rsidRPr="00120036" w:rsidRDefault="00120036" w:rsidP="00120036">
      <w:pPr>
        <w:spacing w:after="180"/>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4.4.2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Were you able to leverage any of the benefits of tokenisation, such as programmability (i.e. to embed compliance processes), to address these challenges?</w:t>
      </w:r>
    </w:p>
    <w:p w14:paraId="6641E22D"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088EBB2F" w14:textId="77777777" w:rsidR="00120036" w:rsidRPr="00120036" w:rsidRDefault="00120036" w:rsidP="00120036">
      <w:pPr>
        <w:ind w:left="500" w:hanging="3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4.5</w:t>
      </w:r>
      <w:r w:rsidRPr="00120036">
        <w:rPr>
          <w:rFonts w:ascii="Times New Roman" w:eastAsia="Times New Roman" w:hAnsi="Times New Roman" w:cs="Times New Roman"/>
          <w:color w:val="0E2841"/>
          <w:sz w:val="14"/>
          <w:szCs w:val="14"/>
          <w:lang w:eastAsia="en-GB"/>
        </w:rPr>
        <w:t xml:space="preserve">  </w:t>
      </w:r>
      <w:r w:rsidRPr="00120036">
        <w:rPr>
          <w:rFonts w:ascii="Arial" w:eastAsia="Times New Roman" w:hAnsi="Arial" w:cs="Arial"/>
          <w:color w:val="0E2841"/>
          <w:lang w:eastAsia="en-GB"/>
        </w:rPr>
        <w:t>Liquidity risk management</w:t>
      </w:r>
    </w:p>
    <w:p w14:paraId="66AF9D97"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4.5.1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liquidity risks (e.g. from pre-funding of the cash settlement leg, or splitting available settlement funds across different settlement venues) did you identify in your experimentation?</w:t>
      </w:r>
    </w:p>
    <w:p w14:paraId="7A3D8770"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4.5.2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risk management processes and controls were implemented, or could be implemented, to address those risks?</w:t>
      </w:r>
    </w:p>
    <w:p w14:paraId="2581CEDF"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4.5.3</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Did your experimentation reveal any tools or mechanisms that could help with the management of liquidity?</w:t>
      </w:r>
    </w:p>
    <w:p w14:paraId="7FEA0C29" w14:textId="77777777" w:rsidR="00120036" w:rsidRPr="00120036" w:rsidRDefault="00120036" w:rsidP="00120036">
      <w:pPr>
        <w:ind w:left="8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 </w:t>
      </w:r>
    </w:p>
    <w:p w14:paraId="50E18837" w14:textId="77777777" w:rsidR="00120036" w:rsidRPr="00120036" w:rsidRDefault="00120036" w:rsidP="00120036">
      <w:pPr>
        <w:ind w:left="500" w:hanging="3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4.6</w:t>
      </w:r>
      <w:r w:rsidRPr="00120036">
        <w:rPr>
          <w:rFonts w:ascii="Times New Roman" w:eastAsia="Times New Roman" w:hAnsi="Times New Roman" w:cs="Times New Roman"/>
          <w:color w:val="0E2841"/>
          <w:sz w:val="14"/>
          <w:szCs w:val="14"/>
          <w:lang w:eastAsia="en-GB"/>
        </w:rPr>
        <w:t xml:space="preserve"> </w:t>
      </w:r>
      <w:r w:rsidRPr="00120036">
        <w:rPr>
          <w:rFonts w:ascii="Arial" w:eastAsia="Times New Roman" w:hAnsi="Arial" w:cs="Arial"/>
          <w:color w:val="0E2841"/>
          <w:lang w:eastAsia="en-GB"/>
        </w:rPr>
        <w:t>Auditability</w:t>
      </w:r>
    </w:p>
    <w:p w14:paraId="7733819D"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4.6.1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did you learn through your experimentation about the effect of programmability on the auditability and verifiability of compliance with regulatory requirements?</w:t>
      </w:r>
    </w:p>
    <w:p w14:paraId="0E0069DC" w14:textId="77777777" w:rsidR="00120036" w:rsidRPr="00120036" w:rsidRDefault="00120036" w:rsidP="00120036">
      <w:pPr>
        <w:spacing w:after="180"/>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4.6.2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Are there specific technological or procedural gaps that need to be addressed to improve regulatory auditability?</w:t>
      </w:r>
    </w:p>
    <w:p w14:paraId="40E9E048" w14:textId="77777777" w:rsidR="00120036" w:rsidRPr="00120036" w:rsidRDefault="00120036" w:rsidP="00120036">
      <w:pPr>
        <w:spacing w:before="360"/>
        <w:ind w:left="36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5.</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Public interest</w:t>
      </w:r>
    </w:p>
    <w:p w14:paraId="674E0F4F" w14:textId="77777777" w:rsidR="00120036" w:rsidRPr="00120036" w:rsidRDefault="00120036" w:rsidP="00120036">
      <w:pPr>
        <w:ind w:left="720" w:hanging="360"/>
        <w:jc w:val="both"/>
        <w:outlineLvl w:val="0"/>
        <w:rPr>
          <w:rFonts w:ascii="Times New Roman" w:eastAsia="Times New Roman" w:hAnsi="Times New Roman" w:cs="Times New Roman"/>
          <w:b/>
          <w:bCs/>
          <w:kern w:val="36"/>
          <w:sz w:val="48"/>
          <w:szCs w:val="48"/>
          <w:lang w:eastAsia="en-GB"/>
        </w:rPr>
      </w:pPr>
      <w:r w:rsidRPr="00120036">
        <w:rPr>
          <w:rFonts w:ascii="Arial" w:eastAsia="Times New Roman" w:hAnsi="Arial" w:cs="Arial"/>
          <w:color w:val="156082"/>
          <w:kern w:val="36"/>
          <w:lang w:eastAsia="en-GB"/>
        </w:rPr>
        <w:t>5.1</w:t>
      </w:r>
      <w:r w:rsidRPr="00120036">
        <w:rPr>
          <w:rFonts w:ascii="Times New Roman" w:eastAsia="Times New Roman" w:hAnsi="Times New Roman" w:cs="Times New Roman"/>
          <w:color w:val="156082"/>
          <w:kern w:val="36"/>
          <w:sz w:val="14"/>
          <w:szCs w:val="14"/>
          <w:lang w:eastAsia="en-GB"/>
        </w:rPr>
        <w:t xml:space="preserve"> </w:t>
      </w:r>
      <w:r w:rsidRPr="00120036">
        <w:rPr>
          <w:rFonts w:ascii="Arial" w:eastAsia="Times New Roman" w:hAnsi="Arial" w:cs="Arial"/>
          <w:color w:val="156082"/>
          <w:kern w:val="36"/>
          <w:lang w:eastAsia="en-GB"/>
        </w:rPr>
        <w:t>     Controlling risk in the financial system</w:t>
      </w:r>
    </w:p>
    <w:p w14:paraId="38AE2BC8"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0CD26895"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5.1.1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In what way(s) would the design of your use case (e.g. your selection of settlement asset or blockchain network) assist in controlling systemic risk (i.e. the risk that a problem in one institution may trigger instability across the financial system)?</w:t>
      </w:r>
    </w:p>
    <w:p w14:paraId="7F02D632"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5.1.2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In what way(s) did your experimentation demonstrate the potential of tokenisation to alter the nature or visibility of counterparty risk, and/or the way in which counterparty risk is monitored and mitigated?</w:t>
      </w:r>
    </w:p>
    <w:p w14:paraId="2AE0339A"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5.1.3</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In what way(s) did your experimentation demonstrate increased or decreased system resilience compared with existing financial infrastructure?</w:t>
      </w:r>
    </w:p>
    <w:p w14:paraId="76286319" w14:textId="77777777" w:rsidR="00120036" w:rsidRPr="00120036" w:rsidRDefault="00120036" w:rsidP="00120036">
      <w:pPr>
        <w:spacing w:after="180"/>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5.1.4</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What redundancy or resilience features did your experimentation reveal as important to your use case design?</w:t>
      </w:r>
    </w:p>
    <w:p w14:paraId="066EB337"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5FDE05A4" w14:textId="77777777" w:rsidR="00120036" w:rsidRPr="00120036" w:rsidRDefault="00120036" w:rsidP="00120036">
      <w:pPr>
        <w:ind w:left="500" w:hanging="3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5.2</w:t>
      </w:r>
      <w:r w:rsidRPr="00120036">
        <w:rPr>
          <w:rFonts w:ascii="Times New Roman" w:eastAsia="Times New Roman" w:hAnsi="Times New Roman" w:cs="Times New Roman"/>
          <w:color w:val="0E2841"/>
          <w:sz w:val="14"/>
          <w:szCs w:val="14"/>
          <w:lang w:eastAsia="en-GB"/>
        </w:rPr>
        <w:t xml:space="preserve">  </w:t>
      </w:r>
      <w:r w:rsidRPr="00120036">
        <w:rPr>
          <w:rFonts w:ascii="Arial" w:eastAsia="Times New Roman" w:hAnsi="Arial" w:cs="Arial"/>
          <w:color w:val="0E2841"/>
          <w:lang w:eastAsia="en-GB"/>
        </w:rPr>
        <w:t>Promoting efficiency of the payments system</w:t>
      </w:r>
    </w:p>
    <w:p w14:paraId="638B5B6A"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5.2.1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In what way(s) would the design of your use case (e.g. your selection of settlement asset or blockchain network) assist in promoting efficiency in the payments system? For example, if you experimented with pilot CBDC, what efficiencies (if any) did access to central bank money in that form by a broader set of market participants than existing ESA holders demonstrate, and why?</w:t>
      </w:r>
    </w:p>
    <w:p w14:paraId="743ECE7E" w14:textId="77777777" w:rsidR="00120036" w:rsidRPr="00120036" w:rsidRDefault="00120036" w:rsidP="00120036">
      <w:pPr>
        <w:ind w:left="8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 </w:t>
      </w:r>
    </w:p>
    <w:p w14:paraId="2884A193" w14:textId="77777777" w:rsidR="00120036" w:rsidRPr="00120036" w:rsidRDefault="00120036" w:rsidP="00120036">
      <w:pPr>
        <w:spacing w:after="180"/>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5.2.2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How did your use case design promote at par convertibility of different forms of public and private money denominated in Australian dollars?</w:t>
      </w:r>
    </w:p>
    <w:p w14:paraId="03374A2A"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7B24E4DA" w14:textId="77777777" w:rsidR="00120036" w:rsidRPr="00120036" w:rsidRDefault="00120036" w:rsidP="00120036">
      <w:pPr>
        <w:ind w:left="500" w:hanging="3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5.3</w:t>
      </w:r>
      <w:r w:rsidRPr="00120036">
        <w:rPr>
          <w:rFonts w:ascii="Times New Roman" w:eastAsia="Times New Roman" w:hAnsi="Times New Roman" w:cs="Times New Roman"/>
          <w:color w:val="0E2841"/>
          <w:sz w:val="14"/>
          <w:szCs w:val="14"/>
          <w:lang w:eastAsia="en-GB"/>
        </w:rPr>
        <w:t xml:space="preserve">  </w:t>
      </w:r>
      <w:r w:rsidRPr="00120036">
        <w:rPr>
          <w:rFonts w:ascii="Arial" w:eastAsia="Times New Roman" w:hAnsi="Arial" w:cs="Arial"/>
          <w:color w:val="0E2841"/>
          <w:lang w:eastAsia="en-GB"/>
        </w:rPr>
        <w:t>Promoting competition</w:t>
      </w:r>
    </w:p>
    <w:p w14:paraId="516C76DB"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5.3.1</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In what way(s) did your use case provide research evidence about how asset tokenisation and/or new forms of public or private money may promote competition in the development of new markets and settlement infrastructure services? For example, did your use case demonstrate if barriers to new entry or service development can be lowered or bypassed, and if so how?</w:t>
      </w:r>
    </w:p>
    <w:p w14:paraId="4918A379" w14:textId="77777777" w:rsidR="00120036" w:rsidRPr="00120036" w:rsidRDefault="00120036" w:rsidP="00120036">
      <w:pPr>
        <w:ind w:left="8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 </w:t>
      </w:r>
    </w:p>
    <w:p w14:paraId="514432B8" w14:textId="77777777" w:rsidR="00120036" w:rsidRPr="00120036" w:rsidRDefault="00120036" w:rsidP="00120036">
      <w:pPr>
        <w:ind w:left="860" w:hanging="72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5.3.2</w:t>
      </w:r>
      <w:r w:rsidRPr="00120036">
        <w:rPr>
          <w:rFonts w:ascii="Times New Roman" w:eastAsia="Times New Roman" w:hAnsi="Times New Roman" w:cs="Times New Roman"/>
          <w:color w:val="0E2841"/>
          <w:sz w:val="14"/>
          <w:szCs w:val="14"/>
          <w:lang w:eastAsia="en-GB"/>
        </w:rPr>
        <w:t xml:space="preserve">  </w:t>
      </w:r>
      <w:r w:rsidRPr="00120036">
        <w:rPr>
          <w:rFonts w:ascii="Times New Roman" w:eastAsia="Times New Roman" w:hAnsi="Times New Roman" w:cs="Times New Roman"/>
          <w:color w:val="0E2841"/>
          <w:sz w:val="14"/>
          <w:szCs w:val="14"/>
          <w:lang w:eastAsia="en-GB"/>
        </w:rPr>
        <w:tab/>
      </w:r>
      <w:r w:rsidRPr="00120036">
        <w:rPr>
          <w:rFonts w:ascii="Arial" w:eastAsia="Times New Roman" w:hAnsi="Arial" w:cs="Arial"/>
          <w:color w:val="0E2841"/>
          <w:lang w:eastAsia="en-GB"/>
        </w:rPr>
        <w:t>Were there barriers that prevented you from structuring your use case in a way that may have provided more information on this question, and if so what were those barriers?</w:t>
      </w:r>
    </w:p>
    <w:p w14:paraId="405AADE9" w14:textId="77777777" w:rsidR="00120036" w:rsidRPr="00120036" w:rsidRDefault="00120036" w:rsidP="00120036">
      <w:pPr>
        <w:spacing w:after="180"/>
        <w:ind w:left="860"/>
        <w:jc w:val="both"/>
        <w:rPr>
          <w:rFonts w:ascii="Times New Roman" w:eastAsia="Times New Roman" w:hAnsi="Times New Roman" w:cs="Times New Roman"/>
          <w:lang w:eastAsia="en-GB"/>
        </w:rPr>
      </w:pPr>
      <w:r w:rsidRPr="00120036">
        <w:rPr>
          <w:rFonts w:ascii="Arial" w:eastAsia="Times New Roman" w:hAnsi="Arial" w:cs="Arial"/>
          <w:color w:val="0E2841"/>
          <w:lang w:eastAsia="en-GB"/>
        </w:rPr>
        <w:t> </w:t>
      </w:r>
    </w:p>
    <w:p w14:paraId="71CEA127" w14:textId="77777777" w:rsidR="00120036" w:rsidRPr="00120036" w:rsidRDefault="00120036" w:rsidP="00120036">
      <w:pPr>
        <w:spacing w:after="180"/>
        <w:ind w:left="140"/>
        <w:jc w:val="both"/>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1F094962"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425103F3" w14:textId="77777777" w:rsidR="00120036" w:rsidRPr="00120036" w:rsidRDefault="00120036" w:rsidP="00120036">
      <w:pPr>
        <w:spacing w:after="180"/>
        <w:rPr>
          <w:rFonts w:ascii="Times New Roman" w:eastAsia="Times New Roman" w:hAnsi="Times New Roman" w:cs="Times New Roman"/>
          <w:lang w:eastAsia="en-GB"/>
        </w:rPr>
      </w:pPr>
      <w:r w:rsidRPr="00120036">
        <w:rPr>
          <w:rFonts w:ascii="Arial" w:eastAsia="Times New Roman" w:hAnsi="Arial" w:cs="Arial"/>
          <w:color w:val="000000"/>
          <w:lang w:eastAsia="en-GB"/>
        </w:rPr>
        <w:t> </w:t>
      </w:r>
    </w:p>
    <w:p w14:paraId="391168D4"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 </w:t>
      </w:r>
    </w:p>
    <w:p w14:paraId="6BEF67E7"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color w:val="C00000"/>
          <w:sz w:val="21"/>
          <w:szCs w:val="21"/>
          <w:lang w:eastAsia="en-GB"/>
        </w:rPr>
        <w:t>A Future Payments Scheme incorporating these elements would represent a coordinated response by Australian industry to the risks and opportunities arising from technological and policy developments in international finance.</w:t>
      </w:r>
    </w:p>
    <w:p w14:paraId="5A71EF6B"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color w:val="C00000"/>
          <w:sz w:val="21"/>
          <w:szCs w:val="21"/>
          <w:lang w:eastAsia="en-GB"/>
        </w:rPr>
        <w:t>A Future Payments Scheme incorporating these elements would represent a coordinated response by Australian industry to the risks and opportunities arising from technological and policy developments in international finance. These include those addressed in the Project Acacia Consultation Paper – particularly, the singleness of the national currency.</w:t>
      </w:r>
    </w:p>
    <w:p w14:paraId="5FFAC84A"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color w:val="C00000"/>
          <w:sz w:val="21"/>
          <w:szCs w:val="21"/>
          <w:lang w:eastAsia="en-GB"/>
        </w:rPr>
        <w:t>The Scheme would advance Australia’s national interests in digital and monetary sovereignty, with the objectives of facilitating innovation and competitiveness relating to novel financial technologies, while preserving financial stability and the singleness of the currency.</w:t>
      </w:r>
    </w:p>
    <w:p w14:paraId="32E2B8B8"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color w:val="C00000"/>
          <w:sz w:val="21"/>
          <w:szCs w:val="21"/>
          <w:lang w:eastAsia="en-GB"/>
        </w:rPr>
        <w:t>In preparing proofs of concept for these use cases, AP+ has partnered with   </w:t>
      </w:r>
    </w:p>
    <w:p w14:paraId="3ED52BA8" w14:textId="77777777" w:rsidR="00120036" w:rsidRPr="00120036" w:rsidRDefault="00120036" w:rsidP="00120036">
      <w:pPr>
        <w:spacing w:before="240" w:after="180"/>
        <w:jc w:val="both"/>
        <w:rPr>
          <w:rFonts w:ascii="Times New Roman" w:eastAsia="Times New Roman" w:hAnsi="Times New Roman" w:cs="Times New Roman"/>
          <w:lang w:eastAsia="en-GB"/>
        </w:rPr>
      </w:pPr>
      <w:r w:rsidRPr="00120036">
        <w:rPr>
          <w:rFonts w:ascii="Arial" w:eastAsia="Times New Roman" w:hAnsi="Arial" w:cs="Arial"/>
          <w:color w:val="C00000"/>
          <w:sz w:val="21"/>
          <w:szCs w:val="21"/>
          <w:lang w:eastAsia="en-GB"/>
        </w:rPr>
        <w:t>NUANCES IN THE AGREEMENTS WITH OTHER PROJECT ACACIA ENTITY – ON THE PREMISE OF REGULATORY RELIEF]]</w:t>
      </w:r>
    </w:p>
    <w:p w14:paraId="12F8AA72" w14:textId="77777777" w:rsidR="00120036" w:rsidRPr="00120036" w:rsidRDefault="00120036" w:rsidP="00120036">
      <w:pPr>
        <w:spacing w:after="180"/>
        <w:jc w:val="both"/>
        <w:rPr>
          <w:rFonts w:ascii="Times New Roman" w:eastAsia="Times New Roman" w:hAnsi="Times New Roman" w:cs="Times New Roman"/>
          <w:lang w:eastAsia="en-GB"/>
        </w:rPr>
      </w:pPr>
      <w:r w:rsidRPr="00120036">
        <w:rPr>
          <w:rFonts w:ascii="Arial" w:eastAsia="Times New Roman" w:hAnsi="Arial" w:cs="Arial"/>
          <w:color w:val="000000"/>
          <w:sz w:val="21"/>
          <w:szCs w:val="21"/>
          <w:lang w:eastAsia="en-GB"/>
        </w:rPr>
        <w:t>AUDF ERC20 nonstandard</w:t>
      </w:r>
    </w:p>
    <w:p w14:paraId="68AF85CB" w14:textId="77777777" w:rsidR="00120036" w:rsidRPr="00120036" w:rsidRDefault="00120036" w:rsidP="00120036">
      <w:pPr>
        <w:rPr>
          <w:rFonts w:ascii="Times New Roman" w:eastAsia="Times New Roman" w:hAnsi="Times New Roman" w:cs="Times New Roman"/>
          <w:lang w:eastAsia="en-GB"/>
        </w:rPr>
      </w:pPr>
    </w:p>
    <w:p w14:paraId="30ACA74C" w14:textId="77777777" w:rsidR="00120036" w:rsidRPr="00120036" w:rsidRDefault="00120036" w:rsidP="00120036">
      <w:pPr>
        <w:rPr>
          <w:rFonts w:ascii="Times New Roman" w:eastAsia="Times New Roman" w:hAnsi="Times New Roman" w:cs="Times New Roman"/>
          <w:lang w:eastAsia="en-GB"/>
        </w:rPr>
      </w:pPr>
      <w:r w:rsidRPr="00120036">
        <w:rPr>
          <w:rFonts w:ascii="Times New Roman" w:eastAsia="Times New Roman" w:hAnsi="Times New Roman" w:cs="Times New Roman"/>
          <w:lang w:eastAsia="en-GB"/>
        </w:rPr>
        <w:pict w14:anchorId="31AB5962">
          <v:rect id="_x0000_i1025" style="width:0;height:1.5pt" o:hralign="center" o:hrstd="t" o:hr="t" fillcolor="#a0a0a0" stroked="f"/>
        </w:pict>
      </w:r>
    </w:p>
    <w:p w14:paraId="6A9ACD52" w14:textId="77777777" w:rsidR="00120036" w:rsidRPr="00120036" w:rsidRDefault="00120036" w:rsidP="00120036">
      <w:pPr>
        <w:rPr>
          <w:rFonts w:ascii="Times New Roman" w:eastAsia="Times New Roman" w:hAnsi="Times New Roman" w:cs="Times New Roman"/>
          <w:lang w:eastAsia="en-GB"/>
        </w:rPr>
      </w:pPr>
      <w:r w:rsidRPr="00120036">
        <w:rPr>
          <w:rFonts w:ascii="Arial" w:eastAsia="Times New Roman" w:hAnsi="Arial" w:cs="Arial"/>
          <w:color w:val="467886"/>
          <w:sz w:val="20"/>
          <w:szCs w:val="20"/>
          <w:vertAlign w:val="superscript"/>
          <w:lang w:eastAsia="en-GB"/>
        </w:rPr>
        <w:t>[1]</w:t>
      </w:r>
      <w:r w:rsidRPr="00120036">
        <w:rPr>
          <w:rFonts w:ascii="Arial" w:eastAsia="Times New Roman" w:hAnsi="Arial" w:cs="Arial"/>
          <w:color w:val="000000"/>
          <w:sz w:val="20"/>
          <w:szCs w:val="20"/>
          <w:lang w:eastAsia="en-GB"/>
        </w:rPr>
        <w:t xml:space="preserve"> New Payments Platform (NPP), eftpos, and BPAY.</w:t>
      </w:r>
    </w:p>
    <w:p w14:paraId="4FC3C444" w14:textId="77777777" w:rsidR="00120036" w:rsidRPr="00120036" w:rsidRDefault="00120036" w:rsidP="00120036">
      <w:pPr>
        <w:rPr>
          <w:rFonts w:ascii="Times New Roman" w:eastAsia="Times New Roman" w:hAnsi="Times New Roman" w:cs="Times New Roman"/>
          <w:lang w:eastAsia="en-GB"/>
        </w:rPr>
      </w:pPr>
    </w:p>
    <w:p w14:paraId="4F83A33C" w14:textId="77777777" w:rsidR="00462FD7" w:rsidRDefault="00462FD7" w:rsidP="00151AC0"/>
    <w:sectPr w:rsidR="00462F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D440A23"/>
    <w:multiLevelType w:val="hybridMultilevel"/>
    <w:tmpl w:val="4240E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80960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AC0"/>
    <w:rsid w:val="00013EC3"/>
    <w:rsid w:val="00120036"/>
    <w:rsid w:val="00151AC0"/>
    <w:rsid w:val="002F72EA"/>
    <w:rsid w:val="00462FD7"/>
    <w:rsid w:val="00885BBD"/>
    <w:rsid w:val="00A91BD4"/>
    <w:rsid w:val="00E00E5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2E68D64"/>
  <w15:chartTrackingRefBased/>
  <w15:docId w15:val="{816402B0-3026-DF40-98CB-57BAD2AB7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1A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1A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1A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1A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A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A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A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A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A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A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1A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1A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1A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A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AC0"/>
    <w:rPr>
      <w:rFonts w:eastAsiaTheme="majorEastAsia" w:cstheme="majorBidi"/>
      <w:color w:val="272727" w:themeColor="text1" w:themeTint="D8"/>
    </w:rPr>
  </w:style>
  <w:style w:type="paragraph" w:styleId="Title">
    <w:name w:val="Title"/>
    <w:basedOn w:val="Normal"/>
    <w:next w:val="Normal"/>
    <w:link w:val="TitleChar"/>
    <w:uiPriority w:val="10"/>
    <w:qFormat/>
    <w:rsid w:val="00151AC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1AC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AC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1AC0"/>
    <w:rPr>
      <w:i/>
      <w:iCs/>
      <w:color w:val="404040" w:themeColor="text1" w:themeTint="BF"/>
    </w:rPr>
  </w:style>
  <w:style w:type="paragraph" w:styleId="ListParagraph">
    <w:name w:val="List Paragraph"/>
    <w:basedOn w:val="Normal"/>
    <w:uiPriority w:val="34"/>
    <w:qFormat/>
    <w:rsid w:val="00151AC0"/>
    <w:pPr>
      <w:ind w:left="720"/>
      <w:contextualSpacing/>
    </w:pPr>
  </w:style>
  <w:style w:type="character" w:styleId="IntenseEmphasis">
    <w:name w:val="Intense Emphasis"/>
    <w:basedOn w:val="DefaultParagraphFont"/>
    <w:uiPriority w:val="21"/>
    <w:qFormat/>
    <w:rsid w:val="00151AC0"/>
    <w:rPr>
      <w:i/>
      <w:iCs/>
      <w:color w:val="0F4761" w:themeColor="accent1" w:themeShade="BF"/>
    </w:rPr>
  </w:style>
  <w:style w:type="paragraph" w:styleId="IntenseQuote">
    <w:name w:val="Intense Quote"/>
    <w:basedOn w:val="Normal"/>
    <w:next w:val="Normal"/>
    <w:link w:val="IntenseQuoteChar"/>
    <w:uiPriority w:val="30"/>
    <w:qFormat/>
    <w:rsid w:val="00151A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AC0"/>
    <w:rPr>
      <w:i/>
      <w:iCs/>
      <w:color w:val="0F4761" w:themeColor="accent1" w:themeShade="BF"/>
    </w:rPr>
  </w:style>
  <w:style w:type="character" w:styleId="IntenseReference">
    <w:name w:val="Intense Reference"/>
    <w:basedOn w:val="DefaultParagraphFont"/>
    <w:uiPriority w:val="32"/>
    <w:qFormat/>
    <w:rsid w:val="00151AC0"/>
    <w:rPr>
      <w:b/>
      <w:bCs/>
      <w:smallCaps/>
      <w:color w:val="0F4761" w:themeColor="accent1" w:themeShade="BF"/>
      <w:spacing w:val="5"/>
    </w:rPr>
  </w:style>
  <w:style w:type="paragraph" w:styleId="NormalWeb">
    <w:name w:val="Normal (Web)"/>
    <w:basedOn w:val="Normal"/>
    <w:uiPriority w:val="99"/>
    <w:semiHidden/>
    <w:unhideWhenUsed/>
    <w:rsid w:val="00151AC0"/>
    <w:pPr>
      <w:spacing w:before="100" w:beforeAutospacing="1" w:after="100" w:afterAutospacing="1"/>
    </w:pPr>
    <w:rPr>
      <w:rFonts w:ascii="Times New Roman" w:eastAsia="Times New Roman" w:hAnsi="Times New Roman" w:cs="Times New Roman"/>
      <w:lang w:eastAsia="en-GB"/>
    </w:rPr>
  </w:style>
  <w:style w:type="character" w:styleId="Hyperlink">
    <w:name w:val="Hyperlink"/>
    <w:basedOn w:val="DefaultParagraphFont"/>
    <w:uiPriority w:val="99"/>
    <w:semiHidden/>
    <w:unhideWhenUsed/>
    <w:rsid w:val="00151AC0"/>
    <w:rPr>
      <w:color w:val="0000FF"/>
      <w:u w:val="single"/>
    </w:rPr>
  </w:style>
  <w:style w:type="character" w:customStyle="1" w:styleId="apple-tab-span">
    <w:name w:val="apple-tab-span"/>
    <w:basedOn w:val="DefaultParagraphFont"/>
    <w:rsid w:val="00151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146939">
      <w:bodyDiv w:val="1"/>
      <w:marLeft w:val="0"/>
      <w:marRight w:val="0"/>
      <w:marTop w:val="0"/>
      <w:marBottom w:val="0"/>
      <w:divBdr>
        <w:top w:val="none" w:sz="0" w:space="0" w:color="auto"/>
        <w:left w:val="none" w:sz="0" w:space="0" w:color="auto"/>
        <w:bottom w:val="none" w:sz="0" w:space="0" w:color="auto"/>
        <w:right w:val="none" w:sz="0" w:space="0" w:color="auto"/>
      </w:divBdr>
    </w:div>
    <w:div w:id="549193445">
      <w:bodyDiv w:val="1"/>
      <w:marLeft w:val="0"/>
      <w:marRight w:val="0"/>
      <w:marTop w:val="0"/>
      <w:marBottom w:val="0"/>
      <w:divBdr>
        <w:top w:val="none" w:sz="0" w:space="0" w:color="auto"/>
        <w:left w:val="none" w:sz="0" w:space="0" w:color="auto"/>
        <w:bottom w:val="none" w:sz="0" w:space="0" w:color="auto"/>
        <w:right w:val="none" w:sz="0" w:space="0" w:color="auto"/>
      </w:divBdr>
    </w:div>
    <w:div w:id="6917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ba.gov.au/payments-and-infrastructure/central-bank-digital-currency/pdf/project-acacia-consultation-paper-2024-11.pdf" TargetMode="External"/><Relationship Id="rId5" Type="http://schemas.openxmlformats.org/officeDocument/2006/relationships/hyperlink" Target="https://dfcrc.com.au/wp-content/uploads/2025/08/Project-Acacia-summary-of-use-cases.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3469</Words>
  <Characters>19779</Characters>
  <Application>Microsoft Office Word</Application>
  <DocSecurity>0</DocSecurity>
  <Lines>164</Lines>
  <Paragraphs>46</Paragraphs>
  <ScaleCrop>false</ScaleCrop>
  <Company/>
  <LinksUpToDate>false</LinksUpToDate>
  <CharactersWithSpaces>23202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Kelly</dc:creator>
  <cp:keywords/>
  <dc:description/>
  <cp:lastModifiedBy>Gerard Kelly</cp:lastModifiedBy>
  <cp:revision>3</cp:revision>
  <dcterms:created xsi:type="dcterms:W3CDTF">2025-11-19T15:34:00Z</dcterms:created>
  <dcterms:modified xsi:type="dcterms:W3CDTF">2025-11-20T03:13:00Z</dcterms:modified>
</cp:coreProperties>
</file>