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60B9D" w14:textId="01874602" w:rsidR="002F72EA" w:rsidRDefault="00710DFE">
      <w:r>
        <w:t>Alternatives to EVM</w:t>
      </w:r>
    </w:p>
    <w:p w14:paraId="2786A004" w14:textId="77777777" w:rsidR="00710DFE" w:rsidRDefault="00710DFE"/>
    <w:p w14:paraId="37C439BE" w14:textId="19632C82" w:rsidR="00710DFE" w:rsidRDefault="00710DFE" w:rsidP="00710DFE">
      <w:pPr>
        <w:pStyle w:val="ListParagraph"/>
        <w:numPr>
          <w:ilvl w:val="0"/>
          <w:numId w:val="1"/>
        </w:numPr>
      </w:pPr>
      <w:proofErr w:type="spellStart"/>
      <w:r>
        <w:t>Webassembly</w:t>
      </w:r>
      <w:proofErr w:type="spellEnd"/>
      <w:r>
        <w:t xml:space="preserve"> (</w:t>
      </w:r>
      <w:proofErr w:type="spellStart"/>
      <w:r>
        <w:t>polkadot</w:t>
      </w:r>
      <w:proofErr w:type="spellEnd"/>
      <w:r>
        <w:t xml:space="preserve"> and cosmos)</w:t>
      </w:r>
    </w:p>
    <w:p w14:paraId="03CC3B8E" w14:textId="39CAD377" w:rsidR="00710DFE" w:rsidRDefault="00710DFE" w:rsidP="00710DFE">
      <w:pPr>
        <w:pStyle w:val="ListParagraph"/>
        <w:numPr>
          <w:ilvl w:val="0"/>
          <w:numId w:val="1"/>
        </w:numPr>
      </w:pPr>
      <w:r>
        <w:t>Move VM (</w:t>
      </w:r>
      <w:proofErr w:type="spellStart"/>
      <w:r>
        <w:t>aptos</w:t>
      </w:r>
      <w:proofErr w:type="spellEnd"/>
      <w:r>
        <w:t xml:space="preserve"> and sui)</w:t>
      </w:r>
    </w:p>
    <w:p w14:paraId="0B1C65E9" w14:textId="27C66744" w:rsidR="00710DFE" w:rsidRDefault="00710DFE" w:rsidP="00710DFE">
      <w:pPr>
        <w:pStyle w:val="ListParagraph"/>
        <w:numPr>
          <w:ilvl w:val="0"/>
          <w:numId w:val="1"/>
        </w:numPr>
      </w:pPr>
      <w:proofErr w:type="spellStart"/>
      <w:r>
        <w:t>Tezos</w:t>
      </w:r>
      <w:proofErr w:type="spellEnd"/>
    </w:p>
    <w:p w14:paraId="7A062952" w14:textId="07279AFE" w:rsidR="00710DFE" w:rsidRDefault="00710DFE" w:rsidP="00710DFE">
      <w:pPr>
        <w:pStyle w:val="ListParagraph"/>
        <w:numPr>
          <w:ilvl w:val="0"/>
          <w:numId w:val="1"/>
        </w:numPr>
      </w:pPr>
      <w:proofErr w:type="spellStart"/>
      <w:r>
        <w:t>Algorand</w:t>
      </w:r>
      <w:proofErr w:type="spellEnd"/>
      <w:r>
        <w:t xml:space="preserve"> VM</w:t>
      </w:r>
    </w:p>
    <w:p w14:paraId="442E7141" w14:textId="220A0869" w:rsidR="00710DFE" w:rsidRDefault="00710DFE" w:rsidP="00710DFE">
      <w:pPr>
        <w:pStyle w:val="ListParagraph"/>
        <w:numPr>
          <w:ilvl w:val="0"/>
          <w:numId w:val="1"/>
        </w:numPr>
      </w:pPr>
      <w:r>
        <w:t xml:space="preserve">Solana </w:t>
      </w:r>
      <w:proofErr w:type="spellStart"/>
      <w:r>
        <w:t>Sealevel</w:t>
      </w:r>
      <w:proofErr w:type="spellEnd"/>
    </w:p>
    <w:p w14:paraId="4BF1046D" w14:textId="77777777" w:rsidR="00710DFE" w:rsidRDefault="00710DFE" w:rsidP="00710DFE"/>
    <w:p w14:paraId="06A676FF" w14:textId="311DDF4E" w:rsidR="00710DFE" w:rsidRDefault="00710DFE" w:rsidP="00710DFE">
      <w:r>
        <w:t xml:space="preserve">PROJECT DUNBAR / </w:t>
      </w:r>
      <w:proofErr w:type="spellStart"/>
      <w:r>
        <w:t>mBRIDGE</w:t>
      </w:r>
      <w:proofErr w:type="spellEnd"/>
    </w:p>
    <w:p w14:paraId="033F7472" w14:textId="77777777" w:rsidR="00710DFE" w:rsidRDefault="00710DFE" w:rsidP="00710DFE"/>
    <w:p w14:paraId="53012EAC" w14:textId="17195D1D" w:rsidR="00710DFE" w:rsidRDefault="00710DFE" w:rsidP="00710DFE">
      <w:r>
        <w:t>PROJECT ACACIA (phase 2)</w:t>
      </w:r>
    </w:p>
    <w:p w14:paraId="3654D460" w14:textId="77777777" w:rsidR="00710DFE" w:rsidRDefault="00710DFE" w:rsidP="00710DFE"/>
    <w:p w14:paraId="74CE55BE" w14:textId="7BE4F737" w:rsidR="00710DFE" w:rsidRDefault="00710DFE" w:rsidP="00710DFE">
      <w:r>
        <w:t xml:space="preserve">The intent of Phase 2 will be to explore issues of technology design, risk management, governance and regulation associated with different settlement models for wholesale tokenised asset markets. </w:t>
      </w:r>
    </w:p>
    <w:p w14:paraId="34F4DCD1" w14:textId="77777777" w:rsidR="00710DFE" w:rsidRDefault="00710DFE" w:rsidP="00710DFE"/>
    <w:p w14:paraId="065BB65B" w14:textId="1461D0F1" w:rsidR="00710DFE" w:rsidRDefault="00710DFE" w:rsidP="00710DFE">
      <w:pPr>
        <w:pStyle w:val="ListParagraph"/>
        <w:numPr>
          <w:ilvl w:val="0"/>
          <w:numId w:val="2"/>
        </w:numPr>
      </w:pPr>
      <w:r>
        <w:t>Whether money and assets are on the same or different platforms</w:t>
      </w:r>
      <w:r>
        <w:t>?</w:t>
      </w:r>
    </w:p>
    <w:p w14:paraId="0F7A73A0" w14:textId="6CA5F5BF" w:rsidR="00710DFE" w:rsidRDefault="00710DFE" w:rsidP="00710DFE">
      <w:pPr>
        <w:pStyle w:val="ListParagraph"/>
        <w:numPr>
          <w:ilvl w:val="0"/>
          <w:numId w:val="2"/>
        </w:numPr>
      </w:pPr>
      <w:r>
        <w:t>Type of settlement asset</w:t>
      </w:r>
    </w:p>
    <w:p w14:paraId="0F7D3779" w14:textId="028828AE" w:rsidR="00710DFE" w:rsidRDefault="00710DFE" w:rsidP="00710DFE">
      <w:pPr>
        <w:pStyle w:val="ListParagraph"/>
        <w:numPr>
          <w:ilvl w:val="0"/>
          <w:numId w:val="2"/>
        </w:numPr>
      </w:pPr>
      <w:r>
        <w:t>‘Interchange’ mechanisms for privately issued digital money</w:t>
      </w:r>
    </w:p>
    <w:p w14:paraId="4509047C" w14:textId="77777777" w:rsidR="00F226CB" w:rsidRDefault="00F226CB" w:rsidP="00F226CB"/>
    <w:p w14:paraId="3A053D88" w14:textId="77777777" w:rsidR="00F226CB" w:rsidRDefault="00F226CB" w:rsidP="00F226CB"/>
    <w:p w14:paraId="51647556" w14:textId="77777777" w:rsidR="00F226CB" w:rsidRDefault="00F226CB" w:rsidP="00F226CB"/>
    <w:p w14:paraId="2A2E739A" w14:textId="77777777" w:rsidR="00F226CB" w:rsidRDefault="00F226CB" w:rsidP="00F226CB">
      <w:r>
        <w:t>1. Fundamental Technical Requirements</w:t>
      </w:r>
    </w:p>
    <w:p w14:paraId="5315A37A" w14:textId="77777777" w:rsidR="00F226CB" w:rsidRDefault="00F226CB" w:rsidP="00F226CB"/>
    <w:p w14:paraId="002D5292" w14:textId="77777777" w:rsidR="00F226CB" w:rsidRDefault="00F226CB" w:rsidP="00F226CB">
      <w:r>
        <w:t xml:space="preserve">    Consensus Verification: Light clients or relays to validate transactions across chains (e.g., IBC’s Merkle-proof verification).</w:t>
      </w:r>
    </w:p>
    <w:p w14:paraId="65C556F2" w14:textId="77777777" w:rsidR="00F226CB" w:rsidRDefault="00F226CB" w:rsidP="00F226CB"/>
    <w:p w14:paraId="5EA56CB0" w14:textId="77777777" w:rsidR="00F226CB" w:rsidRDefault="00F226CB" w:rsidP="00F226CB">
      <w:r>
        <w:t xml:space="preserve">    Atomicity: Ensuring cross-chain transactions either fully succeed or fail (e.g., HTLCs, atomic swaps).</w:t>
      </w:r>
    </w:p>
    <w:p w14:paraId="0B477DF2" w14:textId="77777777" w:rsidR="00F226CB" w:rsidRDefault="00F226CB" w:rsidP="00F226CB"/>
    <w:p w14:paraId="50B776DE" w14:textId="77777777" w:rsidR="00F226CB" w:rsidRDefault="00F226CB" w:rsidP="00F226CB">
      <w:r>
        <w:t xml:space="preserve">    Security: Protection against double-spending, replay attacks, and bridge exploits.</w:t>
      </w:r>
    </w:p>
    <w:p w14:paraId="29580734" w14:textId="77777777" w:rsidR="00F226CB" w:rsidRDefault="00F226CB" w:rsidP="00F226CB"/>
    <w:p w14:paraId="31192697" w14:textId="77777777" w:rsidR="00F226CB" w:rsidRDefault="00F226CB" w:rsidP="00F226CB">
      <w:r>
        <w:t xml:space="preserve">    Scalability: Handling high transaction volumes without bottlenecks (e.g., parallel execution in Solana).</w:t>
      </w:r>
    </w:p>
    <w:p w14:paraId="2CEA3A62" w14:textId="77777777" w:rsidR="00F226CB" w:rsidRDefault="00F226CB" w:rsidP="00F226CB"/>
    <w:p w14:paraId="30CE9F0A" w14:textId="77777777" w:rsidR="00F226CB" w:rsidRDefault="00F226CB" w:rsidP="00F226CB">
      <w:r>
        <w:t xml:space="preserve">    Standardization: Universal token/NFT standards (e.g., Cosmos’ ICS-20) and messaging formats (e.g., </w:t>
      </w:r>
      <w:proofErr w:type="spellStart"/>
      <w:r>
        <w:t>LayerZero’s</w:t>
      </w:r>
      <w:proofErr w:type="spellEnd"/>
      <w:r>
        <w:t xml:space="preserve"> </w:t>
      </w:r>
      <w:proofErr w:type="spellStart"/>
      <w:r>
        <w:t>omnichain</w:t>
      </w:r>
      <w:proofErr w:type="spellEnd"/>
      <w:r>
        <w:t xml:space="preserve"> contracts).</w:t>
      </w:r>
    </w:p>
    <w:p w14:paraId="01B80985" w14:textId="77777777" w:rsidR="00F226CB" w:rsidRDefault="00F226CB" w:rsidP="00F226CB"/>
    <w:p w14:paraId="0C51E05A" w14:textId="77777777" w:rsidR="00F226CB" w:rsidRDefault="00F226CB" w:rsidP="00F226CB">
      <w:r>
        <w:t>2. Constraints in Implementation</w:t>
      </w:r>
    </w:p>
    <w:p w14:paraId="3C18968B" w14:textId="77777777" w:rsidR="00F226CB" w:rsidRDefault="00F226CB" w:rsidP="00F226CB"/>
    <w:p w14:paraId="165425A9" w14:textId="77777777" w:rsidR="00F226CB" w:rsidRDefault="00F226CB" w:rsidP="00F226CB">
      <w:r>
        <w:t xml:space="preserve">    Complexity: Cross-chain protocols require coordination between heterogeneous systems (e.g., differing VMs, consensus mechanisms).</w:t>
      </w:r>
    </w:p>
    <w:p w14:paraId="3535806A" w14:textId="77777777" w:rsidR="00F226CB" w:rsidRDefault="00F226CB" w:rsidP="00F226CB"/>
    <w:p w14:paraId="608C28F0" w14:textId="77777777" w:rsidR="00F226CB" w:rsidRDefault="00F226CB" w:rsidP="00F226CB">
      <w:r>
        <w:t xml:space="preserve">    Latency: Finality times vary (e.g., Ethereum’s ~15 minutes vs. Solana’s sub-second), complicating synchronization.</w:t>
      </w:r>
    </w:p>
    <w:p w14:paraId="7C0B757F" w14:textId="77777777" w:rsidR="00F226CB" w:rsidRDefault="00F226CB" w:rsidP="00F226CB"/>
    <w:p w14:paraId="75C8EF9E" w14:textId="5EA78212" w:rsidR="00F226CB" w:rsidRDefault="00F226CB" w:rsidP="00F226CB">
      <w:r>
        <w:lastRenderedPageBreak/>
        <w:t xml:space="preserve">    Regulatory Compliance: Legal recognition of cross-chain asset transfers (e.g., </w:t>
      </w:r>
      <w:proofErr w:type="spellStart"/>
      <w:r>
        <w:t>MiCA</w:t>
      </w:r>
      <w:proofErr w:type="spellEnd"/>
      <w:r>
        <w:t xml:space="preserve"> in the EU).</w:t>
      </w:r>
    </w:p>
    <w:p w14:paraId="2EAC1AFE" w14:textId="77777777" w:rsidR="00752CF1" w:rsidRDefault="00752CF1" w:rsidP="00F226CB"/>
    <w:p w14:paraId="2414C7ED" w14:textId="7364A40C" w:rsidR="00752CF1" w:rsidRDefault="00752CF1" w:rsidP="00F226CB">
      <w:r>
        <w:t>ERC3643</w:t>
      </w:r>
    </w:p>
    <w:p w14:paraId="4C2E5742" w14:textId="77777777" w:rsidR="00B30851" w:rsidRDefault="00B30851" w:rsidP="00F226CB"/>
    <w:p w14:paraId="40CF8A78" w14:textId="795D87F7" w:rsidR="00B30851" w:rsidRDefault="00B30851" w:rsidP="00F226CB">
      <w:r>
        <w:t>Design space for interchange schemes</w:t>
      </w:r>
    </w:p>
    <w:p w14:paraId="77C285C2" w14:textId="77777777" w:rsidR="00B30851" w:rsidRDefault="00B30851" w:rsidP="00F226CB"/>
    <w:p w14:paraId="17C1B37B" w14:textId="11024540" w:rsidR="00B30851" w:rsidRDefault="00B30851" w:rsidP="00F226CB">
      <w:r>
        <w:t>Analytical or simulation of different system designs</w:t>
      </w:r>
    </w:p>
    <w:p w14:paraId="47049D11" w14:textId="77777777" w:rsidR="00B30851" w:rsidRDefault="00B30851" w:rsidP="00F226CB"/>
    <w:p w14:paraId="04FE8D64" w14:textId="334AA971" w:rsidR="00B30851" w:rsidRDefault="00B30851" w:rsidP="00F226CB">
      <w:r>
        <w:t>Contributing to knowledge: evaluating a system or design approach</w:t>
      </w:r>
    </w:p>
    <w:p w14:paraId="0C85101A" w14:textId="77777777" w:rsidR="002F520D" w:rsidRDefault="002F520D" w:rsidP="00F226CB"/>
    <w:p w14:paraId="7FFDBB9A" w14:textId="77777777" w:rsidR="002F520D" w:rsidRDefault="002F520D" w:rsidP="002F520D">
      <w:pPr>
        <w:pStyle w:val="NormalWeb"/>
      </w:pPr>
      <w:r>
        <w:t>Liquidity Issues for Token Interchange</w:t>
      </w:r>
    </w:p>
    <w:p w14:paraId="4413046C" w14:textId="77777777" w:rsidR="002F520D" w:rsidRPr="002F520D" w:rsidRDefault="002F520D" w:rsidP="002F520D">
      <w:pPr>
        <w:pStyle w:val="NormalWeb"/>
        <w:rPr>
          <w:color w:val="501549" w:themeColor="accent5" w:themeShade="80"/>
        </w:rPr>
      </w:pPr>
      <w:r w:rsidRPr="002F520D">
        <w:rPr>
          <w:color w:val="501549" w:themeColor="accent5" w:themeShade="80"/>
        </w:rPr>
        <w:t>The emerging digital token economy is based on a variety of tokenised assets such as tokenised forms of money (including CBDCs, tokenised bank deposits, and regulated stablecoins), quasi-money assets (including reward point non-cash payment facilities, and unregulated stablecoins), financial assets (including tokenised bonds or other financial products), and other tokenised assets (including tokenised tickets or collectibles). It is likely that there will be many forms tokenised money, even within a single currency denomination. It is economically critical for there to be an effective ability to interchange these tokenised forms of money with each other, and with money in conventional payments systems.</w:t>
      </w:r>
    </w:p>
    <w:p w14:paraId="289D7848" w14:textId="77777777" w:rsidR="002F520D" w:rsidRPr="002F520D" w:rsidRDefault="002F520D" w:rsidP="002F520D">
      <w:pPr>
        <w:pStyle w:val="NormalWeb"/>
        <w:rPr>
          <w:color w:val="501549" w:themeColor="accent5" w:themeShade="80"/>
        </w:rPr>
      </w:pPr>
      <w:r w:rsidRPr="002F520D">
        <w:rPr>
          <w:color w:val="501549" w:themeColor="accent5" w:themeShade="80"/>
        </w:rPr>
        <w:t xml:space="preserve">Australian Payments Plus (AP+) defines payment schemes that are the “rules and rails” for reliable, resilient, and regulated interoperation of key parties involved in payments and related services in the economy. Current schemes are critical national infrastructure, and include the New Payments Platform, </w:t>
      </w:r>
      <w:proofErr w:type="spellStart"/>
      <w:r w:rsidRPr="002F520D">
        <w:rPr>
          <w:color w:val="501549" w:themeColor="accent5" w:themeShade="80"/>
        </w:rPr>
        <w:t>eftpos</w:t>
      </w:r>
      <w:proofErr w:type="spellEnd"/>
      <w:r w:rsidRPr="002F520D">
        <w:rPr>
          <w:color w:val="501549" w:themeColor="accent5" w:themeShade="80"/>
        </w:rPr>
        <w:t xml:space="preserve">, and </w:t>
      </w:r>
      <w:proofErr w:type="spellStart"/>
      <w:r w:rsidRPr="002F520D">
        <w:rPr>
          <w:color w:val="501549" w:themeColor="accent5" w:themeShade="80"/>
        </w:rPr>
        <w:t>BPay</w:t>
      </w:r>
      <w:proofErr w:type="spellEnd"/>
      <w:r w:rsidRPr="002F520D">
        <w:rPr>
          <w:color w:val="501549" w:themeColor="accent5" w:themeShade="80"/>
        </w:rPr>
        <w:t>. Future schemes may be designed to support token interchange, and to flexibly support a potential range of economic services including issuance, redemption, trading and settlement.</w:t>
      </w:r>
    </w:p>
    <w:p w14:paraId="3C1C1BDA" w14:textId="77777777" w:rsidR="002F520D" w:rsidRPr="002F520D" w:rsidRDefault="002F520D" w:rsidP="002F520D">
      <w:pPr>
        <w:pStyle w:val="NormalWeb"/>
        <w:rPr>
          <w:color w:val="501549" w:themeColor="accent5" w:themeShade="80"/>
        </w:rPr>
      </w:pPr>
      <w:r w:rsidRPr="002F520D">
        <w:rPr>
          <w:color w:val="501549" w:themeColor="accent5" w:themeShade="80"/>
        </w:rPr>
        <w:t>Liquidity is critical for the smooth and reliable performance of transactions in financial systems. This research project will study how liquidity impacts token interchange, and how approaches for managing liquidity can be best defined in schemes for token interchange, to support resilient and safe economic activity. Effective liquidity is more challenging in a tokenised economy because it is needed on-demand within the context of individual atomic transactions, and because there can be greater liquidity fragmentation across multiple token platforms and existing financial market infrastructures.</w:t>
      </w:r>
    </w:p>
    <w:p w14:paraId="1D654ECB" w14:textId="77777777" w:rsidR="002F520D" w:rsidRPr="002F520D" w:rsidRDefault="002F520D" w:rsidP="002F520D">
      <w:pPr>
        <w:pStyle w:val="NormalWeb"/>
        <w:rPr>
          <w:color w:val="501549" w:themeColor="accent5" w:themeShade="80"/>
        </w:rPr>
      </w:pPr>
      <w:r w:rsidRPr="002F520D">
        <w:rPr>
          <w:color w:val="501549" w:themeColor="accent5" w:themeShade="80"/>
        </w:rPr>
        <w:t>The research will investigate design options for token interchange schemes, potential operational failure modes, and monitoring and management controls for the schemes. These will be evaluated through a combination of qualitative analyses and quantitative analytic and simulation-based methods. The evaluations will be carried out in the context of use cases sourced from AP+ participation in Project Acacia, and from future sandbox or innovation activities with AP+ and its member organisations.</w:t>
      </w:r>
    </w:p>
    <w:p w14:paraId="528C77FE" w14:textId="77777777" w:rsidR="002F520D" w:rsidRPr="002F520D" w:rsidRDefault="002F520D" w:rsidP="002F520D">
      <w:pPr>
        <w:pStyle w:val="NormalWeb"/>
        <w:rPr>
          <w:color w:val="501549" w:themeColor="accent5" w:themeShade="80"/>
        </w:rPr>
      </w:pPr>
      <w:r w:rsidRPr="002F520D">
        <w:rPr>
          <w:color w:val="501549" w:themeColor="accent5" w:themeShade="80"/>
        </w:rPr>
        <w:t>The research outcomes are intended to inform the future development of schemes for token interchange.</w:t>
      </w:r>
    </w:p>
    <w:p w14:paraId="66FD03D2" w14:textId="77777777" w:rsidR="002F520D" w:rsidRDefault="002F520D" w:rsidP="00F226CB"/>
    <w:sectPr w:rsidR="002F5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F0A5F"/>
    <w:multiLevelType w:val="hybridMultilevel"/>
    <w:tmpl w:val="6B0E8EF8"/>
    <w:lvl w:ilvl="0" w:tplc="516CFCD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6327E3"/>
    <w:multiLevelType w:val="hybridMultilevel"/>
    <w:tmpl w:val="DFA42C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2815938">
    <w:abstractNumId w:val="0"/>
  </w:num>
  <w:num w:numId="2" w16cid:durableId="1696347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FE"/>
    <w:rsid w:val="00013EC3"/>
    <w:rsid w:val="002F520D"/>
    <w:rsid w:val="002F72EA"/>
    <w:rsid w:val="00710DFE"/>
    <w:rsid w:val="00752CF1"/>
    <w:rsid w:val="00885BBD"/>
    <w:rsid w:val="00A91BD4"/>
    <w:rsid w:val="00B30851"/>
    <w:rsid w:val="00B30C6D"/>
    <w:rsid w:val="00D542E3"/>
    <w:rsid w:val="00F226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640D21C"/>
  <w15:chartTrackingRefBased/>
  <w15:docId w15:val="{83195633-FCE9-4C4D-BDF4-E670DC4D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D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D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D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D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DFE"/>
    <w:rPr>
      <w:rFonts w:eastAsiaTheme="majorEastAsia" w:cstheme="majorBidi"/>
      <w:color w:val="272727" w:themeColor="text1" w:themeTint="D8"/>
    </w:rPr>
  </w:style>
  <w:style w:type="paragraph" w:styleId="Title">
    <w:name w:val="Title"/>
    <w:basedOn w:val="Normal"/>
    <w:next w:val="Normal"/>
    <w:link w:val="TitleChar"/>
    <w:uiPriority w:val="10"/>
    <w:qFormat/>
    <w:rsid w:val="00710D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D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D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0DFE"/>
    <w:rPr>
      <w:i/>
      <w:iCs/>
      <w:color w:val="404040" w:themeColor="text1" w:themeTint="BF"/>
    </w:rPr>
  </w:style>
  <w:style w:type="paragraph" w:styleId="ListParagraph">
    <w:name w:val="List Paragraph"/>
    <w:basedOn w:val="Normal"/>
    <w:uiPriority w:val="34"/>
    <w:qFormat/>
    <w:rsid w:val="00710DFE"/>
    <w:pPr>
      <w:ind w:left="720"/>
      <w:contextualSpacing/>
    </w:pPr>
  </w:style>
  <w:style w:type="character" w:styleId="IntenseEmphasis">
    <w:name w:val="Intense Emphasis"/>
    <w:basedOn w:val="DefaultParagraphFont"/>
    <w:uiPriority w:val="21"/>
    <w:qFormat/>
    <w:rsid w:val="00710DFE"/>
    <w:rPr>
      <w:i/>
      <w:iCs/>
      <w:color w:val="0F4761" w:themeColor="accent1" w:themeShade="BF"/>
    </w:rPr>
  </w:style>
  <w:style w:type="paragraph" w:styleId="IntenseQuote">
    <w:name w:val="Intense Quote"/>
    <w:basedOn w:val="Normal"/>
    <w:next w:val="Normal"/>
    <w:link w:val="IntenseQuoteChar"/>
    <w:uiPriority w:val="30"/>
    <w:qFormat/>
    <w:rsid w:val="00710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DFE"/>
    <w:rPr>
      <w:i/>
      <w:iCs/>
      <w:color w:val="0F4761" w:themeColor="accent1" w:themeShade="BF"/>
    </w:rPr>
  </w:style>
  <w:style w:type="character" w:styleId="IntenseReference">
    <w:name w:val="Intense Reference"/>
    <w:basedOn w:val="DefaultParagraphFont"/>
    <w:uiPriority w:val="32"/>
    <w:qFormat/>
    <w:rsid w:val="00710DFE"/>
    <w:rPr>
      <w:b/>
      <w:bCs/>
      <w:smallCaps/>
      <w:color w:val="0F4761" w:themeColor="accent1" w:themeShade="BF"/>
      <w:spacing w:val="5"/>
    </w:rPr>
  </w:style>
  <w:style w:type="paragraph" w:styleId="NormalWeb">
    <w:name w:val="Normal (Web)"/>
    <w:basedOn w:val="Normal"/>
    <w:uiPriority w:val="99"/>
    <w:semiHidden/>
    <w:unhideWhenUsed/>
    <w:rsid w:val="002F520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8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Dai</dc:creator>
  <cp:keywords/>
  <dc:description/>
  <cp:lastModifiedBy>Catherine Dai</cp:lastModifiedBy>
  <cp:revision>1</cp:revision>
  <dcterms:created xsi:type="dcterms:W3CDTF">2025-04-15T00:27:00Z</dcterms:created>
  <dcterms:modified xsi:type="dcterms:W3CDTF">2025-04-22T10:08:00Z</dcterms:modified>
</cp:coreProperties>
</file>