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10724" w14:textId="77777777" w:rsidR="00151AC0" w:rsidRPr="00151AC0" w:rsidRDefault="00151AC0" w:rsidP="00151AC0">
      <w:pPr>
        <w:spacing w:before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51AC0">
        <w:rPr>
          <w:rFonts w:ascii="Arial" w:eastAsia="Times New Roman" w:hAnsi="Arial" w:cs="Arial"/>
          <w:color w:val="156082"/>
          <w:kern w:val="36"/>
          <w:sz w:val="28"/>
          <w:szCs w:val="28"/>
          <w:lang w:eastAsia="en-GB"/>
        </w:rPr>
        <w:t>Introduction</w:t>
      </w:r>
    </w:p>
    <w:p w14:paraId="3E8B9864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Australia Payments Plus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(AP+)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is the national payments and banking industry body that operates Australia’s domestic retail Payment Schemes.</w:t>
      </w:r>
      <w:r w:rsidRPr="00151AC0">
        <w:rPr>
          <w:rFonts w:ascii="Arial" w:eastAsia="Times New Roman" w:hAnsi="Arial" w:cs="Arial"/>
          <w:color w:val="000000"/>
          <w:sz w:val="22"/>
          <w:szCs w:val="22"/>
          <w:vertAlign w:val="superscript"/>
          <w:lang w:eastAsia="en-GB"/>
        </w:rPr>
        <w:t>[1]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The Reserve Bank of Australia (RBA) and Digital Finance Cooperative Research Centre (DFCRC) accepted</w:t>
      </w:r>
      <w:hyperlink r:id="rId5" w:history="1">
        <w:r w:rsidRPr="00151AC0">
          <w:rPr>
            <w:rFonts w:ascii="Arial" w:eastAsia="Times New Roman" w:hAnsi="Arial" w:cs="Arial"/>
            <w:color w:val="000000"/>
            <w:sz w:val="21"/>
            <w:szCs w:val="21"/>
            <w:u w:val="single"/>
            <w:lang w:eastAsia="en-GB"/>
          </w:rPr>
          <w:t xml:space="preserve"> three use cases</w:t>
        </w:r>
      </w:hyperlink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proposed by AP+ for the second phase of Project Acacia. These use cases were designed to highlight the elements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Future Payments Scheme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an industry-operated utility and multilateral governance framework that would integrate tokenised financial markets with the existing national settlement infrastructure.</w:t>
      </w:r>
    </w:p>
    <w:p w14:paraId="0C620388" w14:textId="77777777" w:rsidR="00151AC0" w:rsidRPr="00151AC0" w:rsidRDefault="00151AC0" w:rsidP="00151AC0">
      <w:pPr>
        <w:spacing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Each of three use cases accepted for Project Acacia explores a necessary component of a such a Scheme:  </w:t>
      </w:r>
    </w:p>
    <w:p w14:paraId="272E2BA9" w14:textId="77777777" w:rsidR="00151AC0" w:rsidRPr="00151AC0" w:rsidRDefault="00151AC0" w:rsidP="00151AC0">
      <w:pPr>
        <w:spacing w:before="24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1.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 xml:space="preserve">  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NPP Token Service: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 facility supporting direct value transfers between digital tokens on public ledgers and conventional Australian dollar deposit accounts (Coin-to-Account / Account-to-Coin) via the New Payments Platform (24/7 RTGS)</w:t>
      </w:r>
    </w:p>
    <w:p w14:paraId="314DAF2A" w14:textId="77777777" w:rsidR="00151AC0" w:rsidRPr="00151AC0" w:rsidRDefault="00151AC0" w:rsidP="00151AC0">
      <w:pPr>
        <w:spacing w:before="24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2.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 xml:space="preserve"> 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Token Interchange Service: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an on-chain (public distributed ledger) facility allowing multilateral atomic conversion between privately issued money tokens (including stablecoins and deposit tokens) using a common interchange token representing token issuers’ off-chain central bank money balances</w:t>
      </w:r>
    </w:p>
    <w:p w14:paraId="0C459DA7" w14:textId="77777777" w:rsidR="00151AC0" w:rsidRPr="00151AC0" w:rsidRDefault="00151AC0" w:rsidP="00151AC0">
      <w:pPr>
        <w:spacing w:before="240" w:after="18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E2841"/>
          <w:sz w:val="21"/>
          <w:szCs w:val="21"/>
          <w:lang w:eastAsia="en-GB"/>
        </w:rPr>
        <w:t>3.</w:t>
      </w:r>
      <w:r w:rsidRPr="00151AC0">
        <w:rPr>
          <w:rFonts w:ascii="Times New Roman" w:eastAsia="Times New Roman" w:hAnsi="Times New Roman" w:cs="Times New Roman"/>
          <w:color w:val="0E2841"/>
          <w:sz w:val="14"/>
          <w:szCs w:val="14"/>
          <w:lang w:eastAsia="en-GB"/>
        </w:rPr>
        <w:t xml:space="preserve"> </w:t>
      </w:r>
      <w:r w:rsidRPr="00151AC0">
        <w:rPr>
          <w:rFonts w:ascii="Times New Roman" w:eastAsia="Times New Roman" w:hAnsi="Times New Roman" w:cs="Times New Roman"/>
          <w:color w:val="0E2841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Settlement Coordinator Services: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services supporting on-chain marketplaces transacting in tokenised financial instruments, including identity, compliance, and Scheme administration.</w:t>
      </w:r>
    </w:p>
    <w:p w14:paraId="65BDB667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The Scheme would enforce fungibility of different </w:t>
      </w:r>
      <w:proofErr w:type="gram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privately-issued</w:t>
      </w:r>
      <w:proofErr w:type="gram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Australian currency tokens by requiring their exchange to be intermediated with a multilateral interchange token mirroring off-chain public money balances. This would address key concerns raised in the 2024</w:t>
      </w:r>
      <w:hyperlink r:id="rId6" w:history="1">
        <w:r w:rsidRPr="00151AC0">
          <w:rPr>
            <w:rFonts w:ascii="Arial" w:eastAsia="Times New Roman" w:hAnsi="Arial" w:cs="Arial"/>
            <w:color w:val="000000"/>
            <w:sz w:val="21"/>
            <w:szCs w:val="21"/>
            <w:u w:val="single"/>
            <w:lang w:eastAsia="en-GB"/>
          </w:rPr>
          <w:t xml:space="preserve"> </w:t>
        </w:r>
        <w:r w:rsidRPr="00151AC0">
          <w:rPr>
            <w:rFonts w:ascii="Arial" w:eastAsia="Times New Roman" w:hAnsi="Arial" w:cs="Arial"/>
            <w:color w:val="467886"/>
            <w:sz w:val="21"/>
            <w:szCs w:val="21"/>
            <w:u w:val="single"/>
            <w:lang w:eastAsia="en-GB"/>
          </w:rPr>
          <w:t>Project Acacia Consultation Report</w:t>
        </w:r>
      </w:hyperlink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currency singleness and distinction in the roles of public and private money.</w:t>
      </w:r>
    </w:p>
    <w:p w14:paraId="3A0B8A19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1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NPP Token Service – was conducted as a desktop study by AP+ in collaboration with the settlement service provider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 Cuscal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and the global payments messaging consortium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SWIFT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infrastructure vendor for the NPP.</w:t>
      </w:r>
    </w:p>
    <w:p w14:paraId="67BDC483" w14:textId="77777777" w:rsidR="00151AC0" w:rsidRPr="00151AC0" w:rsidRDefault="00151AC0" w:rsidP="00151AC0">
      <w:p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2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Token Interchange Service – involved a live pilot undertaken by AP+ in collaboration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AUDD Digital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Forte AUD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and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Macropod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(formerly Catena) as token-issuers, and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Cuscal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as both token-issuer and settlement agent for other token-issuers. The pilot demonstrated</w:t>
      </w:r>
    </w:p>
    <w:p w14:paraId="7628B0D9" w14:textId="75990D4E" w:rsidR="00151AC0" w:rsidRPr="00151AC0" w:rsidRDefault="00151AC0" w:rsidP="00151AC0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token interchange smart-contract facility for multilateral conversion between Australian dollar money tokens on the permissioned public ledger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Hedera</w:t>
      </w:r>
    </w:p>
    <w:p w14:paraId="12157E2E" w14:textId="50A420D4" w:rsidR="00151AC0" w:rsidRPr="00151AC0" w:rsidRDefault="00151AC0" w:rsidP="00151AC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minting and circulation of pilot wholesale Central Bank Digital Currency (</w:t>
      </w:r>
      <w:proofErr w:type="spell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wCBDC</w:t>
      </w:r>
      <w:proofErr w:type="spell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) on a separate permissioned private network (an instance of </w:t>
      </w:r>
      <w:proofErr w:type="spellStart"/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HashSphere</w:t>
      </w:r>
      <w:proofErr w:type="spell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)</w:t>
      </w:r>
    </w:p>
    <w:p w14:paraId="5D965C3D" w14:textId="22E928AE" w:rsidR="00151AC0" w:rsidRPr="00151AC0" w:rsidRDefault="00151AC0" w:rsidP="00151AC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synchroniser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allowing balances of the public network Token Interchange settlement asset to </w:t>
      </w:r>
      <w:r w:rsidRPr="00151AC0">
        <w:rPr>
          <w:rFonts w:ascii="Arial" w:eastAsia="Times New Roman" w:hAnsi="Arial" w:cs="Arial"/>
          <w:i/>
          <w:iCs/>
          <w:color w:val="000000"/>
          <w:sz w:val="21"/>
          <w:szCs w:val="21"/>
          <w:lang w:eastAsia="en-GB"/>
        </w:rPr>
        <w:t xml:space="preserve">mirror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balances of private network </w:t>
      </w:r>
      <w:proofErr w:type="spell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wCBDC</w:t>
      </w:r>
      <w:proofErr w:type="spellEnd"/>
    </w:p>
    <w:p w14:paraId="6C5D6C78" w14:textId="3AD996B3" w:rsidR="00151AC0" w:rsidRPr="00151AC0" w:rsidRDefault="00151AC0" w:rsidP="00151AC0">
      <w:pPr>
        <w:pStyle w:val="ListParagraph"/>
        <w:numPr>
          <w:ilvl w:val="0"/>
          <w:numId w:val="1"/>
        </w:num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cross-chain bridge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between Hedera and the permissionless public Ethereum network.</w:t>
      </w:r>
    </w:p>
    <w:p w14:paraId="57172F67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Settlement Coordinator Service – was intended to define a range of supporting services and Scheme rules relating to NPP-token integration and token interchange – including digital identity, KYC/KYB, Proof of Reserves, and key management for participants in tokenised financial markets. The proof of concept was originally to involve AP+ as Lead Entity in collaboration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Imperium Markets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as operator of a tokenised money market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.</w:t>
      </w:r>
    </w:p>
    <w:p w14:paraId="2F826D58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As another Project Acacia Lead Entity, Imperium Markets is pursuing its own use cases relating to the issuance and trading of tokenised wholesale money market instruments. As a result of their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lastRenderedPageBreak/>
        <w:t xml:space="preserve">participation in the AP+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Imperium Markets made the decision to adopt Hedera as the token ledger for a use case exploring the tokenised term deposits, negotiable certificates of deposit, and annuities. In October the Reserve Bank merged this use case with AP+ Use Case 3, making Imperium Markets Lead Entity. As the technical solution was developed for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, the pilot retains a focus on generic “Real World Asset” (RWA) tokenisation and Settlement Coordinator services, rather than the tokenisation of specific money market instruments.</w:t>
      </w:r>
    </w:p>
    <w:p w14:paraId="445E1552" w14:textId="39A9842A" w:rsidR="002F72EA" w:rsidRDefault="00151AC0" w:rsidP="00151AC0"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This document will address questions outlined in the RBA-DFCRC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Research Information Guidelines for Lead Entities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with reference to all three use cases and to the general proposal for an Australian industry-operated Future Payments Scheme.</w:t>
      </w:r>
    </w:p>
    <w:sectPr w:rsidR="002F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40A23"/>
    <w:multiLevelType w:val="hybridMultilevel"/>
    <w:tmpl w:val="4240E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6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C0"/>
    <w:rsid w:val="00013EC3"/>
    <w:rsid w:val="00151AC0"/>
    <w:rsid w:val="002F72EA"/>
    <w:rsid w:val="00885BBD"/>
    <w:rsid w:val="00A91BD4"/>
    <w:rsid w:val="00E0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68D64"/>
  <w15:chartTrackingRefBased/>
  <w15:docId w15:val="{816402B0-3026-DF40-98CB-57BAD2A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A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51AC0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151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ba.gov.au/payments-and-infrastructure/central-bank-digital-currency/pdf/project-acacia-consultation-paper-2024-11.pdf" TargetMode="External"/><Relationship Id="rId5" Type="http://schemas.openxmlformats.org/officeDocument/2006/relationships/hyperlink" Target="https://dfcrc.com.au/wp-content/uploads/2025/08/Project-Acacia-summary-of-use-case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Kelly</dc:creator>
  <cp:keywords/>
  <dc:description/>
  <cp:lastModifiedBy>Gerard Kelly</cp:lastModifiedBy>
  <cp:revision>1</cp:revision>
  <dcterms:created xsi:type="dcterms:W3CDTF">2025-11-19T01:17:00Z</dcterms:created>
  <dcterms:modified xsi:type="dcterms:W3CDTF">2025-11-19T01:18:00Z</dcterms:modified>
</cp:coreProperties>
</file>