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E6ECD" w14:textId="16F47D0C" w:rsidR="005A7432" w:rsidRPr="00147D0A" w:rsidRDefault="008E45DE" w:rsidP="008E45DE">
      <w:pPr>
        <w:pStyle w:val="Title"/>
        <w:rPr>
          <w:rFonts w:ascii="Arial Hebrew" w:hAnsi="Arial Hebrew" w:cs="Arial Hebrew"/>
          <w:b/>
          <w:bCs/>
          <w:sz w:val="36"/>
          <w:szCs w:val="36"/>
        </w:rPr>
      </w:pPr>
      <w:bookmarkStart w:id="0" w:name="OLE_LINK3"/>
      <w:bookmarkStart w:id="1" w:name="OLE_LINK4"/>
      <w:bookmarkStart w:id="2" w:name="OLE_LINK5"/>
      <w:bookmarkStart w:id="3" w:name="OLE_LINK6"/>
      <w:r w:rsidRPr="00147D0A">
        <w:rPr>
          <w:rFonts w:ascii="Arial Hebrew" w:hAnsi="Arial Hebrew" w:cs="Arial Hebrew" w:hint="cs"/>
          <w:b/>
          <w:bCs/>
          <w:sz w:val="36"/>
          <w:szCs w:val="36"/>
        </w:rPr>
        <w:t>A Global Trust Index</w:t>
      </w:r>
      <w:r w:rsidRPr="00147D0A">
        <w:rPr>
          <w:rFonts w:ascii="Arial Hebrew" w:hAnsi="Arial Hebrew" w:cs="Arial Hebrew" w:hint="cs"/>
          <w:b/>
          <w:bCs/>
          <w:i/>
          <w:iCs/>
          <w:sz w:val="36"/>
          <w:szCs w:val="36"/>
        </w:rPr>
        <w:t xml:space="preserve"> </w:t>
      </w:r>
      <w:r w:rsidRPr="00147D0A">
        <w:rPr>
          <w:rFonts w:ascii="Arial Hebrew" w:hAnsi="Arial Hebrew" w:cs="Arial Hebrew" w:hint="cs"/>
          <w:b/>
          <w:bCs/>
          <w:sz w:val="36"/>
          <w:szCs w:val="36"/>
        </w:rPr>
        <w:t>for Sovereign &amp; Sub-Sovereign Assessments</w:t>
      </w:r>
    </w:p>
    <w:p w14:paraId="2024F53E" w14:textId="77777777" w:rsidR="00147D0A" w:rsidRPr="00147D0A" w:rsidRDefault="008E45DE" w:rsidP="00341FA9">
      <w:pPr>
        <w:jc w:val="both"/>
        <w:rPr>
          <w:rFonts w:ascii="Arial Hebrew" w:hAnsi="Arial Hebrew" w:cs="Arial Hebrew"/>
          <w:sz w:val="21"/>
          <w:szCs w:val="21"/>
        </w:rPr>
      </w:pPr>
      <w:r w:rsidRPr="00147D0A">
        <w:rPr>
          <w:rFonts w:ascii="Arial Hebrew" w:hAnsi="Arial Hebrew" w:cs="Arial Hebrew" w:hint="cs"/>
          <w:sz w:val="21"/>
          <w:szCs w:val="21"/>
        </w:rPr>
        <w:t>Trustworthy Digital Society Hub</w:t>
      </w:r>
      <w:r w:rsidR="00147D0A" w:rsidRPr="00147D0A">
        <w:rPr>
          <w:rFonts w:ascii="Arial Hebrew" w:hAnsi="Arial Hebrew" w:cs="Arial Hebrew" w:hint="cs"/>
          <w:sz w:val="21"/>
          <w:szCs w:val="21"/>
        </w:rPr>
        <w:t xml:space="preserve"> </w:t>
      </w:r>
    </w:p>
    <w:p w14:paraId="72097A38" w14:textId="4467A159" w:rsidR="008E45DE" w:rsidRPr="00147D0A" w:rsidRDefault="00147D0A" w:rsidP="00341FA9">
      <w:pPr>
        <w:jc w:val="both"/>
        <w:rPr>
          <w:rFonts w:ascii="Arial Hebrew" w:hAnsi="Arial Hebrew" w:cs="Arial Hebrew"/>
          <w:sz w:val="21"/>
          <w:szCs w:val="21"/>
        </w:rPr>
      </w:pPr>
      <w:r w:rsidRPr="00147D0A">
        <w:rPr>
          <w:rFonts w:ascii="Arial Hebrew" w:hAnsi="Arial Hebrew" w:cs="Arial Hebrew" w:hint="cs"/>
          <w:sz w:val="21"/>
          <w:szCs w:val="21"/>
        </w:rPr>
        <w:t>June 2025</w:t>
      </w:r>
    </w:p>
    <w:p w14:paraId="0FB82AC3" w14:textId="77777777" w:rsidR="008E45DE" w:rsidRPr="00147D0A" w:rsidRDefault="008E45DE" w:rsidP="00341FA9">
      <w:pPr>
        <w:jc w:val="both"/>
        <w:rPr>
          <w:rFonts w:ascii="Arial Hebrew" w:hAnsi="Arial Hebrew" w:cs="Arial Hebrew"/>
          <w:sz w:val="21"/>
          <w:szCs w:val="21"/>
        </w:rPr>
      </w:pPr>
    </w:p>
    <w:p w14:paraId="254E85DD" w14:textId="77777777" w:rsidR="008E45DE" w:rsidRPr="00147D0A" w:rsidRDefault="008E45DE" w:rsidP="008E45DE">
      <w:pPr>
        <w:pStyle w:val="Heading1"/>
        <w:rPr>
          <w:rFonts w:ascii="Arial Hebrew" w:hAnsi="Arial Hebrew" w:cs="Arial Hebrew"/>
          <w:sz w:val="26"/>
          <w:szCs w:val="26"/>
        </w:rPr>
      </w:pPr>
      <w:bookmarkStart w:id="4" w:name="_Toc199450885"/>
    </w:p>
    <w:p w14:paraId="76433219" w14:textId="3DC40DB4" w:rsidR="008E45DE" w:rsidRPr="00147D0A" w:rsidRDefault="00EE4CA8" w:rsidP="008E45DE">
      <w:pPr>
        <w:pStyle w:val="Heading1"/>
        <w:rPr>
          <w:rFonts w:ascii="Arial Hebrew" w:hAnsi="Arial Hebrew" w:cs="Arial Hebrew"/>
          <w:sz w:val="26"/>
          <w:szCs w:val="26"/>
        </w:rPr>
      </w:pPr>
      <w:r w:rsidRPr="00147D0A">
        <w:rPr>
          <w:rFonts w:ascii="Arial Hebrew" w:hAnsi="Arial Hebrew" w:cs="Arial Hebrew" w:hint="cs"/>
          <w:sz w:val="26"/>
          <w:szCs w:val="26"/>
        </w:rPr>
        <w:t>I</w:t>
      </w:r>
      <w:r w:rsidR="00880BA6" w:rsidRPr="00147D0A">
        <w:rPr>
          <w:rFonts w:ascii="Arial Hebrew" w:hAnsi="Arial Hebrew" w:cs="Arial Hebrew" w:hint="cs"/>
          <w:sz w:val="26"/>
          <w:szCs w:val="26"/>
        </w:rPr>
        <w:t>ntroduction</w:t>
      </w:r>
      <w:bookmarkEnd w:id="4"/>
    </w:p>
    <w:p w14:paraId="5F6ADFF5" w14:textId="1019CD30" w:rsidR="00FE619E" w:rsidRPr="00147D0A" w:rsidRDefault="004751F6" w:rsidP="000E2CEE">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The g</w:t>
      </w:r>
      <w:r w:rsidR="007122A1" w:rsidRPr="00147D0A">
        <w:rPr>
          <w:rFonts w:ascii="Arial Hebrew" w:hAnsi="Arial Hebrew" w:cs="Arial Hebrew" w:hint="cs"/>
          <w:sz w:val="20"/>
          <w:szCs w:val="20"/>
        </w:rPr>
        <w:t xml:space="preserve">overning institutions of a country, region, or municipality express their effectiveness through the </w:t>
      </w:r>
      <w:r w:rsidR="00880BA6" w:rsidRPr="00147D0A">
        <w:rPr>
          <w:rFonts w:ascii="Arial Hebrew" w:hAnsi="Arial Hebrew" w:cs="Arial Hebrew" w:hint="cs"/>
          <w:sz w:val="20"/>
          <w:szCs w:val="20"/>
        </w:rPr>
        <w:t>quality of</w:t>
      </w:r>
      <w:r w:rsidR="007122A1" w:rsidRPr="00147D0A">
        <w:rPr>
          <w:rFonts w:ascii="Arial Hebrew" w:hAnsi="Arial Hebrew" w:cs="Arial Hebrew" w:hint="cs"/>
          <w:sz w:val="20"/>
          <w:szCs w:val="20"/>
        </w:rPr>
        <w:t xml:space="preserve"> </w:t>
      </w:r>
      <w:r w:rsidR="00880BA6" w:rsidRPr="00147D0A">
        <w:rPr>
          <w:rFonts w:ascii="Arial Hebrew" w:hAnsi="Arial Hebrew" w:cs="Arial Hebrew" w:hint="cs"/>
          <w:sz w:val="20"/>
          <w:szCs w:val="20"/>
        </w:rPr>
        <w:t>public services</w:t>
      </w:r>
      <w:r w:rsidR="007122A1" w:rsidRPr="00147D0A">
        <w:rPr>
          <w:rFonts w:ascii="Arial Hebrew" w:hAnsi="Arial Hebrew" w:cs="Arial Hebrew" w:hint="cs"/>
          <w:sz w:val="20"/>
          <w:szCs w:val="20"/>
        </w:rPr>
        <w:t xml:space="preserve"> that they deliver. </w:t>
      </w:r>
      <w:r w:rsidR="00BE6212" w:rsidRPr="00147D0A">
        <w:rPr>
          <w:rFonts w:ascii="Arial Hebrew" w:hAnsi="Arial Hebrew" w:cs="Arial Hebrew" w:hint="cs"/>
          <w:sz w:val="20"/>
          <w:szCs w:val="20"/>
        </w:rPr>
        <w:t>I</w:t>
      </w:r>
      <w:r w:rsidR="007122A1" w:rsidRPr="00147D0A">
        <w:rPr>
          <w:rFonts w:ascii="Arial Hebrew" w:hAnsi="Arial Hebrew" w:cs="Arial Hebrew" w:hint="cs"/>
          <w:sz w:val="20"/>
          <w:szCs w:val="20"/>
        </w:rPr>
        <w:t>nstitutions</w:t>
      </w:r>
      <w:r w:rsidR="004E3851" w:rsidRPr="00147D0A">
        <w:rPr>
          <w:rFonts w:ascii="Arial Hebrew" w:hAnsi="Arial Hebrew" w:cs="Arial Hebrew" w:hint="cs"/>
          <w:sz w:val="20"/>
          <w:szCs w:val="20"/>
        </w:rPr>
        <w:t xml:space="preserve"> translate</w:t>
      </w:r>
      <w:r w:rsidR="00B51C9F" w:rsidRPr="00147D0A">
        <w:rPr>
          <w:rFonts w:ascii="Arial Hebrew" w:hAnsi="Arial Hebrew" w:cs="Arial Hebrew" w:hint="cs"/>
          <w:sz w:val="20"/>
          <w:szCs w:val="20"/>
        </w:rPr>
        <w:t xml:space="preserve"> </w:t>
      </w:r>
      <w:r w:rsidR="004E3851" w:rsidRPr="00147D0A">
        <w:rPr>
          <w:rFonts w:ascii="Arial Hebrew" w:hAnsi="Arial Hebrew" w:cs="Arial Hebrew" w:hint="cs"/>
          <w:sz w:val="20"/>
          <w:szCs w:val="20"/>
        </w:rPr>
        <w:t>policy into practice</w:t>
      </w:r>
      <w:r w:rsidR="00BE6212" w:rsidRPr="00147D0A">
        <w:rPr>
          <w:rFonts w:ascii="Arial Hebrew" w:hAnsi="Arial Hebrew" w:cs="Arial Hebrew" w:hint="cs"/>
          <w:sz w:val="20"/>
          <w:szCs w:val="20"/>
        </w:rPr>
        <w:t xml:space="preserve"> through</w:t>
      </w:r>
      <w:r w:rsidR="004E3851"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plan</w:t>
      </w:r>
      <w:r w:rsidR="004A5906" w:rsidRPr="00147D0A">
        <w:rPr>
          <w:rFonts w:ascii="Arial Hebrew" w:hAnsi="Arial Hebrew" w:cs="Arial Hebrew" w:hint="cs"/>
          <w:sz w:val="20"/>
          <w:szCs w:val="20"/>
        </w:rPr>
        <w:t>ning</w:t>
      </w:r>
      <w:r w:rsidR="007122A1" w:rsidRPr="00147D0A">
        <w:rPr>
          <w:rFonts w:ascii="Arial Hebrew" w:hAnsi="Arial Hebrew" w:cs="Arial Hebrew" w:hint="cs"/>
          <w:sz w:val="20"/>
          <w:szCs w:val="20"/>
        </w:rPr>
        <w:t>, fund</w:t>
      </w:r>
      <w:r w:rsidR="004A5906" w:rsidRPr="00147D0A">
        <w:rPr>
          <w:rFonts w:ascii="Arial Hebrew" w:hAnsi="Arial Hebrew" w:cs="Arial Hebrew" w:hint="cs"/>
          <w:sz w:val="20"/>
          <w:szCs w:val="20"/>
        </w:rPr>
        <w:t>ing</w:t>
      </w:r>
      <w:r w:rsidR="007122A1" w:rsidRPr="00147D0A">
        <w:rPr>
          <w:rFonts w:ascii="Arial Hebrew" w:hAnsi="Arial Hebrew" w:cs="Arial Hebrew" w:hint="cs"/>
          <w:sz w:val="20"/>
          <w:szCs w:val="20"/>
        </w:rPr>
        <w:t>, implement</w:t>
      </w:r>
      <w:r w:rsidR="004A5906" w:rsidRPr="00147D0A">
        <w:rPr>
          <w:rFonts w:ascii="Arial Hebrew" w:hAnsi="Arial Hebrew" w:cs="Arial Hebrew" w:hint="cs"/>
          <w:sz w:val="20"/>
          <w:szCs w:val="20"/>
        </w:rPr>
        <w:t>ing</w:t>
      </w:r>
      <w:r w:rsidR="007122A1" w:rsidRPr="00147D0A">
        <w:rPr>
          <w:rFonts w:ascii="Arial Hebrew" w:hAnsi="Arial Hebrew" w:cs="Arial Hebrew" w:hint="cs"/>
          <w:sz w:val="20"/>
          <w:szCs w:val="20"/>
        </w:rPr>
        <w:t>, and maintain</w:t>
      </w:r>
      <w:r w:rsidR="004A5906" w:rsidRPr="00147D0A">
        <w:rPr>
          <w:rFonts w:ascii="Arial Hebrew" w:hAnsi="Arial Hebrew" w:cs="Arial Hebrew" w:hint="cs"/>
          <w:sz w:val="20"/>
          <w:szCs w:val="20"/>
        </w:rPr>
        <w:t>ing</w:t>
      </w:r>
      <w:r w:rsidR="007122A1" w:rsidRPr="00147D0A">
        <w:rPr>
          <w:rFonts w:ascii="Arial Hebrew" w:hAnsi="Arial Hebrew" w:cs="Arial Hebrew" w:hint="cs"/>
          <w:sz w:val="20"/>
          <w:szCs w:val="20"/>
        </w:rPr>
        <w:t xml:space="preserve"> </w:t>
      </w:r>
      <w:r w:rsidR="00BE6212" w:rsidRPr="00147D0A">
        <w:rPr>
          <w:rFonts w:ascii="Arial Hebrew" w:hAnsi="Arial Hebrew" w:cs="Arial Hebrew" w:hint="cs"/>
          <w:sz w:val="20"/>
          <w:szCs w:val="20"/>
        </w:rPr>
        <w:t>service operations</w:t>
      </w:r>
      <w:r w:rsidR="00AC220B" w:rsidRPr="00147D0A">
        <w:rPr>
          <w:rFonts w:ascii="Arial Hebrew" w:hAnsi="Arial Hebrew" w:cs="Arial Hebrew" w:hint="cs"/>
          <w:sz w:val="20"/>
          <w:szCs w:val="20"/>
        </w:rPr>
        <w:t xml:space="preserve"> </w:t>
      </w:r>
      <w:r w:rsidR="007B100B" w:rsidRPr="00147D0A">
        <w:rPr>
          <w:rFonts w:ascii="Arial Hebrew" w:hAnsi="Arial Hebrew" w:cs="Arial Hebrew" w:hint="cs"/>
          <w:sz w:val="20"/>
          <w:szCs w:val="20"/>
        </w:rPr>
        <w:t>that fulfil</w:t>
      </w:r>
      <w:r w:rsidR="00907C72" w:rsidRPr="00147D0A">
        <w:rPr>
          <w:rFonts w:ascii="Arial Hebrew" w:hAnsi="Arial Hebrew" w:cs="Arial Hebrew" w:hint="cs"/>
          <w:sz w:val="20"/>
          <w:szCs w:val="20"/>
        </w:rPr>
        <w:t xml:space="preserve"> </w:t>
      </w:r>
      <w:r w:rsidR="00BE6212" w:rsidRPr="00147D0A">
        <w:rPr>
          <w:rFonts w:ascii="Arial Hebrew" w:hAnsi="Arial Hebrew" w:cs="Arial Hebrew" w:hint="cs"/>
          <w:sz w:val="20"/>
          <w:szCs w:val="20"/>
        </w:rPr>
        <w:t>complex</w:t>
      </w:r>
      <w:r w:rsidR="007122A1" w:rsidRPr="00147D0A">
        <w:rPr>
          <w:rFonts w:ascii="Arial Hebrew" w:hAnsi="Arial Hebrew" w:cs="Arial Hebrew" w:hint="cs"/>
          <w:sz w:val="20"/>
          <w:szCs w:val="20"/>
        </w:rPr>
        <w:t xml:space="preserve"> social and economic </w:t>
      </w:r>
      <w:r w:rsidR="0002137D" w:rsidRPr="00147D0A">
        <w:rPr>
          <w:rFonts w:ascii="Arial Hebrew" w:hAnsi="Arial Hebrew" w:cs="Arial Hebrew" w:hint="cs"/>
          <w:sz w:val="20"/>
          <w:szCs w:val="20"/>
        </w:rPr>
        <w:t>need</w:t>
      </w:r>
      <w:r w:rsidR="004E3851" w:rsidRPr="00147D0A">
        <w:rPr>
          <w:rFonts w:ascii="Arial Hebrew" w:hAnsi="Arial Hebrew" w:cs="Arial Hebrew" w:hint="cs"/>
          <w:sz w:val="20"/>
          <w:szCs w:val="20"/>
        </w:rPr>
        <w:t>s</w:t>
      </w:r>
      <w:r w:rsidR="007122A1" w:rsidRPr="00147D0A">
        <w:rPr>
          <w:rFonts w:ascii="Arial Hebrew" w:hAnsi="Arial Hebrew" w:cs="Arial Hebrew" w:hint="cs"/>
          <w:sz w:val="20"/>
          <w:szCs w:val="20"/>
        </w:rPr>
        <w:t xml:space="preserve">. </w:t>
      </w:r>
      <w:r w:rsidR="00BE6212" w:rsidRPr="00147D0A">
        <w:rPr>
          <w:rFonts w:ascii="Arial Hebrew" w:hAnsi="Arial Hebrew" w:cs="Arial Hebrew" w:hint="cs"/>
          <w:sz w:val="20"/>
          <w:szCs w:val="20"/>
        </w:rPr>
        <w:t>S</w:t>
      </w:r>
      <w:r w:rsidR="007122A1" w:rsidRPr="00147D0A">
        <w:rPr>
          <w:rFonts w:ascii="Arial Hebrew" w:hAnsi="Arial Hebrew" w:cs="Arial Hebrew" w:hint="cs"/>
          <w:sz w:val="20"/>
          <w:szCs w:val="20"/>
        </w:rPr>
        <w:t>tandards of public services enjoyed by different populations reflect the competence, reliability, adaptability, innovation, and accountability of the</w:t>
      </w:r>
      <w:r w:rsidR="0043249D" w:rsidRPr="00147D0A">
        <w:rPr>
          <w:rFonts w:ascii="Arial Hebrew" w:hAnsi="Arial Hebrew" w:cs="Arial Hebrew" w:hint="cs"/>
          <w:sz w:val="20"/>
          <w:szCs w:val="20"/>
        </w:rPr>
        <w:t>ir respective</w:t>
      </w:r>
      <w:r w:rsidR="007122A1" w:rsidRPr="00147D0A">
        <w:rPr>
          <w:rFonts w:ascii="Arial Hebrew" w:hAnsi="Arial Hebrew" w:cs="Arial Hebrew" w:hint="cs"/>
          <w:sz w:val="20"/>
          <w:szCs w:val="20"/>
        </w:rPr>
        <w:t xml:space="preserve"> governments. </w:t>
      </w:r>
      <w:r w:rsidR="008E7FA5" w:rsidRPr="00147D0A">
        <w:rPr>
          <w:rFonts w:ascii="Arial Hebrew" w:hAnsi="Arial Hebrew" w:cs="Arial Hebrew" w:hint="cs"/>
          <w:sz w:val="20"/>
          <w:szCs w:val="20"/>
        </w:rPr>
        <w:t xml:space="preserve">The </w:t>
      </w:r>
      <w:r w:rsidR="00907C72" w:rsidRPr="00147D0A">
        <w:rPr>
          <w:rFonts w:ascii="Arial Hebrew" w:hAnsi="Arial Hebrew" w:cs="Arial Hebrew" w:hint="cs"/>
          <w:sz w:val="20"/>
          <w:szCs w:val="20"/>
        </w:rPr>
        <w:t>capacity</w:t>
      </w:r>
      <w:r w:rsidR="008E7FA5" w:rsidRPr="00147D0A">
        <w:rPr>
          <w:rFonts w:ascii="Arial Hebrew" w:hAnsi="Arial Hebrew" w:cs="Arial Hebrew" w:hint="cs"/>
          <w:sz w:val="20"/>
          <w:szCs w:val="20"/>
        </w:rPr>
        <w:t xml:space="preserve"> of governments</w:t>
      </w:r>
      <w:r w:rsidR="00907C72"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to deliver</w:t>
      </w:r>
      <w:r w:rsidR="008E7FA5" w:rsidRPr="00147D0A">
        <w:rPr>
          <w:rFonts w:ascii="Arial Hebrew" w:hAnsi="Arial Hebrew" w:cs="Arial Hebrew" w:hint="cs"/>
          <w:sz w:val="20"/>
          <w:szCs w:val="20"/>
        </w:rPr>
        <w:t xml:space="preserve"> necessary</w:t>
      </w:r>
      <w:r w:rsidR="007122A1" w:rsidRPr="00147D0A">
        <w:rPr>
          <w:rFonts w:ascii="Arial Hebrew" w:hAnsi="Arial Hebrew" w:cs="Arial Hebrew" w:hint="cs"/>
          <w:sz w:val="20"/>
          <w:szCs w:val="20"/>
        </w:rPr>
        <w:t xml:space="preserve"> services</w:t>
      </w:r>
      <w:r w:rsidR="00907C72" w:rsidRPr="00147D0A">
        <w:rPr>
          <w:rFonts w:ascii="Arial Hebrew" w:hAnsi="Arial Hebrew" w:cs="Arial Hebrew" w:hint="cs"/>
          <w:sz w:val="20"/>
          <w:szCs w:val="20"/>
        </w:rPr>
        <w:t xml:space="preserve"> to individuals</w:t>
      </w:r>
      <w:r w:rsidR="007122A1" w:rsidRPr="00147D0A">
        <w:rPr>
          <w:rFonts w:ascii="Arial Hebrew" w:hAnsi="Arial Hebrew" w:cs="Arial Hebrew" w:hint="cs"/>
          <w:sz w:val="20"/>
          <w:szCs w:val="20"/>
        </w:rPr>
        <w:t xml:space="preserve"> </w:t>
      </w:r>
      <w:r w:rsidR="00EB21B0" w:rsidRPr="00147D0A">
        <w:rPr>
          <w:rFonts w:ascii="Arial Hebrew" w:hAnsi="Arial Hebrew" w:cs="Arial Hebrew" w:hint="cs"/>
          <w:sz w:val="20"/>
          <w:szCs w:val="20"/>
        </w:rPr>
        <w:t>–</w:t>
      </w:r>
      <w:r w:rsidR="007122A1" w:rsidRPr="00147D0A">
        <w:rPr>
          <w:rFonts w:ascii="Arial Hebrew" w:hAnsi="Arial Hebrew" w:cs="Arial Hebrew" w:hint="cs"/>
          <w:sz w:val="20"/>
          <w:szCs w:val="20"/>
        </w:rPr>
        <w:t xml:space="preserve"> </w:t>
      </w:r>
      <w:r w:rsidR="00A90C71" w:rsidRPr="00147D0A">
        <w:rPr>
          <w:rFonts w:ascii="Arial Hebrew" w:hAnsi="Arial Hebrew" w:cs="Arial Hebrew" w:hint="cs"/>
          <w:sz w:val="20"/>
          <w:szCs w:val="20"/>
        </w:rPr>
        <w:t xml:space="preserve">both </w:t>
      </w:r>
      <w:r w:rsidR="00FE5A2B" w:rsidRPr="00147D0A">
        <w:rPr>
          <w:rFonts w:ascii="Arial Hebrew" w:hAnsi="Arial Hebrew" w:cs="Arial Hebrew" w:hint="cs"/>
          <w:sz w:val="20"/>
          <w:szCs w:val="20"/>
        </w:rPr>
        <w:t>on a general basis</w:t>
      </w:r>
      <w:r w:rsidR="003C399F"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and during</w:t>
      </w:r>
      <w:r w:rsidR="0043249D" w:rsidRPr="00147D0A">
        <w:rPr>
          <w:rFonts w:ascii="Arial Hebrew" w:hAnsi="Arial Hebrew" w:cs="Arial Hebrew" w:hint="cs"/>
          <w:sz w:val="20"/>
          <w:szCs w:val="20"/>
        </w:rPr>
        <w:t xml:space="preserve"> </w:t>
      </w:r>
      <w:r w:rsidR="00341FA9" w:rsidRPr="00147D0A">
        <w:rPr>
          <w:rFonts w:ascii="Arial Hebrew" w:hAnsi="Arial Hebrew" w:cs="Arial Hebrew" w:hint="cs"/>
          <w:sz w:val="20"/>
          <w:szCs w:val="20"/>
        </w:rPr>
        <w:t>individuals’</w:t>
      </w:r>
      <w:r w:rsidR="00507D6B"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critical life</w:t>
      </w:r>
      <w:r w:rsidR="0043249D" w:rsidRPr="00147D0A">
        <w:rPr>
          <w:rFonts w:ascii="Arial Hebrew" w:hAnsi="Arial Hebrew" w:cs="Arial Hebrew" w:hint="cs"/>
          <w:sz w:val="20"/>
          <w:szCs w:val="20"/>
        </w:rPr>
        <w:t>-</w:t>
      </w:r>
      <w:r w:rsidR="007122A1" w:rsidRPr="00147D0A">
        <w:rPr>
          <w:rFonts w:ascii="Arial Hebrew" w:hAnsi="Arial Hebrew" w:cs="Arial Hebrew" w:hint="cs"/>
          <w:sz w:val="20"/>
          <w:szCs w:val="20"/>
        </w:rPr>
        <w:t>events</w:t>
      </w:r>
      <w:r w:rsidR="0043249D" w:rsidRPr="00147D0A">
        <w:rPr>
          <w:rFonts w:ascii="Arial Hebrew" w:hAnsi="Arial Hebrew" w:cs="Arial Hebrew" w:hint="cs"/>
          <w:sz w:val="20"/>
          <w:szCs w:val="20"/>
        </w:rPr>
        <w:t xml:space="preserve"> </w:t>
      </w:r>
      <w:r w:rsidR="007122A1" w:rsidRPr="00147D0A">
        <w:rPr>
          <w:rFonts w:ascii="Arial Hebrew" w:hAnsi="Arial Hebrew" w:cs="Arial Hebrew" w:hint="cs"/>
          <w:sz w:val="20"/>
          <w:szCs w:val="20"/>
        </w:rPr>
        <w:t xml:space="preserve">– forms </w:t>
      </w:r>
      <w:r w:rsidR="00907C72" w:rsidRPr="00147D0A">
        <w:rPr>
          <w:rFonts w:ascii="Arial Hebrew" w:hAnsi="Arial Hebrew" w:cs="Arial Hebrew" w:hint="cs"/>
          <w:sz w:val="20"/>
          <w:szCs w:val="20"/>
        </w:rPr>
        <w:t>a</w:t>
      </w:r>
      <w:r w:rsidR="007122A1" w:rsidRPr="00147D0A">
        <w:rPr>
          <w:rFonts w:ascii="Arial Hebrew" w:hAnsi="Arial Hebrew" w:cs="Arial Hebrew" w:hint="cs"/>
          <w:sz w:val="20"/>
          <w:szCs w:val="20"/>
        </w:rPr>
        <w:t xml:space="preserve"> </w:t>
      </w:r>
      <w:r w:rsidR="00A90C71" w:rsidRPr="00147D0A">
        <w:rPr>
          <w:rFonts w:ascii="Arial Hebrew" w:hAnsi="Arial Hebrew" w:cs="Arial Hebrew" w:hint="cs"/>
          <w:sz w:val="20"/>
          <w:szCs w:val="20"/>
        </w:rPr>
        <w:t>basis</w:t>
      </w:r>
      <w:r w:rsidR="007122A1" w:rsidRPr="00147D0A">
        <w:rPr>
          <w:rFonts w:ascii="Arial Hebrew" w:hAnsi="Arial Hebrew" w:cs="Arial Hebrew" w:hint="cs"/>
          <w:sz w:val="20"/>
          <w:szCs w:val="20"/>
        </w:rPr>
        <w:t xml:space="preserve"> </w:t>
      </w:r>
      <w:r w:rsidR="00A90C71" w:rsidRPr="00147D0A">
        <w:rPr>
          <w:rFonts w:ascii="Arial Hebrew" w:hAnsi="Arial Hebrew" w:cs="Arial Hebrew" w:hint="cs"/>
          <w:sz w:val="20"/>
          <w:szCs w:val="20"/>
        </w:rPr>
        <w:t xml:space="preserve">for </w:t>
      </w:r>
      <w:r w:rsidR="004A5906" w:rsidRPr="00147D0A">
        <w:rPr>
          <w:rFonts w:ascii="Arial Hebrew" w:hAnsi="Arial Hebrew" w:cs="Arial Hebrew" w:hint="cs"/>
          <w:sz w:val="20"/>
          <w:szCs w:val="20"/>
        </w:rPr>
        <w:t xml:space="preserve">their </w:t>
      </w:r>
      <w:r w:rsidR="004B2D1C" w:rsidRPr="00147D0A">
        <w:rPr>
          <w:rFonts w:ascii="Arial Hebrew" w:hAnsi="Arial Hebrew" w:cs="Arial Hebrew" w:hint="cs"/>
          <w:sz w:val="20"/>
          <w:szCs w:val="20"/>
        </w:rPr>
        <w:t>popular</w:t>
      </w:r>
      <w:r w:rsidR="007122A1" w:rsidRPr="00147D0A">
        <w:rPr>
          <w:rFonts w:ascii="Arial Hebrew" w:hAnsi="Arial Hebrew" w:cs="Arial Hebrew" w:hint="cs"/>
          <w:sz w:val="20"/>
          <w:szCs w:val="20"/>
        </w:rPr>
        <w:t xml:space="preserve"> legitimacy. </w:t>
      </w:r>
      <w:r w:rsidR="00AA7A03" w:rsidRPr="00147D0A">
        <w:rPr>
          <w:rFonts w:ascii="Arial Hebrew" w:hAnsi="Arial Hebrew" w:cs="Arial Hebrew" w:hint="cs"/>
          <w:sz w:val="20"/>
          <w:szCs w:val="20"/>
        </w:rPr>
        <w:t>C</w:t>
      </w:r>
      <w:r w:rsidR="007122A1" w:rsidRPr="00147D0A">
        <w:rPr>
          <w:rFonts w:ascii="Arial Hebrew" w:hAnsi="Arial Hebrew" w:cs="Arial Hebrew" w:hint="cs"/>
          <w:sz w:val="20"/>
          <w:szCs w:val="20"/>
        </w:rPr>
        <w:t>redit ratings agencies</w:t>
      </w:r>
      <w:r w:rsidR="00FE619E" w:rsidRPr="00147D0A">
        <w:rPr>
          <w:rFonts w:ascii="Arial Hebrew" w:hAnsi="Arial Hebrew" w:cs="Arial Hebrew" w:hint="cs"/>
          <w:sz w:val="20"/>
          <w:szCs w:val="20"/>
        </w:rPr>
        <w:t>,</w:t>
      </w:r>
      <w:r w:rsidR="0043249D" w:rsidRPr="00147D0A">
        <w:rPr>
          <w:rFonts w:ascii="Arial Hebrew" w:hAnsi="Arial Hebrew" w:cs="Arial Hebrew" w:hint="cs"/>
          <w:sz w:val="20"/>
          <w:szCs w:val="20"/>
        </w:rPr>
        <w:t xml:space="preserve"> in their</w:t>
      </w:r>
      <w:r w:rsidR="00FE619E" w:rsidRPr="00147D0A">
        <w:rPr>
          <w:rFonts w:ascii="Arial Hebrew" w:hAnsi="Arial Hebrew" w:cs="Arial Hebrew" w:hint="cs"/>
          <w:sz w:val="20"/>
          <w:szCs w:val="20"/>
        </w:rPr>
        <w:t xml:space="preserve"> assess</w:t>
      </w:r>
      <w:r w:rsidR="0043249D" w:rsidRPr="00147D0A">
        <w:rPr>
          <w:rFonts w:ascii="Arial Hebrew" w:hAnsi="Arial Hebrew" w:cs="Arial Hebrew" w:hint="cs"/>
          <w:sz w:val="20"/>
          <w:szCs w:val="20"/>
        </w:rPr>
        <w:t>ments</w:t>
      </w:r>
      <w:r w:rsidR="004869D0" w:rsidRPr="00147D0A">
        <w:rPr>
          <w:rFonts w:ascii="Arial Hebrew" w:hAnsi="Arial Hebrew" w:cs="Arial Hebrew" w:hint="cs"/>
          <w:sz w:val="20"/>
          <w:szCs w:val="20"/>
        </w:rPr>
        <w:t xml:space="preserve"> of</w:t>
      </w:r>
      <w:r w:rsidR="0043249D" w:rsidRPr="00147D0A">
        <w:rPr>
          <w:rFonts w:ascii="Arial Hebrew" w:hAnsi="Arial Hebrew" w:cs="Arial Hebrew" w:hint="cs"/>
          <w:sz w:val="20"/>
          <w:szCs w:val="20"/>
        </w:rPr>
        <w:t xml:space="preserve"> </w:t>
      </w:r>
      <w:r w:rsidR="00FE619E" w:rsidRPr="00147D0A">
        <w:rPr>
          <w:rFonts w:ascii="Arial Hebrew" w:hAnsi="Arial Hebrew" w:cs="Arial Hebrew" w:hint="cs"/>
          <w:sz w:val="20"/>
          <w:szCs w:val="20"/>
        </w:rPr>
        <w:t>sovereign and sub-sovereign borrowers,</w:t>
      </w:r>
      <w:r w:rsidR="00AB34E2" w:rsidRPr="00147D0A">
        <w:rPr>
          <w:rFonts w:ascii="Arial Hebrew" w:hAnsi="Arial Hebrew" w:cs="Arial Hebrew" w:hint="cs"/>
          <w:sz w:val="20"/>
          <w:szCs w:val="20"/>
        </w:rPr>
        <w:t xml:space="preserve"> </w:t>
      </w:r>
      <w:r w:rsidR="004869D0" w:rsidRPr="00147D0A">
        <w:rPr>
          <w:rFonts w:ascii="Arial Hebrew" w:hAnsi="Arial Hebrew" w:cs="Arial Hebrew" w:hint="cs"/>
          <w:sz w:val="20"/>
          <w:szCs w:val="20"/>
        </w:rPr>
        <w:t xml:space="preserve">may reasonably consider </w:t>
      </w:r>
      <w:r w:rsidR="00341FA9" w:rsidRPr="00147D0A">
        <w:rPr>
          <w:rFonts w:ascii="Arial Hebrew" w:hAnsi="Arial Hebrew" w:cs="Arial Hebrew" w:hint="cs"/>
          <w:sz w:val="20"/>
          <w:szCs w:val="20"/>
        </w:rPr>
        <w:t>the quality of government services to inform evaluations of</w:t>
      </w:r>
      <w:r w:rsidR="00FE619E" w:rsidRPr="00147D0A">
        <w:rPr>
          <w:rFonts w:ascii="Arial Hebrew" w:hAnsi="Arial Hebrew" w:cs="Arial Hebrew" w:hint="cs"/>
          <w:sz w:val="20"/>
          <w:szCs w:val="20"/>
        </w:rPr>
        <w:t xml:space="preserve"> </w:t>
      </w:r>
      <w:r w:rsidR="00AB34E2" w:rsidRPr="00147D0A">
        <w:rPr>
          <w:rFonts w:ascii="Arial Hebrew" w:hAnsi="Arial Hebrew" w:cs="Arial Hebrew" w:hint="cs"/>
          <w:sz w:val="20"/>
          <w:szCs w:val="20"/>
        </w:rPr>
        <w:t xml:space="preserve">institutional trustworthiness. </w:t>
      </w:r>
    </w:p>
    <w:p w14:paraId="5BAA0C72" w14:textId="40D9C9FF" w:rsidR="00713F0A" w:rsidRPr="00147D0A" w:rsidRDefault="00391F3D" w:rsidP="000E2CEE">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The accelerating d</w:t>
      </w:r>
      <w:r w:rsidR="0082758E" w:rsidRPr="00147D0A">
        <w:rPr>
          <w:rFonts w:ascii="Arial Hebrew" w:hAnsi="Arial Hebrew" w:cs="Arial Hebrew" w:hint="cs"/>
          <w:sz w:val="20"/>
          <w:szCs w:val="20"/>
        </w:rPr>
        <w:t>igital transformation</w:t>
      </w:r>
      <w:r w:rsidRPr="00147D0A">
        <w:rPr>
          <w:rFonts w:ascii="Arial Hebrew" w:hAnsi="Arial Hebrew" w:cs="Arial Hebrew" w:hint="cs"/>
          <w:sz w:val="20"/>
          <w:szCs w:val="20"/>
        </w:rPr>
        <w:t xml:space="preserve"> of government</w:t>
      </w:r>
      <w:r w:rsidR="0082758E" w:rsidRPr="00147D0A">
        <w:rPr>
          <w:rFonts w:ascii="Arial Hebrew" w:hAnsi="Arial Hebrew" w:cs="Arial Hebrew" w:hint="cs"/>
          <w:sz w:val="20"/>
          <w:szCs w:val="20"/>
        </w:rPr>
        <w:t xml:space="preserve"> </w:t>
      </w:r>
      <w:r w:rsidR="00907C72" w:rsidRPr="00147D0A">
        <w:rPr>
          <w:rFonts w:ascii="Arial Hebrew" w:hAnsi="Arial Hebrew" w:cs="Arial Hebrew" w:hint="cs"/>
          <w:sz w:val="20"/>
          <w:szCs w:val="20"/>
        </w:rPr>
        <w:t xml:space="preserve">enables </w:t>
      </w:r>
      <w:r w:rsidR="00FE619E" w:rsidRPr="00147D0A">
        <w:rPr>
          <w:rFonts w:ascii="Arial Hebrew" w:hAnsi="Arial Hebrew" w:cs="Arial Hebrew" w:hint="cs"/>
          <w:sz w:val="20"/>
          <w:szCs w:val="20"/>
        </w:rPr>
        <w:t>increasingly</w:t>
      </w:r>
      <w:r w:rsidR="00907C72" w:rsidRPr="00147D0A">
        <w:rPr>
          <w:rFonts w:ascii="Arial Hebrew" w:hAnsi="Arial Hebrew" w:cs="Arial Hebrew" w:hint="cs"/>
          <w:sz w:val="20"/>
          <w:szCs w:val="20"/>
        </w:rPr>
        <w:t xml:space="preserve"> real-time monitoring of </w:t>
      </w:r>
      <w:r w:rsidRPr="00147D0A">
        <w:rPr>
          <w:rFonts w:ascii="Arial Hebrew" w:hAnsi="Arial Hebrew" w:cs="Arial Hebrew" w:hint="cs"/>
          <w:sz w:val="20"/>
          <w:szCs w:val="20"/>
        </w:rPr>
        <w:t xml:space="preserve">credit-relevant </w:t>
      </w:r>
      <w:r w:rsidR="00907C72" w:rsidRPr="00147D0A">
        <w:rPr>
          <w:rFonts w:ascii="Arial Hebrew" w:hAnsi="Arial Hebrew" w:cs="Arial Hebrew" w:hint="cs"/>
          <w:sz w:val="20"/>
          <w:szCs w:val="20"/>
        </w:rPr>
        <w:t>institutional performance</w:t>
      </w:r>
      <w:r w:rsidR="00734E29" w:rsidRPr="00147D0A">
        <w:rPr>
          <w:rFonts w:ascii="Arial Hebrew" w:hAnsi="Arial Hebrew" w:cs="Arial Hebrew" w:hint="cs"/>
          <w:sz w:val="20"/>
          <w:szCs w:val="20"/>
        </w:rPr>
        <w:t>.</w:t>
      </w:r>
      <w:r w:rsidR="00907C72" w:rsidRPr="00147D0A">
        <w:rPr>
          <w:rFonts w:ascii="Arial Hebrew" w:hAnsi="Arial Hebrew" w:cs="Arial Hebrew" w:hint="cs"/>
          <w:sz w:val="20"/>
          <w:szCs w:val="20"/>
        </w:rPr>
        <w:t xml:space="preserve"> </w:t>
      </w:r>
      <w:r w:rsidR="00734E29" w:rsidRPr="00147D0A">
        <w:rPr>
          <w:rFonts w:ascii="Arial Hebrew" w:hAnsi="Arial Hebrew" w:cs="Arial Hebrew" w:hint="cs"/>
          <w:sz w:val="20"/>
          <w:szCs w:val="20"/>
        </w:rPr>
        <w:t>Digital</w:t>
      </w:r>
      <w:r w:rsidR="00907C72" w:rsidRPr="00147D0A">
        <w:rPr>
          <w:rFonts w:ascii="Arial Hebrew" w:hAnsi="Arial Hebrew" w:cs="Arial Hebrew" w:hint="cs"/>
          <w:sz w:val="20"/>
          <w:szCs w:val="20"/>
        </w:rPr>
        <w:t xml:space="preserve"> </w:t>
      </w:r>
      <w:r w:rsidR="00734E29" w:rsidRPr="00147D0A">
        <w:rPr>
          <w:rFonts w:ascii="Arial Hebrew" w:hAnsi="Arial Hebrew" w:cs="Arial Hebrew" w:hint="cs"/>
          <w:sz w:val="20"/>
          <w:szCs w:val="20"/>
        </w:rPr>
        <w:t xml:space="preserve">public service </w:t>
      </w:r>
      <w:r w:rsidR="00907C72" w:rsidRPr="00147D0A">
        <w:rPr>
          <w:rFonts w:ascii="Arial Hebrew" w:hAnsi="Arial Hebrew" w:cs="Arial Hebrew" w:hint="cs"/>
          <w:sz w:val="20"/>
          <w:szCs w:val="20"/>
        </w:rPr>
        <w:t>platforms</w:t>
      </w:r>
      <w:r w:rsidR="00734E29" w:rsidRPr="00147D0A">
        <w:rPr>
          <w:rFonts w:ascii="Arial Hebrew" w:hAnsi="Arial Hebrew" w:cs="Arial Hebrew" w:hint="cs"/>
          <w:sz w:val="20"/>
          <w:szCs w:val="20"/>
        </w:rPr>
        <w:t xml:space="preserve"> </w:t>
      </w:r>
      <w:r w:rsidR="00907C72" w:rsidRPr="00147D0A">
        <w:rPr>
          <w:rFonts w:ascii="Arial Hebrew" w:hAnsi="Arial Hebrew" w:cs="Arial Hebrew" w:hint="cs"/>
          <w:sz w:val="20"/>
          <w:szCs w:val="20"/>
        </w:rPr>
        <w:t xml:space="preserve">support the </w:t>
      </w:r>
      <w:r w:rsidR="008E7FA5" w:rsidRPr="00147D0A">
        <w:rPr>
          <w:rFonts w:ascii="Arial Hebrew" w:hAnsi="Arial Hebrew" w:cs="Arial Hebrew" w:hint="cs"/>
          <w:sz w:val="20"/>
          <w:szCs w:val="20"/>
        </w:rPr>
        <w:t>generation</w:t>
      </w:r>
      <w:r w:rsidR="00907C72" w:rsidRPr="00147D0A">
        <w:rPr>
          <w:rFonts w:ascii="Arial Hebrew" w:hAnsi="Arial Hebrew" w:cs="Arial Hebrew" w:hint="cs"/>
          <w:sz w:val="20"/>
          <w:szCs w:val="20"/>
        </w:rPr>
        <w:t xml:space="preserve"> of voluminous data on service quality: objective metrics for processes and outcomes, and subjective metrics for user experience and trust.</w:t>
      </w:r>
      <w:r w:rsidR="002228C4" w:rsidRPr="00147D0A">
        <w:rPr>
          <w:rFonts w:ascii="Arial Hebrew" w:hAnsi="Arial Hebrew" w:cs="Arial Hebrew" w:hint="cs"/>
          <w:sz w:val="20"/>
          <w:szCs w:val="20"/>
        </w:rPr>
        <w:t xml:space="preserve"> </w:t>
      </w:r>
      <w:r w:rsidR="00AE2182" w:rsidRPr="00147D0A">
        <w:rPr>
          <w:rFonts w:ascii="Arial Hebrew" w:hAnsi="Arial Hebrew" w:cs="Arial Hebrew" w:hint="cs"/>
          <w:sz w:val="20"/>
          <w:szCs w:val="20"/>
        </w:rPr>
        <w:t>Measures of public service quality</w:t>
      </w:r>
      <w:r w:rsidR="00AA7A03" w:rsidRPr="00147D0A">
        <w:rPr>
          <w:rFonts w:ascii="Arial Hebrew" w:hAnsi="Arial Hebrew" w:cs="Arial Hebrew" w:hint="cs"/>
          <w:sz w:val="20"/>
          <w:szCs w:val="20"/>
        </w:rPr>
        <w:t xml:space="preserve"> </w:t>
      </w:r>
      <w:r w:rsidR="00D01886" w:rsidRPr="00147D0A">
        <w:rPr>
          <w:rFonts w:ascii="Arial Hebrew" w:hAnsi="Arial Hebrew" w:cs="Arial Hebrew" w:hint="cs"/>
          <w:sz w:val="20"/>
          <w:szCs w:val="20"/>
        </w:rPr>
        <w:t>c</w:t>
      </w:r>
      <w:r w:rsidR="00CA6C8F" w:rsidRPr="00147D0A">
        <w:rPr>
          <w:rFonts w:ascii="Arial Hebrew" w:hAnsi="Arial Hebrew" w:cs="Arial Hebrew" w:hint="cs"/>
          <w:sz w:val="20"/>
          <w:szCs w:val="20"/>
        </w:rPr>
        <w:t xml:space="preserve">onstructed from this data </w:t>
      </w:r>
      <w:r w:rsidR="00341FA9" w:rsidRPr="00147D0A">
        <w:rPr>
          <w:rFonts w:ascii="Arial Hebrew" w:hAnsi="Arial Hebrew" w:cs="Arial Hebrew" w:hint="cs"/>
          <w:sz w:val="20"/>
          <w:szCs w:val="20"/>
        </w:rPr>
        <w:t>may be able to</w:t>
      </w:r>
      <w:r w:rsidR="00D01886" w:rsidRPr="00147D0A">
        <w:rPr>
          <w:rFonts w:ascii="Arial Hebrew" w:hAnsi="Arial Hebrew" w:cs="Arial Hebrew" w:hint="cs"/>
          <w:sz w:val="20"/>
          <w:szCs w:val="20"/>
        </w:rPr>
        <w:t xml:space="preserve"> proxy as indicators for</w:t>
      </w:r>
      <w:r w:rsidR="003E3673" w:rsidRPr="00147D0A">
        <w:rPr>
          <w:rFonts w:ascii="Arial Hebrew" w:hAnsi="Arial Hebrew" w:cs="Arial Hebrew" w:hint="cs"/>
          <w:sz w:val="20"/>
          <w:szCs w:val="20"/>
        </w:rPr>
        <w:t xml:space="preserve"> </w:t>
      </w:r>
      <w:r w:rsidR="00DF01CC" w:rsidRPr="00147D0A">
        <w:rPr>
          <w:rFonts w:ascii="Arial Hebrew" w:hAnsi="Arial Hebrew" w:cs="Arial Hebrew" w:hint="cs"/>
          <w:sz w:val="20"/>
          <w:szCs w:val="20"/>
        </w:rPr>
        <w:t xml:space="preserve">institutional </w:t>
      </w:r>
      <w:r w:rsidR="00EB21B0" w:rsidRPr="00147D0A">
        <w:rPr>
          <w:rFonts w:ascii="Arial Hebrew" w:hAnsi="Arial Hebrew" w:cs="Arial Hebrew" w:hint="cs"/>
          <w:sz w:val="20"/>
          <w:szCs w:val="20"/>
        </w:rPr>
        <w:t xml:space="preserve">credibility </w:t>
      </w:r>
      <w:r w:rsidR="00CA6C8F" w:rsidRPr="00147D0A">
        <w:rPr>
          <w:rFonts w:ascii="Arial Hebrew" w:hAnsi="Arial Hebrew" w:cs="Arial Hebrew" w:hint="cs"/>
          <w:sz w:val="20"/>
          <w:szCs w:val="20"/>
        </w:rPr>
        <w:t>at the</w:t>
      </w:r>
      <w:r w:rsidR="00DF01CC" w:rsidRPr="00147D0A">
        <w:rPr>
          <w:rFonts w:ascii="Arial Hebrew" w:hAnsi="Arial Hebrew" w:cs="Arial Hebrew" w:hint="cs"/>
          <w:sz w:val="20"/>
          <w:szCs w:val="20"/>
        </w:rPr>
        <w:t xml:space="preserve"> </w:t>
      </w:r>
      <w:r w:rsidR="003E3673" w:rsidRPr="00147D0A">
        <w:rPr>
          <w:rFonts w:ascii="Arial Hebrew" w:hAnsi="Arial Hebrew" w:cs="Arial Hebrew" w:hint="cs"/>
          <w:sz w:val="20"/>
          <w:szCs w:val="20"/>
        </w:rPr>
        <w:t>national, regional, and local</w:t>
      </w:r>
      <w:r w:rsidR="00CA6C8F" w:rsidRPr="00147D0A">
        <w:rPr>
          <w:rFonts w:ascii="Arial Hebrew" w:hAnsi="Arial Hebrew" w:cs="Arial Hebrew" w:hint="cs"/>
          <w:sz w:val="20"/>
          <w:szCs w:val="20"/>
        </w:rPr>
        <w:t xml:space="preserve"> levels of</w:t>
      </w:r>
      <w:r w:rsidR="003E3673" w:rsidRPr="00147D0A">
        <w:rPr>
          <w:rFonts w:ascii="Arial Hebrew" w:hAnsi="Arial Hebrew" w:cs="Arial Hebrew" w:hint="cs"/>
          <w:sz w:val="20"/>
          <w:szCs w:val="20"/>
        </w:rPr>
        <w:t xml:space="preserve"> </w:t>
      </w:r>
      <w:r w:rsidR="00EB21B0" w:rsidRPr="00147D0A">
        <w:rPr>
          <w:rFonts w:ascii="Arial Hebrew" w:hAnsi="Arial Hebrew" w:cs="Arial Hebrew" w:hint="cs"/>
          <w:sz w:val="20"/>
          <w:szCs w:val="20"/>
        </w:rPr>
        <w:t>government.</w:t>
      </w:r>
      <w:r w:rsidR="002228C4" w:rsidRPr="00147D0A">
        <w:rPr>
          <w:rFonts w:ascii="Arial Hebrew" w:hAnsi="Arial Hebrew" w:cs="Arial Hebrew" w:hint="cs"/>
          <w:sz w:val="20"/>
          <w:szCs w:val="20"/>
        </w:rPr>
        <w:t xml:space="preserve"> </w:t>
      </w:r>
      <w:r w:rsidR="003E3673" w:rsidRPr="00147D0A">
        <w:rPr>
          <w:rFonts w:ascii="Arial Hebrew" w:hAnsi="Arial Hebrew" w:cs="Arial Hebrew" w:hint="cs"/>
          <w:sz w:val="20"/>
          <w:szCs w:val="20"/>
        </w:rPr>
        <w:t xml:space="preserve">A benchmarking indicator </w:t>
      </w:r>
      <w:r w:rsidR="00734E29" w:rsidRPr="00147D0A">
        <w:rPr>
          <w:rFonts w:ascii="Arial Hebrew" w:hAnsi="Arial Hebrew" w:cs="Arial Hebrew" w:hint="cs"/>
          <w:sz w:val="20"/>
          <w:szCs w:val="20"/>
        </w:rPr>
        <w:t xml:space="preserve">that </w:t>
      </w:r>
      <w:r w:rsidR="003E3673" w:rsidRPr="00147D0A">
        <w:rPr>
          <w:rFonts w:ascii="Arial Hebrew" w:hAnsi="Arial Hebrew" w:cs="Arial Hebrew" w:hint="cs"/>
          <w:sz w:val="20"/>
          <w:szCs w:val="20"/>
        </w:rPr>
        <w:t>standardis</w:t>
      </w:r>
      <w:r w:rsidR="00734E29" w:rsidRPr="00147D0A">
        <w:rPr>
          <w:rFonts w:ascii="Arial Hebrew" w:hAnsi="Arial Hebrew" w:cs="Arial Hebrew" w:hint="cs"/>
          <w:sz w:val="20"/>
          <w:szCs w:val="20"/>
        </w:rPr>
        <w:t>es</w:t>
      </w:r>
      <w:r w:rsidR="003E3673" w:rsidRPr="00147D0A">
        <w:rPr>
          <w:rFonts w:ascii="Arial Hebrew" w:hAnsi="Arial Hebrew" w:cs="Arial Hebrew" w:hint="cs"/>
          <w:sz w:val="20"/>
          <w:szCs w:val="20"/>
        </w:rPr>
        <w:t xml:space="preserve"> the measurement of government</w:t>
      </w:r>
      <w:r w:rsidR="00D01886" w:rsidRPr="00147D0A">
        <w:rPr>
          <w:rFonts w:ascii="Arial Hebrew" w:hAnsi="Arial Hebrew" w:cs="Arial Hebrew" w:hint="cs"/>
          <w:sz w:val="20"/>
          <w:szCs w:val="20"/>
        </w:rPr>
        <w:t xml:space="preserve"> </w:t>
      </w:r>
      <w:r w:rsidR="00FE619E" w:rsidRPr="00147D0A">
        <w:rPr>
          <w:rFonts w:ascii="Arial Hebrew" w:hAnsi="Arial Hebrew" w:cs="Arial Hebrew" w:hint="cs"/>
          <w:sz w:val="20"/>
          <w:szCs w:val="20"/>
        </w:rPr>
        <w:t xml:space="preserve">service </w:t>
      </w:r>
      <w:r w:rsidR="00A87C6F" w:rsidRPr="00147D0A">
        <w:rPr>
          <w:rFonts w:ascii="Arial Hebrew" w:hAnsi="Arial Hebrew" w:cs="Arial Hebrew" w:hint="cs"/>
          <w:sz w:val="20"/>
          <w:szCs w:val="20"/>
        </w:rPr>
        <w:t>quality –</w:t>
      </w:r>
      <w:r w:rsidR="00734E29" w:rsidRPr="00147D0A">
        <w:rPr>
          <w:rFonts w:ascii="Arial Hebrew" w:hAnsi="Arial Hebrew" w:cs="Arial Hebrew" w:hint="cs"/>
          <w:sz w:val="20"/>
          <w:szCs w:val="20"/>
        </w:rPr>
        <w:t xml:space="preserve"> leverag</w:t>
      </w:r>
      <w:r w:rsidR="00A87C6F" w:rsidRPr="00147D0A">
        <w:rPr>
          <w:rFonts w:ascii="Arial Hebrew" w:hAnsi="Arial Hebrew" w:cs="Arial Hebrew" w:hint="cs"/>
          <w:sz w:val="20"/>
          <w:szCs w:val="20"/>
        </w:rPr>
        <w:t>ing</w:t>
      </w:r>
      <w:r w:rsidR="00734E29" w:rsidRPr="00147D0A">
        <w:rPr>
          <w:rFonts w:ascii="Arial Hebrew" w:hAnsi="Arial Hebrew" w:cs="Arial Hebrew" w:hint="cs"/>
          <w:sz w:val="20"/>
          <w:szCs w:val="20"/>
        </w:rPr>
        <w:t xml:space="preserve"> data on user-experience and public trust</w:t>
      </w:r>
      <w:r w:rsidR="00A87C6F" w:rsidRPr="00147D0A">
        <w:rPr>
          <w:rFonts w:ascii="Arial Hebrew" w:hAnsi="Arial Hebrew" w:cs="Arial Hebrew" w:hint="cs"/>
          <w:sz w:val="20"/>
          <w:szCs w:val="20"/>
        </w:rPr>
        <w:t xml:space="preserve"> –</w:t>
      </w:r>
      <w:r w:rsidR="00734E29" w:rsidRPr="00147D0A">
        <w:rPr>
          <w:rFonts w:ascii="Arial Hebrew" w:hAnsi="Arial Hebrew" w:cs="Arial Hebrew" w:hint="cs"/>
          <w:sz w:val="20"/>
          <w:szCs w:val="20"/>
        </w:rPr>
        <w:t xml:space="preserve"> </w:t>
      </w:r>
      <w:r w:rsidR="00CA6C8F" w:rsidRPr="00147D0A">
        <w:rPr>
          <w:rFonts w:ascii="Arial Hebrew" w:hAnsi="Arial Hebrew" w:cs="Arial Hebrew" w:hint="cs"/>
          <w:sz w:val="20"/>
          <w:szCs w:val="20"/>
        </w:rPr>
        <w:t>c</w:t>
      </w:r>
      <w:r w:rsidR="00D01886" w:rsidRPr="00147D0A">
        <w:rPr>
          <w:rFonts w:ascii="Arial Hebrew" w:hAnsi="Arial Hebrew" w:cs="Arial Hebrew" w:hint="cs"/>
          <w:sz w:val="20"/>
          <w:szCs w:val="20"/>
        </w:rPr>
        <w:t xml:space="preserve">ould </w:t>
      </w:r>
      <w:r w:rsidR="00CA6C8F" w:rsidRPr="00147D0A">
        <w:rPr>
          <w:rFonts w:ascii="Arial Hebrew" w:hAnsi="Arial Hebrew" w:cs="Arial Hebrew" w:hint="cs"/>
          <w:sz w:val="20"/>
          <w:szCs w:val="20"/>
        </w:rPr>
        <w:t xml:space="preserve">be designed for use as an </w:t>
      </w:r>
      <w:r w:rsidR="00FE619E" w:rsidRPr="00147D0A">
        <w:rPr>
          <w:rFonts w:ascii="Arial Hebrew" w:hAnsi="Arial Hebrew" w:cs="Arial Hebrew" w:hint="cs"/>
          <w:sz w:val="20"/>
          <w:szCs w:val="20"/>
        </w:rPr>
        <w:t xml:space="preserve">input in </w:t>
      </w:r>
      <w:r w:rsidR="00F25670" w:rsidRPr="00147D0A">
        <w:rPr>
          <w:rFonts w:ascii="Arial Hebrew" w:hAnsi="Arial Hebrew" w:cs="Arial Hebrew" w:hint="cs"/>
          <w:sz w:val="20"/>
          <w:szCs w:val="20"/>
        </w:rPr>
        <w:t>sovereign and sub-sovereign</w:t>
      </w:r>
      <w:r w:rsidR="00D01886" w:rsidRPr="00147D0A">
        <w:rPr>
          <w:rFonts w:ascii="Arial Hebrew" w:hAnsi="Arial Hebrew" w:cs="Arial Hebrew" w:hint="cs"/>
          <w:sz w:val="20"/>
          <w:szCs w:val="20"/>
        </w:rPr>
        <w:t xml:space="preserve"> credit assessments</w:t>
      </w:r>
      <w:r w:rsidR="00FE619E" w:rsidRPr="00147D0A">
        <w:rPr>
          <w:rFonts w:ascii="Arial Hebrew" w:hAnsi="Arial Hebrew" w:cs="Arial Hebrew" w:hint="cs"/>
          <w:sz w:val="20"/>
          <w:szCs w:val="20"/>
        </w:rPr>
        <w:t xml:space="preserve">. </w:t>
      </w:r>
      <w:r w:rsidR="00DC639F" w:rsidRPr="00147D0A">
        <w:rPr>
          <w:rFonts w:ascii="Arial Hebrew" w:hAnsi="Arial Hebrew" w:cs="Arial Hebrew" w:hint="cs"/>
          <w:sz w:val="20"/>
          <w:szCs w:val="20"/>
        </w:rPr>
        <w:t>This</w:t>
      </w:r>
      <w:r w:rsidR="00CA6C8F" w:rsidRPr="00147D0A">
        <w:rPr>
          <w:rFonts w:ascii="Arial Hebrew" w:hAnsi="Arial Hebrew" w:cs="Arial Hebrew" w:hint="cs"/>
          <w:sz w:val="20"/>
          <w:szCs w:val="20"/>
        </w:rPr>
        <w:t xml:space="preserve"> indicator – a</w:t>
      </w:r>
      <w:r w:rsidR="00FE619E" w:rsidRPr="00147D0A">
        <w:rPr>
          <w:rFonts w:ascii="Arial Hebrew" w:hAnsi="Arial Hebrew" w:cs="Arial Hebrew" w:hint="cs"/>
          <w:sz w:val="20"/>
          <w:szCs w:val="20"/>
        </w:rPr>
        <w:t xml:space="preserve"> </w:t>
      </w:r>
      <w:r w:rsidR="00734E29" w:rsidRPr="00147D0A">
        <w:rPr>
          <w:rFonts w:ascii="Arial Hebrew" w:hAnsi="Arial Hebrew" w:cs="Arial Hebrew" w:hint="cs"/>
          <w:b/>
          <w:bCs/>
          <w:i/>
          <w:iCs/>
          <w:sz w:val="20"/>
          <w:szCs w:val="20"/>
        </w:rPr>
        <w:t>global trust index</w:t>
      </w:r>
      <w:r w:rsidR="00734E29" w:rsidRPr="00147D0A">
        <w:rPr>
          <w:rFonts w:ascii="Arial Hebrew" w:hAnsi="Arial Hebrew" w:cs="Arial Hebrew" w:hint="cs"/>
          <w:sz w:val="20"/>
          <w:szCs w:val="20"/>
        </w:rPr>
        <w:t xml:space="preserve"> </w:t>
      </w:r>
      <w:r w:rsidR="00CA6C8F" w:rsidRPr="00147D0A">
        <w:rPr>
          <w:rFonts w:ascii="Arial Hebrew" w:hAnsi="Arial Hebrew" w:cs="Arial Hebrew" w:hint="cs"/>
          <w:sz w:val="20"/>
          <w:szCs w:val="20"/>
        </w:rPr>
        <w:t xml:space="preserve">– </w:t>
      </w:r>
      <w:r w:rsidR="007B1A02" w:rsidRPr="00147D0A">
        <w:rPr>
          <w:rFonts w:ascii="Arial Hebrew" w:hAnsi="Arial Hebrew" w:cs="Arial Hebrew" w:hint="cs"/>
          <w:sz w:val="20"/>
          <w:szCs w:val="20"/>
        </w:rPr>
        <w:t>w</w:t>
      </w:r>
      <w:r w:rsidR="00FE619E" w:rsidRPr="00147D0A">
        <w:rPr>
          <w:rFonts w:ascii="Arial Hebrew" w:hAnsi="Arial Hebrew" w:cs="Arial Hebrew" w:hint="cs"/>
          <w:sz w:val="20"/>
          <w:szCs w:val="20"/>
        </w:rPr>
        <w:t>ould</w:t>
      </w:r>
      <w:r w:rsidR="007B1A02" w:rsidRPr="00147D0A">
        <w:rPr>
          <w:rFonts w:ascii="Arial Hebrew" w:hAnsi="Arial Hebrew" w:cs="Arial Hebrew" w:hint="cs"/>
          <w:sz w:val="20"/>
          <w:szCs w:val="20"/>
        </w:rPr>
        <w:t xml:space="preserve"> be a</w:t>
      </w:r>
      <w:r w:rsidR="00582E9D" w:rsidRPr="00147D0A">
        <w:rPr>
          <w:rFonts w:ascii="Arial Hebrew" w:hAnsi="Arial Hebrew" w:cs="Arial Hebrew" w:hint="cs"/>
          <w:sz w:val="20"/>
          <w:szCs w:val="20"/>
        </w:rPr>
        <w:t xml:space="preserve"> </w:t>
      </w:r>
      <w:r w:rsidR="007B1A02" w:rsidRPr="00147D0A">
        <w:rPr>
          <w:rFonts w:ascii="Arial Hebrew" w:hAnsi="Arial Hebrew" w:cs="Arial Hebrew" w:hint="cs"/>
          <w:sz w:val="20"/>
          <w:szCs w:val="20"/>
        </w:rPr>
        <w:t>statistic</w:t>
      </w:r>
      <w:r w:rsidR="00582E9D" w:rsidRPr="00147D0A">
        <w:rPr>
          <w:rFonts w:ascii="Arial Hebrew" w:hAnsi="Arial Hebrew" w:cs="Arial Hebrew" w:hint="cs"/>
          <w:sz w:val="20"/>
          <w:szCs w:val="20"/>
        </w:rPr>
        <w:t xml:space="preserve"> </w:t>
      </w:r>
      <w:r w:rsidR="00CA6C8F" w:rsidRPr="00147D0A">
        <w:rPr>
          <w:rFonts w:ascii="Arial Hebrew" w:hAnsi="Arial Hebrew" w:cs="Arial Hebrew" w:hint="cs"/>
          <w:sz w:val="20"/>
          <w:szCs w:val="20"/>
        </w:rPr>
        <w:t>constructed to</w:t>
      </w:r>
      <w:r w:rsidR="007B1A02" w:rsidRPr="00147D0A">
        <w:rPr>
          <w:rFonts w:ascii="Arial Hebrew" w:hAnsi="Arial Hebrew" w:cs="Arial Hebrew" w:hint="cs"/>
          <w:sz w:val="20"/>
          <w:szCs w:val="20"/>
        </w:rPr>
        <w:t xml:space="preserve"> summaris</w:t>
      </w:r>
      <w:r w:rsidR="00CA6C8F" w:rsidRPr="00147D0A">
        <w:rPr>
          <w:rFonts w:ascii="Arial Hebrew" w:hAnsi="Arial Hebrew" w:cs="Arial Hebrew" w:hint="cs"/>
          <w:sz w:val="20"/>
          <w:szCs w:val="20"/>
        </w:rPr>
        <w:t>e</w:t>
      </w:r>
      <w:r w:rsidR="007B1A02" w:rsidRPr="00147D0A">
        <w:rPr>
          <w:rFonts w:ascii="Arial Hebrew" w:hAnsi="Arial Hebrew" w:cs="Arial Hebrew" w:hint="cs"/>
          <w:sz w:val="20"/>
          <w:szCs w:val="20"/>
        </w:rPr>
        <w:t xml:space="preserve"> </w:t>
      </w:r>
      <w:r w:rsidR="00CA6C8F" w:rsidRPr="00147D0A">
        <w:rPr>
          <w:rFonts w:ascii="Arial Hebrew" w:hAnsi="Arial Hebrew" w:cs="Arial Hebrew" w:hint="cs"/>
          <w:sz w:val="20"/>
          <w:szCs w:val="20"/>
        </w:rPr>
        <w:t>quality and performance</w:t>
      </w:r>
      <w:r w:rsidR="00713F0A" w:rsidRPr="00147D0A">
        <w:rPr>
          <w:rFonts w:ascii="Arial Hebrew" w:hAnsi="Arial Hebrew" w:cs="Arial Hebrew" w:hint="cs"/>
          <w:sz w:val="20"/>
          <w:szCs w:val="20"/>
        </w:rPr>
        <w:t xml:space="preserve"> </w:t>
      </w:r>
      <w:r w:rsidR="001A3158" w:rsidRPr="00147D0A">
        <w:rPr>
          <w:rFonts w:ascii="Arial Hebrew" w:hAnsi="Arial Hebrew" w:cs="Arial Hebrew" w:hint="cs"/>
          <w:sz w:val="20"/>
          <w:szCs w:val="20"/>
        </w:rPr>
        <w:t>metrics across</w:t>
      </w:r>
      <w:r w:rsidR="007B1A02" w:rsidRPr="00147D0A">
        <w:rPr>
          <w:rFonts w:ascii="Arial Hebrew" w:hAnsi="Arial Hebrew" w:cs="Arial Hebrew" w:hint="cs"/>
          <w:sz w:val="20"/>
          <w:szCs w:val="20"/>
        </w:rPr>
        <w:t xml:space="preserve"> </w:t>
      </w:r>
      <w:r w:rsidR="00FD0EA7" w:rsidRPr="00147D0A">
        <w:rPr>
          <w:rFonts w:ascii="Arial Hebrew" w:hAnsi="Arial Hebrew" w:cs="Arial Hebrew" w:hint="cs"/>
          <w:sz w:val="20"/>
          <w:szCs w:val="20"/>
        </w:rPr>
        <w:t>public</w:t>
      </w:r>
      <w:r w:rsidR="00582E9D" w:rsidRPr="00147D0A">
        <w:rPr>
          <w:rFonts w:ascii="Arial Hebrew" w:hAnsi="Arial Hebrew" w:cs="Arial Hebrew" w:hint="cs"/>
          <w:sz w:val="20"/>
          <w:szCs w:val="20"/>
        </w:rPr>
        <w:t>-</w:t>
      </w:r>
      <w:r w:rsidR="00FD0EA7" w:rsidRPr="00147D0A">
        <w:rPr>
          <w:rFonts w:ascii="Arial Hebrew" w:hAnsi="Arial Hebrew" w:cs="Arial Hebrew" w:hint="cs"/>
          <w:sz w:val="20"/>
          <w:szCs w:val="20"/>
        </w:rPr>
        <w:t>service portfolios</w:t>
      </w:r>
      <w:r w:rsidR="007B1A02" w:rsidRPr="00147D0A">
        <w:rPr>
          <w:rFonts w:ascii="Arial Hebrew" w:hAnsi="Arial Hebrew" w:cs="Arial Hebrew" w:hint="cs"/>
          <w:sz w:val="20"/>
          <w:szCs w:val="20"/>
        </w:rPr>
        <w:t xml:space="preserve"> </w:t>
      </w:r>
      <w:r w:rsidR="00582E9D" w:rsidRPr="00147D0A">
        <w:rPr>
          <w:rFonts w:ascii="Arial Hebrew" w:hAnsi="Arial Hebrew" w:cs="Arial Hebrew" w:hint="cs"/>
          <w:sz w:val="20"/>
          <w:szCs w:val="20"/>
        </w:rPr>
        <w:t>of</w:t>
      </w:r>
      <w:r w:rsidR="007B1A02" w:rsidRPr="00147D0A">
        <w:rPr>
          <w:rFonts w:ascii="Arial Hebrew" w:hAnsi="Arial Hebrew" w:cs="Arial Hebrew" w:hint="cs"/>
          <w:sz w:val="20"/>
          <w:szCs w:val="20"/>
        </w:rPr>
        <w:t xml:space="preserve"> </w:t>
      </w:r>
      <w:r w:rsidR="001A3158" w:rsidRPr="00147D0A">
        <w:rPr>
          <w:rFonts w:ascii="Arial Hebrew" w:hAnsi="Arial Hebrew" w:cs="Arial Hebrew" w:hint="cs"/>
          <w:sz w:val="20"/>
          <w:szCs w:val="20"/>
        </w:rPr>
        <w:t>debt-issuing governments.</w:t>
      </w:r>
      <w:r w:rsidR="00AC5204" w:rsidRPr="00147D0A">
        <w:rPr>
          <w:rFonts w:ascii="Arial Hebrew" w:hAnsi="Arial Hebrew" w:cs="Arial Hebrew" w:hint="cs"/>
          <w:sz w:val="20"/>
          <w:szCs w:val="20"/>
        </w:rPr>
        <w:t xml:space="preserve"> </w:t>
      </w:r>
      <w:r w:rsidR="00FC7877" w:rsidRPr="00147D0A">
        <w:rPr>
          <w:rFonts w:ascii="Arial Hebrew" w:hAnsi="Arial Hebrew" w:cs="Arial Hebrew" w:hint="cs"/>
          <w:sz w:val="20"/>
          <w:szCs w:val="20"/>
        </w:rPr>
        <w:t>In addition to standards of service, the</w:t>
      </w:r>
      <w:r w:rsidR="008C6796"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index</w:t>
      </w:r>
      <w:r w:rsidR="001A3158"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would</w:t>
      </w:r>
      <w:r w:rsidR="00582E9D" w:rsidRPr="00147D0A">
        <w:rPr>
          <w:rFonts w:ascii="Arial Hebrew" w:hAnsi="Arial Hebrew" w:cs="Arial Hebrew" w:hint="cs"/>
          <w:sz w:val="20"/>
          <w:szCs w:val="20"/>
        </w:rPr>
        <w:t xml:space="preserve"> </w:t>
      </w:r>
      <w:r w:rsidR="008C6796" w:rsidRPr="00147D0A">
        <w:rPr>
          <w:rFonts w:ascii="Arial Hebrew" w:hAnsi="Arial Hebrew" w:cs="Arial Hebrew" w:hint="cs"/>
          <w:sz w:val="20"/>
          <w:szCs w:val="20"/>
        </w:rPr>
        <w:t xml:space="preserve">incorporate </w:t>
      </w:r>
      <w:r w:rsidR="00DC639F" w:rsidRPr="00147D0A">
        <w:rPr>
          <w:rFonts w:ascii="Arial Hebrew" w:hAnsi="Arial Hebrew" w:cs="Arial Hebrew" w:hint="cs"/>
          <w:sz w:val="20"/>
          <w:szCs w:val="20"/>
        </w:rPr>
        <w:t>formal</w:t>
      </w:r>
      <w:r w:rsidR="00FD0EA7"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assessment</w:t>
      </w:r>
      <w:r w:rsidR="00FC7877" w:rsidRPr="00147D0A">
        <w:rPr>
          <w:rFonts w:ascii="Arial Hebrew" w:hAnsi="Arial Hebrew" w:cs="Arial Hebrew" w:hint="cs"/>
          <w:sz w:val="20"/>
          <w:szCs w:val="20"/>
        </w:rPr>
        <w:t>s</w:t>
      </w:r>
      <w:r w:rsidR="00AC5204" w:rsidRPr="00147D0A">
        <w:rPr>
          <w:rFonts w:ascii="Arial Hebrew" w:hAnsi="Arial Hebrew" w:cs="Arial Hebrew" w:hint="cs"/>
          <w:sz w:val="20"/>
          <w:szCs w:val="20"/>
        </w:rPr>
        <w:t xml:space="preserve"> of </w:t>
      </w:r>
      <w:r w:rsidR="00BE497E" w:rsidRPr="00147D0A">
        <w:rPr>
          <w:rFonts w:ascii="Arial Hebrew" w:hAnsi="Arial Hebrew" w:cs="Arial Hebrew" w:hint="cs"/>
          <w:sz w:val="20"/>
          <w:szCs w:val="20"/>
        </w:rPr>
        <w:t xml:space="preserve">the </w:t>
      </w:r>
      <w:r w:rsidR="008C6796" w:rsidRPr="00147D0A">
        <w:rPr>
          <w:rFonts w:ascii="Arial Hebrew" w:hAnsi="Arial Hebrew" w:cs="Arial Hebrew" w:hint="cs"/>
          <w:sz w:val="20"/>
          <w:szCs w:val="20"/>
        </w:rPr>
        <w:t xml:space="preserve">trustworthiness of </w:t>
      </w:r>
      <w:r w:rsidR="00BE497E" w:rsidRPr="00147D0A">
        <w:rPr>
          <w:rFonts w:ascii="Arial Hebrew" w:hAnsi="Arial Hebrew" w:cs="Arial Hebrew" w:hint="cs"/>
          <w:sz w:val="20"/>
          <w:szCs w:val="20"/>
        </w:rPr>
        <w:t>digital systems</w:t>
      </w:r>
      <w:r w:rsidR="00AC5204" w:rsidRPr="00147D0A">
        <w:rPr>
          <w:rFonts w:ascii="Arial Hebrew" w:hAnsi="Arial Hebrew" w:cs="Arial Hebrew" w:hint="cs"/>
          <w:sz w:val="20"/>
          <w:szCs w:val="20"/>
        </w:rPr>
        <w:t xml:space="preserve"> underlying government service provision, </w:t>
      </w:r>
      <w:r w:rsidR="008C6796" w:rsidRPr="00147D0A">
        <w:rPr>
          <w:rFonts w:ascii="Arial Hebrew" w:hAnsi="Arial Hebrew" w:cs="Arial Hebrew" w:hint="cs"/>
          <w:sz w:val="20"/>
          <w:szCs w:val="20"/>
        </w:rPr>
        <w:t xml:space="preserve">capturing an emerging element of critical </w:t>
      </w:r>
      <w:r w:rsidR="003C399F" w:rsidRPr="00147D0A">
        <w:rPr>
          <w:rFonts w:ascii="Arial Hebrew" w:hAnsi="Arial Hebrew" w:cs="Arial Hebrew" w:hint="cs"/>
          <w:sz w:val="20"/>
          <w:szCs w:val="20"/>
        </w:rPr>
        <w:t>institutional risk</w:t>
      </w:r>
      <w:r w:rsidR="00BE497E" w:rsidRPr="00147D0A">
        <w:rPr>
          <w:rFonts w:ascii="Arial Hebrew" w:hAnsi="Arial Hebrew" w:cs="Arial Hebrew" w:hint="cs"/>
          <w:sz w:val="20"/>
          <w:szCs w:val="20"/>
        </w:rPr>
        <w:t>.</w:t>
      </w:r>
      <w:r w:rsidR="00A90C71" w:rsidRPr="00147D0A">
        <w:rPr>
          <w:rStyle w:val="FootnoteReference"/>
          <w:rFonts w:ascii="Arial Hebrew" w:hAnsi="Arial Hebrew" w:cs="Arial Hebrew" w:hint="cs"/>
          <w:sz w:val="20"/>
          <w:szCs w:val="20"/>
        </w:rPr>
        <w:footnoteReference w:id="1"/>
      </w:r>
      <w:r w:rsidR="00BE497E" w:rsidRPr="00147D0A">
        <w:rPr>
          <w:rFonts w:ascii="Arial Hebrew" w:hAnsi="Arial Hebrew" w:cs="Arial Hebrew" w:hint="cs"/>
          <w:sz w:val="20"/>
          <w:szCs w:val="20"/>
        </w:rPr>
        <w:t xml:space="preserve"> </w:t>
      </w:r>
    </w:p>
    <w:p w14:paraId="4E9FB845" w14:textId="65794047" w:rsidR="008C46BF" w:rsidRPr="00147D0A" w:rsidRDefault="00907C72" w:rsidP="000E2CEE">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This note will </w:t>
      </w:r>
      <w:r w:rsidR="000E2CEE" w:rsidRPr="00147D0A">
        <w:rPr>
          <w:rFonts w:ascii="Arial Hebrew" w:hAnsi="Arial Hebrew" w:cs="Arial Hebrew" w:hint="cs"/>
          <w:sz w:val="20"/>
          <w:szCs w:val="20"/>
        </w:rPr>
        <w:t>describe</w:t>
      </w:r>
      <w:r w:rsidRPr="00147D0A">
        <w:rPr>
          <w:rFonts w:ascii="Arial Hebrew" w:hAnsi="Arial Hebrew" w:cs="Arial Hebrew" w:hint="cs"/>
          <w:sz w:val="20"/>
          <w:szCs w:val="20"/>
        </w:rPr>
        <w:t xml:space="preserve"> </w:t>
      </w:r>
      <w:r w:rsidR="003C399F" w:rsidRPr="00147D0A">
        <w:rPr>
          <w:rFonts w:ascii="Arial Hebrew" w:hAnsi="Arial Hebrew" w:cs="Arial Hebrew" w:hint="cs"/>
          <w:sz w:val="20"/>
          <w:szCs w:val="20"/>
        </w:rPr>
        <w:t>current</w:t>
      </w:r>
      <w:r w:rsidRPr="00147D0A">
        <w:rPr>
          <w:rFonts w:ascii="Arial Hebrew" w:hAnsi="Arial Hebrew" w:cs="Arial Hebrew" w:hint="cs"/>
          <w:sz w:val="20"/>
          <w:szCs w:val="20"/>
        </w:rPr>
        <w:t xml:space="preserve"> assessment methodolog</w:t>
      </w:r>
      <w:r w:rsidR="00DF01CC" w:rsidRPr="00147D0A">
        <w:rPr>
          <w:rFonts w:ascii="Arial Hebrew" w:hAnsi="Arial Hebrew" w:cs="Arial Hebrew" w:hint="cs"/>
          <w:sz w:val="20"/>
          <w:szCs w:val="20"/>
        </w:rPr>
        <w:t>ies</w:t>
      </w:r>
      <w:r w:rsidRPr="00147D0A">
        <w:rPr>
          <w:rFonts w:ascii="Arial Hebrew" w:hAnsi="Arial Hebrew" w:cs="Arial Hebrew" w:hint="cs"/>
          <w:sz w:val="20"/>
          <w:szCs w:val="20"/>
        </w:rPr>
        <w:t xml:space="preserve"> of the three major credit ratings agencies – Moody’s, Standard &amp; Poor’s, and Fitch – before </w:t>
      </w:r>
      <w:r w:rsidR="00EB21B0" w:rsidRPr="00147D0A">
        <w:rPr>
          <w:rFonts w:ascii="Arial Hebrew" w:hAnsi="Arial Hebrew" w:cs="Arial Hebrew" w:hint="cs"/>
          <w:sz w:val="20"/>
          <w:szCs w:val="20"/>
        </w:rPr>
        <w:t>considering</w:t>
      </w:r>
      <w:r w:rsidRPr="00147D0A">
        <w:rPr>
          <w:rFonts w:ascii="Arial Hebrew" w:hAnsi="Arial Hebrew" w:cs="Arial Hebrew" w:hint="cs"/>
          <w:sz w:val="20"/>
          <w:szCs w:val="20"/>
        </w:rPr>
        <w:t xml:space="preserve"> the role that a global trust index c</w:t>
      </w:r>
      <w:r w:rsidR="00EB21B0" w:rsidRPr="00147D0A">
        <w:rPr>
          <w:rFonts w:ascii="Arial Hebrew" w:hAnsi="Arial Hebrew" w:cs="Arial Hebrew" w:hint="cs"/>
          <w:sz w:val="20"/>
          <w:szCs w:val="20"/>
        </w:rPr>
        <w:t>ould</w:t>
      </w:r>
      <w:r w:rsidRPr="00147D0A">
        <w:rPr>
          <w:rFonts w:ascii="Arial Hebrew" w:hAnsi="Arial Hebrew" w:cs="Arial Hebrew" w:hint="cs"/>
          <w:sz w:val="20"/>
          <w:szCs w:val="20"/>
        </w:rPr>
        <w:t xml:space="preserve"> play in supporting </w:t>
      </w:r>
      <w:r w:rsidR="00EB21B0" w:rsidRPr="00147D0A">
        <w:rPr>
          <w:rFonts w:ascii="Arial Hebrew" w:hAnsi="Arial Hebrew" w:cs="Arial Hebrew" w:hint="cs"/>
          <w:sz w:val="20"/>
          <w:szCs w:val="20"/>
        </w:rPr>
        <w:t>credit a</w:t>
      </w:r>
      <w:r w:rsidRPr="00147D0A">
        <w:rPr>
          <w:rFonts w:ascii="Arial Hebrew" w:hAnsi="Arial Hebrew" w:cs="Arial Hebrew" w:hint="cs"/>
          <w:sz w:val="20"/>
          <w:szCs w:val="20"/>
        </w:rPr>
        <w:t>ssessments</w:t>
      </w:r>
      <w:r w:rsidR="00EB21B0" w:rsidRPr="00147D0A">
        <w:rPr>
          <w:rFonts w:ascii="Arial Hebrew" w:hAnsi="Arial Hebrew" w:cs="Arial Hebrew" w:hint="cs"/>
          <w:sz w:val="20"/>
          <w:szCs w:val="20"/>
        </w:rPr>
        <w:t xml:space="preserve"> in the digital age</w:t>
      </w:r>
      <w:r w:rsidRPr="00147D0A">
        <w:rPr>
          <w:rFonts w:ascii="Arial Hebrew" w:hAnsi="Arial Hebrew" w:cs="Arial Hebrew" w:hint="cs"/>
          <w:sz w:val="20"/>
          <w:szCs w:val="20"/>
        </w:rPr>
        <w:t xml:space="preserve">.   </w:t>
      </w:r>
    </w:p>
    <w:p w14:paraId="176DA58C" w14:textId="3D1AA55C" w:rsidR="000F0B70" w:rsidRPr="00147D0A" w:rsidRDefault="000F0B70" w:rsidP="004203B4">
      <w:pPr>
        <w:pStyle w:val="Heading1"/>
        <w:spacing w:after="240"/>
        <w:rPr>
          <w:rFonts w:ascii="Arial Hebrew" w:hAnsi="Arial Hebrew" w:cs="Arial Hebrew"/>
          <w:sz w:val="26"/>
          <w:szCs w:val="26"/>
        </w:rPr>
      </w:pPr>
      <w:bookmarkStart w:id="5" w:name="_Toc199450886"/>
      <w:r w:rsidRPr="00147D0A">
        <w:rPr>
          <w:rFonts w:ascii="Arial Hebrew" w:hAnsi="Arial Hebrew" w:cs="Arial Hebrew" w:hint="cs"/>
          <w:sz w:val="26"/>
          <w:szCs w:val="26"/>
        </w:rPr>
        <w:lastRenderedPageBreak/>
        <w:t>Assessment Frameworks</w:t>
      </w:r>
      <w:bookmarkEnd w:id="5"/>
    </w:p>
    <w:p w14:paraId="03A656E5" w14:textId="7F06DF2A" w:rsidR="00894F09" w:rsidRPr="00147D0A" w:rsidRDefault="007B100B" w:rsidP="00AC5204">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w:t>
      </w:r>
      <w:r w:rsidR="00503EEC" w:rsidRPr="00147D0A">
        <w:rPr>
          <w:rFonts w:ascii="Arial Hebrew" w:hAnsi="Arial Hebrew" w:cs="Arial Hebrew" w:hint="cs"/>
          <w:sz w:val="20"/>
          <w:szCs w:val="20"/>
        </w:rPr>
        <w:t>h</w:t>
      </w:r>
      <w:r w:rsidR="00391F3D" w:rsidRPr="00147D0A">
        <w:rPr>
          <w:rFonts w:ascii="Arial Hebrew" w:hAnsi="Arial Hebrew" w:cs="Arial Hebrew" w:hint="cs"/>
          <w:sz w:val="20"/>
          <w:szCs w:val="20"/>
        </w:rPr>
        <w:t>e three major</w:t>
      </w:r>
      <w:r w:rsidR="00503EEC" w:rsidRPr="00147D0A">
        <w:rPr>
          <w:rFonts w:ascii="Arial Hebrew" w:hAnsi="Arial Hebrew" w:cs="Arial Hebrew" w:hint="cs"/>
          <w:sz w:val="20"/>
          <w:szCs w:val="20"/>
        </w:rPr>
        <w:t xml:space="preserve"> credit ratings</w:t>
      </w:r>
      <w:r w:rsidR="000259EB" w:rsidRPr="00147D0A">
        <w:rPr>
          <w:rFonts w:ascii="Arial Hebrew" w:hAnsi="Arial Hebrew" w:cs="Arial Hebrew" w:hint="cs"/>
          <w:sz w:val="20"/>
          <w:szCs w:val="20"/>
        </w:rPr>
        <w:t xml:space="preserve"> </w:t>
      </w:r>
      <w:r w:rsidRPr="00147D0A">
        <w:rPr>
          <w:rFonts w:ascii="Arial Hebrew" w:hAnsi="Arial Hebrew" w:cs="Arial Hebrew" w:hint="cs"/>
          <w:sz w:val="20"/>
          <w:szCs w:val="20"/>
        </w:rPr>
        <w:t>account for a</w:t>
      </w:r>
      <w:r w:rsidR="00391F3D" w:rsidRPr="00147D0A">
        <w:rPr>
          <w:rFonts w:ascii="Arial Hebrew" w:hAnsi="Arial Hebrew" w:cs="Arial Hebrew" w:hint="cs"/>
          <w:sz w:val="20"/>
          <w:szCs w:val="20"/>
        </w:rPr>
        <w:t>r</w:t>
      </w:r>
      <w:r w:rsidRPr="00147D0A">
        <w:rPr>
          <w:rFonts w:ascii="Arial Hebrew" w:hAnsi="Arial Hebrew" w:cs="Arial Hebrew" w:hint="cs"/>
          <w:sz w:val="20"/>
          <w:szCs w:val="20"/>
        </w:rPr>
        <w:t>o</w:t>
      </w:r>
      <w:r w:rsidR="00391F3D" w:rsidRPr="00147D0A">
        <w:rPr>
          <w:rFonts w:ascii="Arial Hebrew" w:hAnsi="Arial Hebrew" w:cs="Arial Hebrew" w:hint="cs"/>
          <w:sz w:val="20"/>
          <w:szCs w:val="20"/>
        </w:rPr>
        <w:t>und</w:t>
      </w:r>
      <w:r w:rsidRPr="00147D0A">
        <w:rPr>
          <w:rFonts w:ascii="Arial Hebrew" w:hAnsi="Arial Hebrew" w:cs="Arial Hebrew" w:hint="cs"/>
          <w:sz w:val="20"/>
          <w:szCs w:val="20"/>
        </w:rPr>
        <w:t xml:space="preserve"> 95% of credit ratings industry market share. The </w:t>
      </w:r>
      <w:r w:rsidR="000F0B70" w:rsidRPr="00147D0A">
        <w:rPr>
          <w:rFonts w:ascii="Arial Hebrew" w:hAnsi="Arial Hebrew" w:cs="Arial Hebrew" w:hint="cs"/>
          <w:sz w:val="20"/>
          <w:szCs w:val="20"/>
        </w:rPr>
        <w:t xml:space="preserve">agencies </w:t>
      </w:r>
      <w:r w:rsidR="00A90C71" w:rsidRPr="00147D0A">
        <w:rPr>
          <w:rFonts w:ascii="Arial Hebrew" w:hAnsi="Arial Hebrew" w:cs="Arial Hebrew" w:hint="cs"/>
          <w:sz w:val="20"/>
          <w:szCs w:val="20"/>
        </w:rPr>
        <w:t>categoris</w:t>
      </w:r>
      <w:r w:rsidR="00C55A6F" w:rsidRPr="00147D0A">
        <w:rPr>
          <w:rFonts w:ascii="Arial Hebrew" w:hAnsi="Arial Hebrew" w:cs="Arial Hebrew" w:hint="cs"/>
          <w:sz w:val="20"/>
          <w:szCs w:val="20"/>
        </w:rPr>
        <w:t>e</w:t>
      </w:r>
      <w:r w:rsidR="008865E4" w:rsidRPr="00147D0A">
        <w:rPr>
          <w:rFonts w:ascii="Arial Hebrew" w:hAnsi="Arial Hebrew" w:cs="Arial Hebrew" w:hint="cs"/>
          <w:sz w:val="20"/>
          <w:szCs w:val="20"/>
        </w:rPr>
        <w:t xml:space="preserve"> long-term</w:t>
      </w:r>
      <w:r w:rsidR="000F0B70" w:rsidRPr="00147D0A">
        <w:rPr>
          <w:rFonts w:ascii="Arial Hebrew" w:hAnsi="Arial Hebrew" w:cs="Arial Hebrew" w:hint="cs"/>
          <w:sz w:val="20"/>
          <w:szCs w:val="20"/>
        </w:rPr>
        <w:t xml:space="preserve"> debt instruments </w:t>
      </w:r>
      <w:r w:rsidR="00A90C71" w:rsidRPr="00147D0A">
        <w:rPr>
          <w:rFonts w:ascii="Arial Hebrew" w:hAnsi="Arial Hebrew" w:cs="Arial Hebrew" w:hint="cs"/>
          <w:sz w:val="20"/>
          <w:szCs w:val="20"/>
        </w:rPr>
        <w:t xml:space="preserve">into </w:t>
      </w:r>
      <w:r w:rsidR="00C12113" w:rsidRPr="00147D0A">
        <w:rPr>
          <w:rFonts w:ascii="Arial Hebrew" w:hAnsi="Arial Hebrew" w:cs="Arial Hebrew" w:hint="cs"/>
          <w:i/>
          <w:iCs/>
          <w:sz w:val="20"/>
          <w:szCs w:val="20"/>
        </w:rPr>
        <w:t>investment</w:t>
      </w:r>
      <w:r w:rsidR="00A90C71" w:rsidRPr="00147D0A">
        <w:rPr>
          <w:rFonts w:ascii="Arial Hebrew" w:hAnsi="Arial Hebrew" w:cs="Arial Hebrew" w:hint="cs"/>
          <w:i/>
          <w:iCs/>
          <w:sz w:val="20"/>
          <w:szCs w:val="20"/>
        </w:rPr>
        <w:t xml:space="preserve"> </w:t>
      </w:r>
      <w:r w:rsidR="00A90C71" w:rsidRPr="00147D0A">
        <w:rPr>
          <w:rFonts w:ascii="Arial Hebrew" w:hAnsi="Arial Hebrew" w:cs="Arial Hebrew" w:hint="cs"/>
          <w:sz w:val="20"/>
          <w:szCs w:val="20"/>
        </w:rPr>
        <w:t>(</w:t>
      </w:r>
      <w:r w:rsidR="002D7286" w:rsidRPr="00147D0A">
        <w:rPr>
          <w:rFonts w:ascii="Arial Hebrew" w:hAnsi="Arial Hebrew" w:cs="Arial Hebrew" w:hint="cs"/>
          <w:sz w:val="20"/>
          <w:szCs w:val="20"/>
        </w:rPr>
        <w:t>higher</w:t>
      </w:r>
      <w:r w:rsidR="00A90C71" w:rsidRPr="00147D0A">
        <w:rPr>
          <w:rFonts w:ascii="Arial Hebrew" w:hAnsi="Arial Hebrew" w:cs="Arial Hebrew" w:hint="cs"/>
          <w:sz w:val="20"/>
          <w:szCs w:val="20"/>
        </w:rPr>
        <w:t>-</w:t>
      </w:r>
      <w:r w:rsidR="002D7286" w:rsidRPr="00147D0A">
        <w:rPr>
          <w:rFonts w:ascii="Arial Hebrew" w:hAnsi="Arial Hebrew" w:cs="Arial Hebrew" w:hint="cs"/>
          <w:sz w:val="20"/>
          <w:szCs w:val="20"/>
        </w:rPr>
        <w:t>price, lower-yield</w:t>
      </w:r>
      <w:r w:rsidR="00A90C71" w:rsidRPr="00147D0A">
        <w:rPr>
          <w:rFonts w:ascii="Arial Hebrew" w:hAnsi="Arial Hebrew" w:cs="Arial Hebrew" w:hint="cs"/>
          <w:sz w:val="20"/>
          <w:szCs w:val="20"/>
        </w:rPr>
        <w:t xml:space="preserve">) and </w:t>
      </w:r>
      <w:r w:rsidR="00A90C71" w:rsidRPr="00147D0A">
        <w:rPr>
          <w:rFonts w:ascii="Arial Hebrew" w:hAnsi="Arial Hebrew" w:cs="Arial Hebrew" w:hint="cs"/>
          <w:i/>
          <w:iCs/>
          <w:sz w:val="20"/>
          <w:szCs w:val="20"/>
        </w:rPr>
        <w:t>speculative</w:t>
      </w:r>
      <w:r w:rsidR="00A90C71" w:rsidRPr="00147D0A">
        <w:rPr>
          <w:rFonts w:ascii="Arial Hebrew" w:hAnsi="Arial Hebrew" w:cs="Arial Hebrew" w:hint="cs"/>
          <w:sz w:val="20"/>
          <w:szCs w:val="20"/>
        </w:rPr>
        <w:t xml:space="preserve"> (</w:t>
      </w:r>
      <w:r w:rsidR="002D7286" w:rsidRPr="00147D0A">
        <w:rPr>
          <w:rFonts w:ascii="Arial Hebrew" w:hAnsi="Arial Hebrew" w:cs="Arial Hebrew" w:hint="cs"/>
          <w:sz w:val="20"/>
          <w:szCs w:val="20"/>
        </w:rPr>
        <w:t>lower</w:t>
      </w:r>
      <w:r w:rsidR="00A90C71" w:rsidRPr="00147D0A">
        <w:rPr>
          <w:rFonts w:ascii="Arial Hebrew" w:hAnsi="Arial Hebrew" w:cs="Arial Hebrew" w:hint="cs"/>
          <w:sz w:val="20"/>
          <w:szCs w:val="20"/>
        </w:rPr>
        <w:t>-</w:t>
      </w:r>
      <w:r w:rsidR="002D7286" w:rsidRPr="00147D0A">
        <w:rPr>
          <w:rFonts w:ascii="Arial Hebrew" w:hAnsi="Arial Hebrew" w:cs="Arial Hebrew" w:hint="cs"/>
          <w:sz w:val="20"/>
          <w:szCs w:val="20"/>
        </w:rPr>
        <w:t>price, higher-yield</w:t>
      </w:r>
      <w:r w:rsidR="00A90C71" w:rsidRPr="00147D0A">
        <w:rPr>
          <w:rFonts w:ascii="Arial Hebrew" w:hAnsi="Arial Hebrew" w:cs="Arial Hebrew" w:hint="cs"/>
          <w:sz w:val="20"/>
          <w:szCs w:val="20"/>
        </w:rPr>
        <w:t>) grades</w:t>
      </w:r>
      <w:r w:rsidR="00566972" w:rsidRPr="00147D0A">
        <w:rPr>
          <w:rFonts w:ascii="Arial Hebrew" w:hAnsi="Arial Hebrew" w:cs="Arial Hebrew" w:hint="cs"/>
          <w:sz w:val="20"/>
          <w:szCs w:val="20"/>
        </w:rPr>
        <w:t xml:space="preserve"> (</w:t>
      </w:r>
      <w:r w:rsidR="00566972" w:rsidRPr="00147D0A">
        <w:rPr>
          <w:rFonts w:ascii="Arial Hebrew" w:hAnsi="Arial Hebrew" w:cs="Arial Hebrew" w:hint="cs"/>
          <w:b/>
          <w:bCs/>
          <w:sz w:val="20"/>
          <w:szCs w:val="20"/>
        </w:rPr>
        <w:t>Table 1</w:t>
      </w:r>
      <w:r w:rsidR="00566972" w:rsidRPr="00147D0A">
        <w:rPr>
          <w:rFonts w:ascii="Arial Hebrew" w:hAnsi="Arial Hebrew" w:cs="Arial Hebrew" w:hint="cs"/>
          <w:sz w:val="20"/>
          <w:szCs w:val="20"/>
        </w:rPr>
        <w:t>)</w:t>
      </w:r>
      <w:r w:rsidR="00A90C71" w:rsidRPr="00147D0A">
        <w:rPr>
          <w:rFonts w:ascii="Arial Hebrew" w:hAnsi="Arial Hebrew" w:cs="Arial Hebrew" w:hint="cs"/>
          <w:sz w:val="20"/>
          <w:szCs w:val="20"/>
        </w:rPr>
        <w:t xml:space="preserve">. </w:t>
      </w:r>
      <w:r w:rsidR="00391F3D" w:rsidRPr="00147D0A">
        <w:rPr>
          <w:rFonts w:ascii="Arial Hebrew" w:hAnsi="Arial Hebrew" w:cs="Arial Hebrew" w:hint="cs"/>
          <w:sz w:val="20"/>
          <w:szCs w:val="20"/>
        </w:rPr>
        <w:t xml:space="preserve">In addition to assigning ratings to government debt-instruments, agencies may also assign a positive or negative </w:t>
      </w:r>
      <w:r w:rsidR="00391F3D" w:rsidRPr="00147D0A">
        <w:rPr>
          <w:rFonts w:ascii="Arial Hebrew" w:hAnsi="Arial Hebrew" w:cs="Arial Hebrew" w:hint="cs"/>
          <w:i/>
          <w:iCs/>
          <w:sz w:val="20"/>
          <w:szCs w:val="20"/>
        </w:rPr>
        <w:t>outlook</w:t>
      </w:r>
      <w:r w:rsidR="00391F3D" w:rsidRPr="00147D0A">
        <w:rPr>
          <w:rFonts w:ascii="Arial Hebrew" w:hAnsi="Arial Hebrew" w:cs="Arial Hebrew" w:hint="cs"/>
          <w:sz w:val="20"/>
          <w:szCs w:val="20"/>
        </w:rPr>
        <w:t xml:space="preserve"> in their assessments – indicating the direction of an expected future rating change. </w:t>
      </w:r>
      <w:r w:rsidR="00BE6212" w:rsidRPr="00147D0A">
        <w:rPr>
          <w:rFonts w:ascii="Arial Hebrew" w:hAnsi="Arial Hebrew" w:cs="Arial Hebrew" w:hint="cs"/>
          <w:sz w:val="20"/>
          <w:szCs w:val="20"/>
        </w:rPr>
        <w:t>Major agency</w:t>
      </w:r>
      <w:r w:rsidR="00566972" w:rsidRPr="00147D0A">
        <w:rPr>
          <w:rFonts w:ascii="Arial Hebrew" w:hAnsi="Arial Hebrew" w:cs="Arial Hebrew" w:hint="cs"/>
          <w:sz w:val="20"/>
          <w:szCs w:val="20"/>
        </w:rPr>
        <w:t xml:space="preserve"> ratings</w:t>
      </w:r>
      <w:r w:rsidR="00A90C71" w:rsidRPr="00147D0A">
        <w:rPr>
          <w:rFonts w:ascii="Arial Hebrew" w:hAnsi="Arial Hebrew" w:cs="Arial Hebrew" w:hint="cs"/>
          <w:sz w:val="20"/>
          <w:szCs w:val="20"/>
        </w:rPr>
        <w:t xml:space="preserve"> significantly </w:t>
      </w:r>
      <w:r w:rsidR="00566972" w:rsidRPr="00147D0A">
        <w:rPr>
          <w:rFonts w:ascii="Arial Hebrew" w:hAnsi="Arial Hebrew" w:cs="Arial Hebrew" w:hint="cs"/>
          <w:sz w:val="20"/>
          <w:szCs w:val="20"/>
        </w:rPr>
        <w:t>affect</w:t>
      </w:r>
      <w:r w:rsidR="00A90C71" w:rsidRPr="00147D0A">
        <w:rPr>
          <w:rFonts w:ascii="Arial Hebrew" w:hAnsi="Arial Hebrew" w:cs="Arial Hebrew" w:hint="cs"/>
          <w:sz w:val="20"/>
          <w:szCs w:val="20"/>
        </w:rPr>
        <w:t xml:space="preserve"> governments’ financing costs, with prices of bonds and credit default swaps highly sensitive to </w:t>
      </w:r>
      <w:r w:rsidR="002D7286" w:rsidRPr="00147D0A">
        <w:rPr>
          <w:rFonts w:ascii="Arial Hebrew" w:hAnsi="Arial Hebrew" w:cs="Arial Hebrew" w:hint="cs"/>
          <w:sz w:val="20"/>
          <w:szCs w:val="20"/>
        </w:rPr>
        <w:t xml:space="preserve">the </w:t>
      </w:r>
      <w:r w:rsidR="00A90C71" w:rsidRPr="00147D0A">
        <w:rPr>
          <w:rFonts w:ascii="Arial Hebrew" w:hAnsi="Arial Hebrew" w:cs="Arial Hebrew" w:hint="cs"/>
          <w:sz w:val="20"/>
          <w:szCs w:val="20"/>
        </w:rPr>
        <w:t>potential</w:t>
      </w:r>
      <w:r w:rsidR="002D7286" w:rsidRPr="00147D0A">
        <w:rPr>
          <w:rFonts w:ascii="Arial Hebrew" w:hAnsi="Arial Hebrew" w:cs="Arial Hebrew" w:hint="cs"/>
          <w:sz w:val="20"/>
          <w:szCs w:val="20"/>
        </w:rPr>
        <w:t xml:space="preserve"> of</w:t>
      </w:r>
      <w:r w:rsidR="00A90C71" w:rsidRPr="00147D0A">
        <w:rPr>
          <w:rFonts w:ascii="Arial Hebrew" w:hAnsi="Arial Hebrew" w:cs="Arial Hebrew" w:hint="cs"/>
          <w:sz w:val="20"/>
          <w:szCs w:val="20"/>
        </w:rPr>
        <w:t xml:space="preserve"> </w:t>
      </w:r>
      <w:r w:rsidR="00566972" w:rsidRPr="00147D0A">
        <w:rPr>
          <w:rFonts w:ascii="Arial Hebrew" w:hAnsi="Arial Hebrew" w:cs="Arial Hebrew" w:hint="cs"/>
          <w:sz w:val="20"/>
          <w:szCs w:val="20"/>
        </w:rPr>
        <w:t>agency</w:t>
      </w:r>
      <w:r w:rsidR="009353D7" w:rsidRPr="00147D0A">
        <w:rPr>
          <w:rFonts w:ascii="Arial Hebrew" w:hAnsi="Arial Hebrew" w:cs="Arial Hebrew" w:hint="cs"/>
          <w:sz w:val="20"/>
          <w:szCs w:val="20"/>
        </w:rPr>
        <w:t xml:space="preserve"> rating</w:t>
      </w:r>
      <w:r w:rsidR="00A90C71" w:rsidRPr="00147D0A">
        <w:rPr>
          <w:rFonts w:ascii="Arial Hebrew" w:hAnsi="Arial Hebrew" w:cs="Arial Hebrew" w:hint="cs"/>
          <w:sz w:val="20"/>
          <w:szCs w:val="20"/>
        </w:rPr>
        <w:t xml:space="preserve"> </w:t>
      </w:r>
      <w:r w:rsidR="008865E4" w:rsidRPr="00147D0A">
        <w:rPr>
          <w:rFonts w:ascii="Arial Hebrew" w:hAnsi="Arial Hebrew" w:cs="Arial Hebrew" w:hint="cs"/>
          <w:sz w:val="20"/>
          <w:szCs w:val="20"/>
        </w:rPr>
        <w:t>upgrades or downgrades</w:t>
      </w:r>
      <w:r w:rsidR="00A90C71" w:rsidRPr="00147D0A">
        <w:rPr>
          <w:rFonts w:ascii="Arial Hebrew" w:hAnsi="Arial Hebrew" w:cs="Arial Hebrew" w:hint="cs"/>
          <w:sz w:val="20"/>
          <w:szCs w:val="20"/>
        </w:rPr>
        <w:t xml:space="preserve">. </w:t>
      </w:r>
      <w:r w:rsidR="00894F09" w:rsidRPr="00147D0A">
        <w:rPr>
          <w:rFonts w:ascii="Arial Hebrew" w:hAnsi="Arial Hebrew" w:cs="Arial Hebrew" w:hint="cs"/>
          <w:b/>
          <w:bCs/>
          <w:sz w:val="20"/>
          <w:szCs w:val="20"/>
        </w:rPr>
        <w:t>Figures 1 and 2</w:t>
      </w:r>
      <w:r w:rsidR="00894F09" w:rsidRPr="00147D0A">
        <w:rPr>
          <w:rFonts w:ascii="Arial Hebrew" w:hAnsi="Arial Hebrew" w:cs="Arial Hebrew" w:hint="cs"/>
          <w:sz w:val="20"/>
          <w:szCs w:val="20"/>
        </w:rPr>
        <w:t xml:space="preserve"> show </w:t>
      </w:r>
      <w:r w:rsidR="008E638A" w:rsidRPr="00147D0A">
        <w:rPr>
          <w:rFonts w:ascii="Arial Hebrew" w:hAnsi="Arial Hebrew" w:cs="Arial Hebrew" w:hint="cs"/>
          <w:sz w:val="20"/>
          <w:szCs w:val="20"/>
        </w:rPr>
        <w:t xml:space="preserve">the </w:t>
      </w:r>
      <w:r w:rsidR="00894F09" w:rsidRPr="00147D0A">
        <w:rPr>
          <w:rFonts w:ascii="Arial Hebrew" w:hAnsi="Arial Hebrew" w:cs="Arial Hebrew" w:hint="cs"/>
          <w:sz w:val="20"/>
          <w:szCs w:val="20"/>
        </w:rPr>
        <w:t xml:space="preserve">sovereign ratings currently assigned by the three major agencies and their negative correlation to ten-year sovereign yield spreads. Agency ratings grades have here been converted into to a common scale, with fractional adjustments for </w:t>
      </w:r>
      <w:r w:rsidR="00894F09" w:rsidRPr="00147D0A">
        <w:rPr>
          <w:rFonts w:ascii="Arial Hebrew" w:hAnsi="Arial Hebrew" w:cs="Arial Hebrew" w:hint="cs"/>
          <w:i/>
          <w:iCs/>
          <w:sz w:val="20"/>
          <w:szCs w:val="20"/>
        </w:rPr>
        <w:t xml:space="preserve">positive </w:t>
      </w:r>
      <w:r w:rsidR="00894F09" w:rsidRPr="00147D0A">
        <w:rPr>
          <w:rFonts w:ascii="Arial Hebrew" w:hAnsi="Arial Hebrew" w:cs="Arial Hebrew" w:hint="cs"/>
          <w:sz w:val="20"/>
          <w:szCs w:val="20"/>
        </w:rPr>
        <w:t xml:space="preserve">and </w:t>
      </w:r>
      <w:r w:rsidR="00894F09" w:rsidRPr="00147D0A">
        <w:rPr>
          <w:rFonts w:ascii="Arial Hebrew" w:hAnsi="Arial Hebrew" w:cs="Arial Hebrew" w:hint="cs"/>
          <w:i/>
          <w:iCs/>
          <w:sz w:val="20"/>
          <w:szCs w:val="20"/>
        </w:rPr>
        <w:t>negative</w:t>
      </w:r>
      <w:r w:rsidR="00894F09" w:rsidRPr="00147D0A">
        <w:rPr>
          <w:rFonts w:ascii="Arial Hebrew" w:hAnsi="Arial Hebrew" w:cs="Arial Hebrew" w:hint="cs"/>
          <w:sz w:val="20"/>
          <w:szCs w:val="20"/>
        </w:rPr>
        <w:t xml:space="preserve"> outlooks. </w:t>
      </w:r>
    </w:p>
    <w:p w14:paraId="6AF08D37" w14:textId="261EB8DA" w:rsidR="00573C3A" w:rsidRPr="00147D0A" w:rsidRDefault="00573C3A" w:rsidP="00AC5204">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Table 1.</w:t>
      </w:r>
      <w:r w:rsidRPr="00147D0A">
        <w:rPr>
          <w:rFonts w:ascii="Arial Hebrew" w:hAnsi="Arial Hebrew" w:cs="Arial Hebrew" w:hint="cs"/>
          <w:i/>
          <w:iCs/>
          <w:sz w:val="16"/>
          <w:szCs w:val="16"/>
        </w:rPr>
        <w:t xml:space="preserve"> Ratings Agency Grades</w:t>
      </w:r>
    </w:p>
    <w:tbl>
      <w:tblPr>
        <w:tblStyle w:val="TableGrid"/>
        <w:tblW w:w="7513" w:type="dxa"/>
        <w:jc w:val="center"/>
        <w:tblLook w:val="04A0" w:firstRow="1" w:lastRow="0" w:firstColumn="1" w:lastColumn="0" w:noHBand="0" w:noVBand="1"/>
      </w:tblPr>
      <w:tblGrid>
        <w:gridCol w:w="1276"/>
        <w:gridCol w:w="2126"/>
        <w:gridCol w:w="1305"/>
        <w:gridCol w:w="987"/>
        <w:gridCol w:w="1819"/>
      </w:tblGrid>
      <w:tr w:rsidR="00A7780A" w:rsidRPr="00147D0A" w14:paraId="19DE0A31" w14:textId="50F238A3" w:rsidTr="00A06ED9">
        <w:trPr>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29666487"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Grade</w:t>
            </w:r>
          </w:p>
        </w:tc>
        <w:tc>
          <w:tcPr>
            <w:tcW w:w="2126" w:type="dxa"/>
            <w:tcBorders>
              <w:top w:val="single" w:sz="4" w:space="0" w:color="auto"/>
              <w:left w:val="nil"/>
              <w:bottom w:val="single" w:sz="4" w:space="0" w:color="auto"/>
              <w:right w:val="nil"/>
            </w:tcBorders>
            <w:shd w:val="clear" w:color="auto" w:fill="F2F2F2" w:themeFill="background1" w:themeFillShade="F2"/>
            <w:vAlign w:val="center"/>
          </w:tcPr>
          <w:p w14:paraId="582B57F2"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Description</w:t>
            </w:r>
          </w:p>
        </w:tc>
        <w:tc>
          <w:tcPr>
            <w:tcW w:w="1305" w:type="dxa"/>
            <w:tcBorders>
              <w:top w:val="single" w:sz="4" w:space="0" w:color="auto"/>
              <w:left w:val="nil"/>
              <w:bottom w:val="single" w:sz="4" w:space="0" w:color="auto"/>
              <w:right w:val="nil"/>
            </w:tcBorders>
            <w:shd w:val="clear" w:color="auto" w:fill="F2F2F2" w:themeFill="background1" w:themeFillShade="F2"/>
            <w:vAlign w:val="center"/>
          </w:tcPr>
          <w:p w14:paraId="11D9D501"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S&amp;P / Fitch</w:t>
            </w:r>
          </w:p>
        </w:tc>
        <w:tc>
          <w:tcPr>
            <w:tcW w:w="987" w:type="dxa"/>
            <w:tcBorders>
              <w:top w:val="single" w:sz="4" w:space="0" w:color="auto"/>
              <w:left w:val="nil"/>
              <w:bottom w:val="single" w:sz="4" w:space="0" w:color="auto"/>
              <w:right w:val="nil"/>
            </w:tcBorders>
            <w:shd w:val="clear" w:color="auto" w:fill="F2F2F2" w:themeFill="background1" w:themeFillShade="F2"/>
            <w:vAlign w:val="center"/>
          </w:tcPr>
          <w:p w14:paraId="6CCD4507" w14:textId="7777777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Moody’s</w:t>
            </w:r>
          </w:p>
        </w:tc>
        <w:tc>
          <w:tcPr>
            <w:tcW w:w="1819" w:type="dxa"/>
            <w:tcBorders>
              <w:top w:val="single" w:sz="4" w:space="0" w:color="auto"/>
              <w:left w:val="nil"/>
              <w:bottom w:val="single" w:sz="4" w:space="0" w:color="auto"/>
              <w:right w:val="nil"/>
            </w:tcBorders>
            <w:shd w:val="clear" w:color="auto" w:fill="F2F2F2" w:themeFill="background1" w:themeFillShade="F2"/>
            <w:vAlign w:val="center"/>
          </w:tcPr>
          <w:p w14:paraId="7773A785" w14:textId="70555437" w:rsidR="00A7780A" w:rsidRPr="00147D0A" w:rsidRDefault="00A7780A" w:rsidP="00DC751D">
            <w:pPr>
              <w:jc w:val="center"/>
              <w:rPr>
                <w:rFonts w:ascii="Arial Hebrew" w:hAnsi="Arial Hebrew" w:cs="Arial Hebrew"/>
                <w:b/>
                <w:bCs/>
                <w:sz w:val="16"/>
                <w:szCs w:val="16"/>
              </w:rPr>
            </w:pPr>
            <w:r w:rsidRPr="00147D0A">
              <w:rPr>
                <w:rFonts w:ascii="Arial Hebrew" w:hAnsi="Arial Hebrew" w:cs="Arial Hebrew" w:hint="cs"/>
                <w:b/>
                <w:bCs/>
                <w:sz w:val="16"/>
                <w:szCs w:val="16"/>
              </w:rPr>
              <w:t>Countries</w:t>
            </w:r>
            <w:r w:rsidR="009C0DC1" w:rsidRPr="00147D0A">
              <w:rPr>
                <w:rFonts w:ascii="Arial Hebrew" w:hAnsi="Arial Hebrew" w:cs="Arial Hebrew" w:hint="cs"/>
                <w:b/>
                <w:bCs/>
                <w:sz w:val="16"/>
                <w:szCs w:val="16"/>
              </w:rPr>
              <w:t xml:space="preserve"> (Averages)</w:t>
            </w:r>
          </w:p>
        </w:tc>
      </w:tr>
      <w:tr w:rsidR="00A7780A" w:rsidRPr="00147D0A" w14:paraId="54658C3F" w14:textId="2AEE7F25" w:rsidTr="00A06ED9">
        <w:trPr>
          <w:jc w:val="center"/>
        </w:trPr>
        <w:tc>
          <w:tcPr>
            <w:tcW w:w="1276" w:type="dxa"/>
            <w:vMerge w:val="restart"/>
            <w:tcBorders>
              <w:left w:val="nil"/>
              <w:bottom w:val="nil"/>
              <w:right w:val="nil"/>
            </w:tcBorders>
            <w:shd w:val="clear" w:color="auto" w:fill="CAEDFB" w:themeFill="accent4" w:themeFillTint="33"/>
            <w:vAlign w:val="center"/>
          </w:tcPr>
          <w:p w14:paraId="7639BBCF" w14:textId="77777777" w:rsidR="00A7780A" w:rsidRPr="00147D0A" w:rsidRDefault="00A7780A" w:rsidP="002175AB">
            <w:pPr>
              <w:jc w:val="center"/>
              <w:rPr>
                <w:rFonts w:ascii="Arial Hebrew" w:hAnsi="Arial Hebrew" w:cs="Arial Hebrew"/>
                <w:sz w:val="16"/>
                <w:szCs w:val="16"/>
              </w:rPr>
            </w:pPr>
            <w:r w:rsidRPr="00147D0A">
              <w:rPr>
                <w:rFonts w:ascii="Arial Hebrew" w:hAnsi="Arial Hebrew" w:cs="Arial Hebrew" w:hint="cs"/>
                <w:sz w:val="16"/>
                <w:szCs w:val="16"/>
              </w:rPr>
              <w:t>Investment</w:t>
            </w:r>
          </w:p>
        </w:tc>
        <w:tc>
          <w:tcPr>
            <w:tcW w:w="2126" w:type="dxa"/>
            <w:tcBorders>
              <w:left w:val="nil"/>
              <w:bottom w:val="nil"/>
              <w:right w:val="nil"/>
            </w:tcBorders>
            <w:shd w:val="clear" w:color="auto" w:fill="CAEDFB" w:themeFill="accent4" w:themeFillTint="33"/>
            <w:vAlign w:val="center"/>
          </w:tcPr>
          <w:p w14:paraId="1FE6F561"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Prime</w:t>
            </w:r>
          </w:p>
        </w:tc>
        <w:tc>
          <w:tcPr>
            <w:tcW w:w="1305" w:type="dxa"/>
            <w:tcBorders>
              <w:left w:val="nil"/>
              <w:bottom w:val="nil"/>
              <w:right w:val="nil"/>
            </w:tcBorders>
            <w:shd w:val="clear" w:color="auto" w:fill="CAEDFB" w:themeFill="accent4" w:themeFillTint="33"/>
            <w:vAlign w:val="center"/>
          </w:tcPr>
          <w:p w14:paraId="7A604368"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AAA</w:t>
            </w:r>
          </w:p>
        </w:tc>
        <w:tc>
          <w:tcPr>
            <w:tcW w:w="987" w:type="dxa"/>
            <w:tcBorders>
              <w:left w:val="nil"/>
              <w:bottom w:val="nil"/>
              <w:right w:val="nil"/>
            </w:tcBorders>
            <w:shd w:val="clear" w:color="auto" w:fill="CAEDFB" w:themeFill="accent4" w:themeFillTint="33"/>
            <w:vAlign w:val="center"/>
          </w:tcPr>
          <w:p w14:paraId="5A06DD5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Aaa</w:t>
            </w:r>
          </w:p>
        </w:tc>
        <w:tc>
          <w:tcPr>
            <w:tcW w:w="1819" w:type="dxa"/>
            <w:tcBorders>
              <w:left w:val="nil"/>
              <w:bottom w:val="nil"/>
              <w:right w:val="nil"/>
            </w:tcBorders>
            <w:shd w:val="clear" w:color="auto" w:fill="FFFFFF" w:themeFill="background1"/>
          </w:tcPr>
          <w:p w14:paraId="1A908297" w14:textId="15646A5D"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A080C94" w14:textId="34EE8DA8" w:rsidTr="00A06ED9">
        <w:trPr>
          <w:jc w:val="center"/>
        </w:trPr>
        <w:tc>
          <w:tcPr>
            <w:tcW w:w="1276" w:type="dxa"/>
            <w:vMerge/>
            <w:tcBorders>
              <w:top w:val="nil"/>
              <w:left w:val="nil"/>
              <w:bottom w:val="nil"/>
              <w:right w:val="nil"/>
            </w:tcBorders>
            <w:shd w:val="clear" w:color="auto" w:fill="CAEDFB" w:themeFill="accent4" w:themeFillTint="33"/>
            <w:vAlign w:val="center"/>
          </w:tcPr>
          <w:p w14:paraId="56C23795"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DEF3FB"/>
            <w:vAlign w:val="center"/>
          </w:tcPr>
          <w:p w14:paraId="73DB4224"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High Medium Grade</w:t>
            </w:r>
          </w:p>
        </w:tc>
        <w:tc>
          <w:tcPr>
            <w:tcW w:w="1305" w:type="dxa"/>
            <w:tcBorders>
              <w:top w:val="nil"/>
              <w:left w:val="nil"/>
              <w:bottom w:val="nil"/>
              <w:right w:val="nil"/>
            </w:tcBorders>
            <w:shd w:val="clear" w:color="auto" w:fill="DEF3FB"/>
            <w:vAlign w:val="center"/>
          </w:tcPr>
          <w:p w14:paraId="3D85585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w:t>
            </w:r>
          </w:p>
        </w:tc>
        <w:tc>
          <w:tcPr>
            <w:tcW w:w="987" w:type="dxa"/>
            <w:tcBorders>
              <w:top w:val="nil"/>
              <w:left w:val="nil"/>
              <w:bottom w:val="nil"/>
              <w:right w:val="nil"/>
            </w:tcBorders>
            <w:shd w:val="clear" w:color="auto" w:fill="DEF3FB"/>
            <w:vAlign w:val="center"/>
          </w:tcPr>
          <w:p w14:paraId="3F99CADB"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Aa1</w:t>
            </w:r>
          </w:p>
        </w:tc>
        <w:tc>
          <w:tcPr>
            <w:tcW w:w="1819" w:type="dxa"/>
            <w:tcBorders>
              <w:top w:val="nil"/>
              <w:left w:val="nil"/>
              <w:bottom w:val="nil"/>
              <w:right w:val="nil"/>
            </w:tcBorders>
            <w:shd w:val="clear" w:color="auto" w:fill="FFFFFF" w:themeFill="background1"/>
          </w:tcPr>
          <w:p w14:paraId="3EBD45B7" w14:textId="4851378B"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75966476" w14:textId="7E285598" w:rsidTr="00A06ED9">
        <w:trPr>
          <w:jc w:val="center"/>
        </w:trPr>
        <w:tc>
          <w:tcPr>
            <w:tcW w:w="1276" w:type="dxa"/>
            <w:vMerge/>
            <w:tcBorders>
              <w:top w:val="nil"/>
              <w:left w:val="nil"/>
              <w:bottom w:val="nil"/>
              <w:right w:val="nil"/>
            </w:tcBorders>
            <w:shd w:val="clear" w:color="auto" w:fill="CAEDFB" w:themeFill="accent4" w:themeFillTint="33"/>
            <w:vAlign w:val="center"/>
          </w:tcPr>
          <w:p w14:paraId="71D73525"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DEF3FB"/>
            <w:vAlign w:val="center"/>
          </w:tcPr>
          <w:p w14:paraId="681ED329"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DEF3FB"/>
            <w:vAlign w:val="center"/>
          </w:tcPr>
          <w:p w14:paraId="0197BC5E"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w:t>
            </w:r>
          </w:p>
        </w:tc>
        <w:tc>
          <w:tcPr>
            <w:tcW w:w="987" w:type="dxa"/>
            <w:tcBorders>
              <w:top w:val="nil"/>
              <w:left w:val="nil"/>
              <w:bottom w:val="nil"/>
              <w:right w:val="nil"/>
            </w:tcBorders>
            <w:shd w:val="clear" w:color="auto" w:fill="DEF3FB"/>
            <w:vAlign w:val="center"/>
          </w:tcPr>
          <w:p w14:paraId="352207EA"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Aa2</w:t>
            </w:r>
          </w:p>
        </w:tc>
        <w:tc>
          <w:tcPr>
            <w:tcW w:w="1819" w:type="dxa"/>
            <w:tcBorders>
              <w:top w:val="nil"/>
              <w:left w:val="nil"/>
              <w:bottom w:val="nil"/>
              <w:right w:val="nil"/>
            </w:tcBorders>
            <w:shd w:val="clear" w:color="auto" w:fill="FFFFFF" w:themeFill="background1"/>
          </w:tcPr>
          <w:p w14:paraId="6C68996F" w14:textId="6ECCAD74"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91B13DA" w14:textId="03D322DA" w:rsidTr="00A06ED9">
        <w:trPr>
          <w:jc w:val="center"/>
        </w:trPr>
        <w:tc>
          <w:tcPr>
            <w:tcW w:w="1276" w:type="dxa"/>
            <w:vMerge/>
            <w:tcBorders>
              <w:top w:val="nil"/>
              <w:left w:val="nil"/>
              <w:bottom w:val="nil"/>
              <w:right w:val="nil"/>
            </w:tcBorders>
            <w:shd w:val="clear" w:color="auto" w:fill="CAEDFB" w:themeFill="accent4" w:themeFillTint="33"/>
            <w:vAlign w:val="center"/>
          </w:tcPr>
          <w:p w14:paraId="25990103"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DEF3FB"/>
            <w:vAlign w:val="center"/>
          </w:tcPr>
          <w:p w14:paraId="79C88ECD"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DEF3FB"/>
            <w:vAlign w:val="center"/>
          </w:tcPr>
          <w:p w14:paraId="1E1B4FF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w:t>
            </w:r>
          </w:p>
        </w:tc>
        <w:tc>
          <w:tcPr>
            <w:tcW w:w="987" w:type="dxa"/>
            <w:tcBorders>
              <w:top w:val="nil"/>
              <w:left w:val="nil"/>
              <w:bottom w:val="nil"/>
              <w:right w:val="nil"/>
            </w:tcBorders>
            <w:shd w:val="clear" w:color="auto" w:fill="DEF3FB"/>
            <w:vAlign w:val="center"/>
          </w:tcPr>
          <w:p w14:paraId="18D6F25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Aa3</w:t>
            </w:r>
          </w:p>
        </w:tc>
        <w:tc>
          <w:tcPr>
            <w:tcW w:w="1819" w:type="dxa"/>
            <w:tcBorders>
              <w:top w:val="nil"/>
              <w:left w:val="nil"/>
              <w:bottom w:val="nil"/>
              <w:right w:val="nil"/>
            </w:tcBorders>
            <w:shd w:val="clear" w:color="auto" w:fill="FFFFFF" w:themeFill="background1"/>
          </w:tcPr>
          <w:p w14:paraId="55ECAB7C" w14:textId="3D2732CD"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46FF804A" w14:textId="737B86EA" w:rsidTr="00A06ED9">
        <w:trPr>
          <w:jc w:val="center"/>
        </w:trPr>
        <w:tc>
          <w:tcPr>
            <w:tcW w:w="1276" w:type="dxa"/>
            <w:vMerge/>
            <w:tcBorders>
              <w:top w:val="nil"/>
              <w:left w:val="nil"/>
              <w:bottom w:val="nil"/>
              <w:right w:val="nil"/>
            </w:tcBorders>
            <w:shd w:val="clear" w:color="auto" w:fill="CAEDFB" w:themeFill="accent4" w:themeFillTint="33"/>
            <w:vAlign w:val="center"/>
          </w:tcPr>
          <w:p w14:paraId="6ED5406C"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EEF8FB"/>
            <w:vAlign w:val="center"/>
          </w:tcPr>
          <w:p w14:paraId="06157236"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Upper Medium Grade</w:t>
            </w:r>
          </w:p>
        </w:tc>
        <w:tc>
          <w:tcPr>
            <w:tcW w:w="1305" w:type="dxa"/>
            <w:tcBorders>
              <w:top w:val="nil"/>
              <w:left w:val="nil"/>
              <w:bottom w:val="nil"/>
              <w:right w:val="nil"/>
            </w:tcBorders>
            <w:shd w:val="clear" w:color="auto" w:fill="EEF8FB"/>
            <w:vAlign w:val="center"/>
          </w:tcPr>
          <w:p w14:paraId="7FCB4892"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w:t>
            </w:r>
          </w:p>
        </w:tc>
        <w:tc>
          <w:tcPr>
            <w:tcW w:w="987" w:type="dxa"/>
            <w:tcBorders>
              <w:top w:val="nil"/>
              <w:left w:val="nil"/>
              <w:bottom w:val="nil"/>
              <w:right w:val="nil"/>
            </w:tcBorders>
            <w:shd w:val="clear" w:color="auto" w:fill="EEF8FB"/>
            <w:vAlign w:val="center"/>
          </w:tcPr>
          <w:p w14:paraId="34AC09C4"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A1</w:t>
            </w:r>
          </w:p>
        </w:tc>
        <w:tc>
          <w:tcPr>
            <w:tcW w:w="1819" w:type="dxa"/>
            <w:tcBorders>
              <w:top w:val="nil"/>
              <w:left w:val="nil"/>
              <w:bottom w:val="nil"/>
              <w:right w:val="nil"/>
            </w:tcBorders>
            <w:shd w:val="clear" w:color="auto" w:fill="FFFFFF" w:themeFill="background1"/>
          </w:tcPr>
          <w:p w14:paraId="64F3BB29" w14:textId="36C3F18A"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2AE99062" w14:textId="75601358" w:rsidTr="00A06ED9">
        <w:trPr>
          <w:jc w:val="center"/>
        </w:trPr>
        <w:tc>
          <w:tcPr>
            <w:tcW w:w="1276" w:type="dxa"/>
            <w:vMerge/>
            <w:tcBorders>
              <w:top w:val="nil"/>
              <w:left w:val="nil"/>
              <w:bottom w:val="nil"/>
              <w:right w:val="nil"/>
            </w:tcBorders>
            <w:shd w:val="clear" w:color="auto" w:fill="CAEDFB" w:themeFill="accent4" w:themeFillTint="33"/>
            <w:vAlign w:val="center"/>
          </w:tcPr>
          <w:p w14:paraId="52E979CA"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EEF8FB"/>
            <w:vAlign w:val="center"/>
          </w:tcPr>
          <w:p w14:paraId="61F20B3B"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EEF8FB"/>
            <w:vAlign w:val="center"/>
          </w:tcPr>
          <w:p w14:paraId="1DA5AFE7"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w:t>
            </w:r>
          </w:p>
        </w:tc>
        <w:tc>
          <w:tcPr>
            <w:tcW w:w="987" w:type="dxa"/>
            <w:tcBorders>
              <w:top w:val="nil"/>
              <w:left w:val="nil"/>
              <w:bottom w:val="nil"/>
              <w:right w:val="nil"/>
            </w:tcBorders>
            <w:shd w:val="clear" w:color="auto" w:fill="EEF8FB"/>
            <w:vAlign w:val="center"/>
          </w:tcPr>
          <w:p w14:paraId="7859DFBF"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A2</w:t>
            </w:r>
          </w:p>
        </w:tc>
        <w:tc>
          <w:tcPr>
            <w:tcW w:w="1819" w:type="dxa"/>
            <w:tcBorders>
              <w:top w:val="nil"/>
              <w:left w:val="nil"/>
              <w:bottom w:val="nil"/>
              <w:right w:val="nil"/>
            </w:tcBorders>
            <w:shd w:val="clear" w:color="auto" w:fill="FFFFFF" w:themeFill="background1"/>
          </w:tcPr>
          <w:p w14:paraId="01D3160D" w14:textId="407269F5"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4B9EDC88" w14:textId="1A01A699" w:rsidTr="00A06ED9">
        <w:trPr>
          <w:jc w:val="center"/>
        </w:trPr>
        <w:tc>
          <w:tcPr>
            <w:tcW w:w="1276" w:type="dxa"/>
            <w:vMerge/>
            <w:tcBorders>
              <w:top w:val="nil"/>
              <w:left w:val="nil"/>
              <w:bottom w:val="nil"/>
              <w:right w:val="nil"/>
            </w:tcBorders>
            <w:shd w:val="clear" w:color="auto" w:fill="CAEDFB" w:themeFill="accent4" w:themeFillTint="33"/>
            <w:vAlign w:val="center"/>
          </w:tcPr>
          <w:p w14:paraId="5D54CBF4"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EEF8FB"/>
            <w:vAlign w:val="center"/>
          </w:tcPr>
          <w:p w14:paraId="19212D01"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EEF8FB"/>
            <w:vAlign w:val="center"/>
          </w:tcPr>
          <w:p w14:paraId="28C83F47"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w:t>
            </w:r>
          </w:p>
        </w:tc>
        <w:tc>
          <w:tcPr>
            <w:tcW w:w="987" w:type="dxa"/>
            <w:tcBorders>
              <w:top w:val="nil"/>
              <w:left w:val="nil"/>
              <w:bottom w:val="nil"/>
              <w:right w:val="nil"/>
            </w:tcBorders>
            <w:shd w:val="clear" w:color="auto" w:fill="EEF8FB"/>
            <w:vAlign w:val="center"/>
          </w:tcPr>
          <w:p w14:paraId="25305E5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A3</w:t>
            </w:r>
          </w:p>
        </w:tc>
        <w:tc>
          <w:tcPr>
            <w:tcW w:w="1819" w:type="dxa"/>
            <w:tcBorders>
              <w:top w:val="nil"/>
              <w:left w:val="nil"/>
              <w:bottom w:val="nil"/>
              <w:right w:val="nil"/>
            </w:tcBorders>
            <w:shd w:val="clear" w:color="auto" w:fill="FFFFFF" w:themeFill="background1"/>
          </w:tcPr>
          <w:p w14:paraId="4C610610" w14:textId="2BA33C71"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0B6D348" w14:textId="4132736C" w:rsidTr="00A06ED9">
        <w:trPr>
          <w:jc w:val="center"/>
        </w:trPr>
        <w:tc>
          <w:tcPr>
            <w:tcW w:w="1276" w:type="dxa"/>
            <w:vMerge/>
            <w:tcBorders>
              <w:top w:val="nil"/>
              <w:left w:val="nil"/>
              <w:bottom w:val="nil"/>
              <w:right w:val="nil"/>
            </w:tcBorders>
            <w:shd w:val="clear" w:color="auto" w:fill="CAEDFB" w:themeFill="accent4" w:themeFillTint="33"/>
            <w:vAlign w:val="center"/>
          </w:tcPr>
          <w:p w14:paraId="287F3376"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7FAFB"/>
            <w:vAlign w:val="center"/>
          </w:tcPr>
          <w:p w14:paraId="32E5F87B"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Lower Medium Grade</w:t>
            </w:r>
          </w:p>
        </w:tc>
        <w:tc>
          <w:tcPr>
            <w:tcW w:w="1305" w:type="dxa"/>
            <w:tcBorders>
              <w:top w:val="nil"/>
              <w:left w:val="nil"/>
              <w:bottom w:val="nil"/>
              <w:right w:val="nil"/>
            </w:tcBorders>
            <w:shd w:val="clear" w:color="auto" w:fill="F7FAFB"/>
            <w:vAlign w:val="center"/>
          </w:tcPr>
          <w:p w14:paraId="3B7A4C84"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BBB+</w:t>
            </w:r>
          </w:p>
        </w:tc>
        <w:tc>
          <w:tcPr>
            <w:tcW w:w="987" w:type="dxa"/>
            <w:tcBorders>
              <w:top w:val="nil"/>
              <w:left w:val="nil"/>
              <w:bottom w:val="nil"/>
              <w:right w:val="nil"/>
            </w:tcBorders>
            <w:shd w:val="clear" w:color="auto" w:fill="F7FAFB"/>
            <w:vAlign w:val="center"/>
          </w:tcPr>
          <w:p w14:paraId="5DD648E1"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Baa1</w:t>
            </w:r>
          </w:p>
        </w:tc>
        <w:tc>
          <w:tcPr>
            <w:tcW w:w="1819" w:type="dxa"/>
            <w:tcBorders>
              <w:top w:val="nil"/>
              <w:left w:val="nil"/>
              <w:bottom w:val="nil"/>
              <w:right w:val="nil"/>
            </w:tcBorders>
            <w:shd w:val="clear" w:color="auto" w:fill="FFFFFF" w:themeFill="background1"/>
          </w:tcPr>
          <w:p w14:paraId="4782C762" w14:textId="3ACC1D1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0A318DDD" w14:textId="7F27C993" w:rsidTr="00A06ED9">
        <w:trPr>
          <w:jc w:val="center"/>
        </w:trPr>
        <w:tc>
          <w:tcPr>
            <w:tcW w:w="1276" w:type="dxa"/>
            <w:vMerge/>
            <w:tcBorders>
              <w:top w:val="nil"/>
              <w:left w:val="nil"/>
              <w:bottom w:val="nil"/>
              <w:right w:val="nil"/>
            </w:tcBorders>
            <w:shd w:val="clear" w:color="auto" w:fill="CAEDFB" w:themeFill="accent4" w:themeFillTint="33"/>
            <w:vAlign w:val="center"/>
          </w:tcPr>
          <w:p w14:paraId="00D42815"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7FAFB"/>
            <w:vAlign w:val="center"/>
          </w:tcPr>
          <w:p w14:paraId="66126693"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7FAFB"/>
            <w:vAlign w:val="center"/>
          </w:tcPr>
          <w:p w14:paraId="6AF5FC89"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BBB</w:t>
            </w:r>
          </w:p>
        </w:tc>
        <w:tc>
          <w:tcPr>
            <w:tcW w:w="987" w:type="dxa"/>
            <w:tcBorders>
              <w:top w:val="nil"/>
              <w:left w:val="nil"/>
              <w:bottom w:val="nil"/>
              <w:right w:val="nil"/>
            </w:tcBorders>
            <w:shd w:val="clear" w:color="auto" w:fill="F7FAFB"/>
            <w:vAlign w:val="center"/>
          </w:tcPr>
          <w:p w14:paraId="79E6114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Baa2</w:t>
            </w:r>
          </w:p>
        </w:tc>
        <w:tc>
          <w:tcPr>
            <w:tcW w:w="1819" w:type="dxa"/>
            <w:tcBorders>
              <w:top w:val="nil"/>
              <w:left w:val="nil"/>
              <w:bottom w:val="nil"/>
              <w:right w:val="nil"/>
            </w:tcBorders>
            <w:shd w:val="clear" w:color="auto" w:fill="FFFFFF" w:themeFill="background1"/>
          </w:tcPr>
          <w:p w14:paraId="346CF77A" w14:textId="02D42EC1"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4FFE6047" w14:textId="535ECC86" w:rsidTr="00A06ED9">
        <w:trPr>
          <w:jc w:val="center"/>
        </w:trPr>
        <w:tc>
          <w:tcPr>
            <w:tcW w:w="1276" w:type="dxa"/>
            <w:vMerge/>
            <w:tcBorders>
              <w:top w:val="nil"/>
              <w:left w:val="nil"/>
              <w:bottom w:val="single" w:sz="2" w:space="0" w:color="ADADAD" w:themeColor="background2" w:themeShade="BF"/>
              <w:right w:val="nil"/>
            </w:tcBorders>
            <w:shd w:val="clear" w:color="auto" w:fill="CAEDFB" w:themeFill="accent4" w:themeFillTint="33"/>
            <w:vAlign w:val="center"/>
          </w:tcPr>
          <w:p w14:paraId="2A1C0C43"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single" w:sz="2" w:space="0" w:color="ADADAD" w:themeColor="background2" w:themeShade="BF"/>
              <w:right w:val="nil"/>
            </w:tcBorders>
            <w:shd w:val="clear" w:color="auto" w:fill="F7FAFB"/>
            <w:vAlign w:val="center"/>
          </w:tcPr>
          <w:p w14:paraId="110F29EE"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single" w:sz="2" w:space="0" w:color="ADADAD" w:themeColor="background2" w:themeShade="BF"/>
              <w:right w:val="nil"/>
            </w:tcBorders>
            <w:shd w:val="clear" w:color="auto" w:fill="F7FAFB"/>
            <w:vAlign w:val="center"/>
          </w:tcPr>
          <w:p w14:paraId="0DC83CC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BBB-</w:t>
            </w:r>
          </w:p>
        </w:tc>
        <w:tc>
          <w:tcPr>
            <w:tcW w:w="987" w:type="dxa"/>
            <w:tcBorders>
              <w:top w:val="nil"/>
              <w:left w:val="nil"/>
              <w:bottom w:val="single" w:sz="2" w:space="0" w:color="ADADAD" w:themeColor="background2" w:themeShade="BF"/>
              <w:right w:val="nil"/>
            </w:tcBorders>
            <w:shd w:val="clear" w:color="auto" w:fill="F7FAFB"/>
            <w:vAlign w:val="center"/>
          </w:tcPr>
          <w:p w14:paraId="55D10D77"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Baa3</w:t>
            </w:r>
          </w:p>
        </w:tc>
        <w:tc>
          <w:tcPr>
            <w:tcW w:w="1819" w:type="dxa"/>
            <w:tcBorders>
              <w:top w:val="nil"/>
              <w:left w:val="nil"/>
              <w:bottom w:val="single" w:sz="2" w:space="0" w:color="ADADAD" w:themeColor="background2" w:themeShade="BF"/>
              <w:right w:val="nil"/>
            </w:tcBorders>
            <w:shd w:val="clear" w:color="auto" w:fill="FFFFFF" w:themeFill="background1"/>
          </w:tcPr>
          <w:p w14:paraId="76D91C46" w14:textId="4396F441"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1346C14B" w14:textId="021EA358" w:rsidTr="00A06ED9">
        <w:trPr>
          <w:jc w:val="center"/>
        </w:trPr>
        <w:tc>
          <w:tcPr>
            <w:tcW w:w="1276" w:type="dxa"/>
            <w:vMerge w:val="restart"/>
            <w:tcBorders>
              <w:top w:val="single" w:sz="2" w:space="0" w:color="ADADAD" w:themeColor="background2" w:themeShade="BF"/>
              <w:left w:val="nil"/>
              <w:bottom w:val="nil"/>
              <w:right w:val="nil"/>
            </w:tcBorders>
            <w:shd w:val="clear" w:color="auto" w:fill="FFDBFE"/>
            <w:vAlign w:val="center"/>
          </w:tcPr>
          <w:p w14:paraId="6CC059A9" w14:textId="7ED5FE45" w:rsidR="00A7780A" w:rsidRPr="00147D0A" w:rsidRDefault="00A7780A" w:rsidP="002175AB">
            <w:pPr>
              <w:jc w:val="center"/>
              <w:rPr>
                <w:rFonts w:ascii="Arial Hebrew" w:hAnsi="Arial Hebrew" w:cs="Arial Hebrew"/>
                <w:sz w:val="16"/>
                <w:szCs w:val="16"/>
              </w:rPr>
            </w:pPr>
            <w:r w:rsidRPr="00147D0A">
              <w:rPr>
                <w:rFonts w:ascii="Arial Hebrew" w:hAnsi="Arial Hebrew" w:cs="Arial Hebrew" w:hint="cs"/>
                <w:sz w:val="16"/>
                <w:szCs w:val="16"/>
              </w:rPr>
              <w:t>Speculative</w:t>
            </w:r>
          </w:p>
        </w:tc>
        <w:tc>
          <w:tcPr>
            <w:tcW w:w="2126" w:type="dxa"/>
            <w:vMerge w:val="restart"/>
            <w:tcBorders>
              <w:top w:val="single" w:sz="2" w:space="0" w:color="ADADAD" w:themeColor="background2" w:themeShade="BF"/>
              <w:left w:val="nil"/>
              <w:bottom w:val="nil"/>
              <w:right w:val="nil"/>
            </w:tcBorders>
            <w:shd w:val="clear" w:color="auto" w:fill="FFF8FF"/>
            <w:vAlign w:val="center"/>
          </w:tcPr>
          <w:p w14:paraId="2A3C8861"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Speculative</w:t>
            </w:r>
          </w:p>
        </w:tc>
        <w:tc>
          <w:tcPr>
            <w:tcW w:w="1305" w:type="dxa"/>
            <w:tcBorders>
              <w:top w:val="single" w:sz="2" w:space="0" w:color="ADADAD" w:themeColor="background2" w:themeShade="BF"/>
              <w:left w:val="nil"/>
              <w:bottom w:val="nil"/>
              <w:right w:val="nil"/>
            </w:tcBorders>
            <w:shd w:val="clear" w:color="auto" w:fill="FFF8FF"/>
            <w:vAlign w:val="center"/>
          </w:tcPr>
          <w:p w14:paraId="6F48BEF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w:t>
            </w:r>
          </w:p>
        </w:tc>
        <w:tc>
          <w:tcPr>
            <w:tcW w:w="987" w:type="dxa"/>
            <w:tcBorders>
              <w:top w:val="single" w:sz="2" w:space="0" w:color="ADADAD" w:themeColor="background2" w:themeShade="BF"/>
              <w:left w:val="nil"/>
              <w:bottom w:val="nil"/>
              <w:right w:val="nil"/>
            </w:tcBorders>
            <w:shd w:val="clear" w:color="auto" w:fill="FFF8FF"/>
            <w:vAlign w:val="center"/>
          </w:tcPr>
          <w:p w14:paraId="54D1E4E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Ba1</w:t>
            </w:r>
          </w:p>
        </w:tc>
        <w:tc>
          <w:tcPr>
            <w:tcW w:w="1819" w:type="dxa"/>
            <w:tcBorders>
              <w:top w:val="single" w:sz="2" w:space="0" w:color="ADADAD" w:themeColor="background2" w:themeShade="BF"/>
              <w:left w:val="nil"/>
              <w:bottom w:val="nil"/>
              <w:right w:val="nil"/>
            </w:tcBorders>
            <w:shd w:val="clear" w:color="auto" w:fill="FFFFFF" w:themeFill="background1"/>
          </w:tcPr>
          <w:p w14:paraId="6C6D0876" w14:textId="3C65F63B"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2FA89481" w14:textId="2DEA7821" w:rsidTr="00A06ED9">
        <w:trPr>
          <w:jc w:val="center"/>
        </w:trPr>
        <w:tc>
          <w:tcPr>
            <w:tcW w:w="1276" w:type="dxa"/>
            <w:vMerge/>
            <w:tcBorders>
              <w:top w:val="nil"/>
              <w:left w:val="nil"/>
              <w:bottom w:val="nil"/>
              <w:right w:val="nil"/>
            </w:tcBorders>
            <w:shd w:val="clear" w:color="auto" w:fill="FFDBFE"/>
            <w:vAlign w:val="center"/>
          </w:tcPr>
          <w:p w14:paraId="1C721225"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F8FF"/>
            <w:vAlign w:val="center"/>
          </w:tcPr>
          <w:p w14:paraId="5F2EDC3F"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F8FF"/>
            <w:vAlign w:val="center"/>
          </w:tcPr>
          <w:p w14:paraId="23C44FAE"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w:t>
            </w:r>
          </w:p>
        </w:tc>
        <w:tc>
          <w:tcPr>
            <w:tcW w:w="987" w:type="dxa"/>
            <w:tcBorders>
              <w:top w:val="nil"/>
              <w:left w:val="nil"/>
              <w:bottom w:val="nil"/>
              <w:right w:val="nil"/>
            </w:tcBorders>
            <w:shd w:val="clear" w:color="auto" w:fill="FFF8FF"/>
            <w:vAlign w:val="center"/>
          </w:tcPr>
          <w:p w14:paraId="3D31842D"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Ba2</w:t>
            </w:r>
          </w:p>
        </w:tc>
        <w:tc>
          <w:tcPr>
            <w:tcW w:w="1819" w:type="dxa"/>
            <w:tcBorders>
              <w:top w:val="nil"/>
              <w:left w:val="nil"/>
              <w:bottom w:val="nil"/>
              <w:right w:val="nil"/>
            </w:tcBorders>
            <w:shd w:val="clear" w:color="auto" w:fill="FFFFFF" w:themeFill="background1"/>
          </w:tcPr>
          <w:p w14:paraId="170F4B8E" w14:textId="1D417D9C"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2050000F" w14:textId="40D23797" w:rsidTr="00A06ED9">
        <w:trPr>
          <w:jc w:val="center"/>
        </w:trPr>
        <w:tc>
          <w:tcPr>
            <w:tcW w:w="1276" w:type="dxa"/>
            <w:vMerge/>
            <w:tcBorders>
              <w:top w:val="nil"/>
              <w:left w:val="nil"/>
              <w:bottom w:val="nil"/>
              <w:right w:val="nil"/>
            </w:tcBorders>
            <w:shd w:val="clear" w:color="auto" w:fill="FFDBFE"/>
            <w:vAlign w:val="center"/>
          </w:tcPr>
          <w:p w14:paraId="7155F0C0"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F8FF"/>
            <w:vAlign w:val="center"/>
          </w:tcPr>
          <w:p w14:paraId="0901F86E"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F8FF"/>
            <w:vAlign w:val="center"/>
          </w:tcPr>
          <w:p w14:paraId="2BA43F0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BB-</w:t>
            </w:r>
          </w:p>
        </w:tc>
        <w:tc>
          <w:tcPr>
            <w:tcW w:w="987" w:type="dxa"/>
            <w:tcBorders>
              <w:top w:val="nil"/>
              <w:left w:val="nil"/>
              <w:bottom w:val="nil"/>
              <w:right w:val="nil"/>
            </w:tcBorders>
            <w:shd w:val="clear" w:color="auto" w:fill="FFF8FF"/>
            <w:vAlign w:val="center"/>
          </w:tcPr>
          <w:p w14:paraId="571373D8"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Ba3</w:t>
            </w:r>
          </w:p>
        </w:tc>
        <w:tc>
          <w:tcPr>
            <w:tcW w:w="1819" w:type="dxa"/>
            <w:tcBorders>
              <w:top w:val="nil"/>
              <w:left w:val="nil"/>
              <w:bottom w:val="nil"/>
              <w:right w:val="nil"/>
            </w:tcBorders>
            <w:shd w:val="clear" w:color="auto" w:fill="FFFFFF" w:themeFill="background1"/>
          </w:tcPr>
          <w:p w14:paraId="5BAB6DC0" w14:textId="09263826"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7199F234" w14:textId="5A9E4D0B" w:rsidTr="00A06ED9">
        <w:trPr>
          <w:jc w:val="center"/>
        </w:trPr>
        <w:tc>
          <w:tcPr>
            <w:tcW w:w="1276" w:type="dxa"/>
            <w:vMerge/>
            <w:tcBorders>
              <w:top w:val="nil"/>
              <w:left w:val="nil"/>
              <w:bottom w:val="nil"/>
              <w:right w:val="nil"/>
            </w:tcBorders>
            <w:shd w:val="clear" w:color="auto" w:fill="FFDBFE"/>
            <w:vAlign w:val="center"/>
          </w:tcPr>
          <w:p w14:paraId="381F0A14"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FEEFF"/>
            <w:vAlign w:val="center"/>
          </w:tcPr>
          <w:p w14:paraId="19D277CF"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Highly Speculative</w:t>
            </w:r>
          </w:p>
        </w:tc>
        <w:tc>
          <w:tcPr>
            <w:tcW w:w="1305" w:type="dxa"/>
            <w:tcBorders>
              <w:top w:val="nil"/>
              <w:left w:val="nil"/>
              <w:bottom w:val="nil"/>
              <w:right w:val="nil"/>
            </w:tcBorders>
            <w:shd w:val="clear" w:color="auto" w:fill="FFEEFF"/>
            <w:vAlign w:val="center"/>
          </w:tcPr>
          <w:p w14:paraId="3A4B122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w:t>
            </w:r>
          </w:p>
        </w:tc>
        <w:tc>
          <w:tcPr>
            <w:tcW w:w="987" w:type="dxa"/>
            <w:tcBorders>
              <w:top w:val="nil"/>
              <w:left w:val="nil"/>
              <w:bottom w:val="nil"/>
              <w:right w:val="nil"/>
            </w:tcBorders>
            <w:shd w:val="clear" w:color="auto" w:fill="FFEEFF"/>
            <w:vAlign w:val="center"/>
          </w:tcPr>
          <w:p w14:paraId="6D04F0E2"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B1</w:t>
            </w:r>
          </w:p>
        </w:tc>
        <w:tc>
          <w:tcPr>
            <w:tcW w:w="1819" w:type="dxa"/>
            <w:tcBorders>
              <w:top w:val="nil"/>
              <w:left w:val="nil"/>
              <w:bottom w:val="nil"/>
              <w:right w:val="nil"/>
            </w:tcBorders>
            <w:shd w:val="clear" w:color="auto" w:fill="FFFFFF" w:themeFill="background1"/>
          </w:tcPr>
          <w:p w14:paraId="05FE873A" w14:textId="49504BA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2800C981" w14:textId="10966296" w:rsidTr="00A06ED9">
        <w:trPr>
          <w:jc w:val="center"/>
        </w:trPr>
        <w:tc>
          <w:tcPr>
            <w:tcW w:w="1276" w:type="dxa"/>
            <w:vMerge/>
            <w:tcBorders>
              <w:top w:val="nil"/>
              <w:left w:val="nil"/>
              <w:bottom w:val="nil"/>
              <w:right w:val="nil"/>
            </w:tcBorders>
            <w:shd w:val="clear" w:color="auto" w:fill="FFDBFE"/>
            <w:vAlign w:val="center"/>
          </w:tcPr>
          <w:p w14:paraId="39EDA881"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EFF"/>
            <w:vAlign w:val="center"/>
          </w:tcPr>
          <w:p w14:paraId="6D664131"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EFF"/>
            <w:vAlign w:val="center"/>
          </w:tcPr>
          <w:p w14:paraId="06DFD6F6"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w:t>
            </w:r>
          </w:p>
        </w:tc>
        <w:tc>
          <w:tcPr>
            <w:tcW w:w="987" w:type="dxa"/>
            <w:tcBorders>
              <w:top w:val="nil"/>
              <w:left w:val="nil"/>
              <w:bottom w:val="nil"/>
              <w:right w:val="nil"/>
            </w:tcBorders>
            <w:shd w:val="clear" w:color="auto" w:fill="FFEEFF"/>
            <w:vAlign w:val="center"/>
          </w:tcPr>
          <w:p w14:paraId="54464CE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B2</w:t>
            </w:r>
          </w:p>
        </w:tc>
        <w:tc>
          <w:tcPr>
            <w:tcW w:w="1819" w:type="dxa"/>
            <w:tcBorders>
              <w:top w:val="nil"/>
              <w:left w:val="nil"/>
              <w:bottom w:val="nil"/>
              <w:right w:val="nil"/>
            </w:tcBorders>
            <w:shd w:val="clear" w:color="auto" w:fill="FFFFFF" w:themeFill="background1"/>
          </w:tcPr>
          <w:p w14:paraId="7450D5E7" w14:textId="71F94000"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1CDCB753" w14:textId="5C2AEEB6" w:rsidTr="00A06ED9">
        <w:trPr>
          <w:jc w:val="center"/>
        </w:trPr>
        <w:tc>
          <w:tcPr>
            <w:tcW w:w="1276" w:type="dxa"/>
            <w:vMerge/>
            <w:tcBorders>
              <w:top w:val="nil"/>
              <w:left w:val="nil"/>
              <w:bottom w:val="nil"/>
              <w:right w:val="nil"/>
            </w:tcBorders>
            <w:shd w:val="clear" w:color="auto" w:fill="FFDBFE"/>
            <w:vAlign w:val="center"/>
          </w:tcPr>
          <w:p w14:paraId="413F2B50"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EFF"/>
            <w:vAlign w:val="center"/>
          </w:tcPr>
          <w:p w14:paraId="2F6D608C"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EFF"/>
            <w:vAlign w:val="center"/>
          </w:tcPr>
          <w:p w14:paraId="121DB573"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w:t>
            </w:r>
          </w:p>
        </w:tc>
        <w:tc>
          <w:tcPr>
            <w:tcW w:w="987" w:type="dxa"/>
            <w:tcBorders>
              <w:top w:val="nil"/>
              <w:left w:val="nil"/>
              <w:bottom w:val="nil"/>
              <w:right w:val="nil"/>
            </w:tcBorders>
            <w:shd w:val="clear" w:color="auto" w:fill="FFEEFF"/>
            <w:vAlign w:val="center"/>
          </w:tcPr>
          <w:p w14:paraId="18C6C769"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B3</w:t>
            </w:r>
          </w:p>
        </w:tc>
        <w:tc>
          <w:tcPr>
            <w:tcW w:w="1819" w:type="dxa"/>
            <w:tcBorders>
              <w:top w:val="nil"/>
              <w:left w:val="nil"/>
              <w:bottom w:val="nil"/>
              <w:right w:val="nil"/>
            </w:tcBorders>
            <w:shd w:val="clear" w:color="auto" w:fill="FFFFFF" w:themeFill="background1"/>
          </w:tcPr>
          <w:p w14:paraId="76149641" w14:textId="5D8935C4"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743FFE51" w14:textId="0ED52929" w:rsidTr="00A06ED9">
        <w:trPr>
          <w:jc w:val="center"/>
        </w:trPr>
        <w:tc>
          <w:tcPr>
            <w:tcW w:w="1276" w:type="dxa"/>
            <w:vMerge/>
            <w:tcBorders>
              <w:top w:val="nil"/>
              <w:left w:val="nil"/>
              <w:bottom w:val="nil"/>
              <w:right w:val="nil"/>
            </w:tcBorders>
            <w:shd w:val="clear" w:color="auto" w:fill="FFDBFE"/>
            <w:vAlign w:val="center"/>
          </w:tcPr>
          <w:p w14:paraId="5A71BD1F"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FE6FF"/>
            <w:vAlign w:val="center"/>
          </w:tcPr>
          <w:p w14:paraId="58714386"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Substantial Risk</w:t>
            </w:r>
          </w:p>
        </w:tc>
        <w:tc>
          <w:tcPr>
            <w:tcW w:w="1305" w:type="dxa"/>
            <w:tcBorders>
              <w:top w:val="nil"/>
              <w:left w:val="nil"/>
              <w:bottom w:val="nil"/>
              <w:right w:val="nil"/>
            </w:tcBorders>
            <w:shd w:val="clear" w:color="auto" w:fill="FFE6FF"/>
            <w:vAlign w:val="center"/>
          </w:tcPr>
          <w:p w14:paraId="0C384FCA"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CCC+</w:t>
            </w:r>
          </w:p>
        </w:tc>
        <w:tc>
          <w:tcPr>
            <w:tcW w:w="987" w:type="dxa"/>
            <w:tcBorders>
              <w:top w:val="nil"/>
              <w:left w:val="nil"/>
              <w:bottom w:val="nil"/>
              <w:right w:val="nil"/>
            </w:tcBorders>
            <w:shd w:val="clear" w:color="auto" w:fill="FFE6FF"/>
            <w:vAlign w:val="center"/>
          </w:tcPr>
          <w:p w14:paraId="67599F4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Caa1</w:t>
            </w:r>
          </w:p>
        </w:tc>
        <w:tc>
          <w:tcPr>
            <w:tcW w:w="1819" w:type="dxa"/>
            <w:tcBorders>
              <w:top w:val="nil"/>
              <w:left w:val="nil"/>
              <w:bottom w:val="nil"/>
              <w:right w:val="nil"/>
            </w:tcBorders>
            <w:shd w:val="clear" w:color="auto" w:fill="FFFFFF" w:themeFill="background1"/>
          </w:tcPr>
          <w:p w14:paraId="2298D2CD" w14:textId="38913A70"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7631C6FB" w14:textId="5BDBD232" w:rsidTr="00A06ED9">
        <w:trPr>
          <w:jc w:val="center"/>
        </w:trPr>
        <w:tc>
          <w:tcPr>
            <w:tcW w:w="1276" w:type="dxa"/>
            <w:vMerge/>
            <w:tcBorders>
              <w:top w:val="nil"/>
              <w:left w:val="nil"/>
              <w:bottom w:val="nil"/>
              <w:right w:val="nil"/>
            </w:tcBorders>
            <w:shd w:val="clear" w:color="auto" w:fill="FFDBFE"/>
            <w:vAlign w:val="center"/>
          </w:tcPr>
          <w:p w14:paraId="560C6AFA"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6FF"/>
            <w:vAlign w:val="center"/>
          </w:tcPr>
          <w:p w14:paraId="3570D4E8"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6FF"/>
            <w:vAlign w:val="center"/>
          </w:tcPr>
          <w:p w14:paraId="44A4AB30"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CCC</w:t>
            </w:r>
          </w:p>
        </w:tc>
        <w:tc>
          <w:tcPr>
            <w:tcW w:w="987" w:type="dxa"/>
            <w:tcBorders>
              <w:top w:val="nil"/>
              <w:left w:val="nil"/>
              <w:bottom w:val="nil"/>
              <w:right w:val="nil"/>
            </w:tcBorders>
            <w:shd w:val="clear" w:color="auto" w:fill="FFE6FF"/>
            <w:vAlign w:val="center"/>
          </w:tcPr>
          <w:p w14:paraId="7C482148"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Caa2</w:t>
            </w:r>
          </w:p>
        </w:tc>
        <w:tc>
          <w:tcPr>
            <w:tcW w:w="1819" w:type="dxa"/>
            <w:tcBorders>
              <w:top w:val="nil"/>
              <w:left w:val="nil"/>
              <w:bottom w:val="nil"/>
              <w:right w:val="nil"/>
            </w:tcBorders>
            <w:shd w:val="clear" w:color="auto" w:fill="FFFFFF" w:themeFill="background1"/>
          </w:tcPr>
          <w:p w14:paraId="1B1BAC32" w14:textId="77777777" w:rsidR="00A7780A" w:rsidRPr="00147D0A" w:rsidRDefault="00A7780A" w:rsidP="00A7780A">
            <w:pPr>
              <w:rPr>
                <w:rFonts w:ascii="Arial Hebrew" w:hAnsi="Arial Hebrew" w:cs="Arial Hebrew"/>
                <w:sz w:val="13"/>
                <w:szCs w:val="13"/>
              </w:rPr>
            </w:pPr>
          </w:p>
        </w:tc>
      </w:tr>
      <w:tr w:rsidR="00A7780A" w:rsidRPr="00147D0A" w14:paraId="3BF480BD" w14:textId="0FA9C073" w:rsidTr="00A06ED9">
        <w:trPr>
          <w:jc w:val="center"/>
        </w:trPr>
        <w:tc>
          <w:tcPr>
            <w:tcW w:w="1276" w:type="dxa"/>
            <w:vMerge/>
            <w:tcBorders>
              <w:top w:val="nil"/>
              <w:left w:val="nil"/>
              <w:bottom w:val="nil"/>
              <w:right w:val="nil"/>
            </w:tcBorders>
            <w:shd w:val="clear" w:color="auto" w:fill="FFDBFE"/>
            <w:vAlign w:val="center"/>
          </w:tcPr>
          <w:p w14:paraId="6EAB86BD"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E6FF"/>
            <w:vAlign w:val="center"/>
          </w:tcPr>
          <w:p w14:paraId="455CEEBB"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E6FF"/>
            <w:vAlign w:val="center"/>
          </w:tcPr>
          <w:p w14:paraId="193F4F55"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CCC-</w:t>
            </w:r>
          </w:p>
        </w:tc>
        <w:tc>
          <w:tcPr>
            <w:tcW w:w="987" w:type="dxa"/>
            <w:tcBorders>
              <w:top w:val="nil"/>
              <w:left w:val="nil"/>
              <w:bottom w:val="nil"/>
              <w:right w:val="nil"/>
            </w:tcBorders>
            <w:shd w:val="clear" w:color="auto" w:fill="FFE6FF"/>
            <w:vAlign w:val="center"/>
          </w:tcPr>
          <w:p w14:paraId="2CD329BA"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Caa3</w:t>
            </w:r>
          </w:p>
        </w:tc>
        <w:tc>
          <w:tcPr>
            <w:tcW w:w="1819" w:type="dxa"/>
            <w:tcBorders>
              <w:top w:val="nil"/>
              <w:left w:val="nil"/>
              <w:bottom w:val="nil"/>
              <w:right w:val="nil"/>
            </w:tcBorders>
            <w:shd w:val="clear" w:color="auto" w:fill="FFFFFF" w:themeFill="background1"/>
          </w:tcPr>
          <w:p w14:paraId="7E48BDC9" w14:textId="1A12C3B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r w:rsidR="00A7780A" w:rsidRPr="00147D0A" w14:paraId="59563943" w14:textId="47A5C932" w:rsidTr="00A06ED9">
        <w:trPr>
          <w:jc w:val="center"/>
        </w:trPr>
        <w:tc>
          <w:tcPr>
            <w:tcW w:w="1276" w:type="dxa"/>
            <w:vMerge/>
            <w:tcBorders>
              <w:top w:val="nil"/>
              <w:left w:val="nil"/>
              <w:bottom w:val="nil"/>
              <w:right w:val="nil"/>
            </w:tcBorders>
            <w:shd w:val="clear" w:color="auto" w:fill="FFDBFE"/>
            <w:vAlign w:val="center"/>
          </w:tcPr>
          <w:p w14:paraId="2DFBA708" w14:textId="77777777" w:rsidR="00A7780A" w:rsidRPr="00147D0A" w:rsidRDefault="00A7780A" w:rsidP="002175AB">
            <w:pPr>
              <w:jc w:val="center"/>
              <w:rPr>
                <w:rFonts w:ascii="Arial Hebrew" w:hAnsi="Arial Hebrew" w:cs="Arial Hebrew"/>
                <w:sz w:val="16"/>
                <w:szCs w:val="16"/>
              </w:rPr>
            </w:pPr>
          </w:p>
        </w:tc>
        <w:tc>
          <w:tcPr>
            <w:tcW w:w="2126" w:type="dxa"/>
            <w:vMerge w:val="restart"/>
            <w:tcBorders>
              <w:top w:val="nil"/>
              <w:left w:val="nil"/>
              <w:bottom w:val="nil"/>
              <w:right w:val="nil"/>
            </w:tcBorders>
            <w:shd w:val="clear" w:color="auto" w:fill="FFDBFE"/>
            <w:vAlign w:val="center"/>
          </w:tcPr>
          <w:p w14:paraId="2A43A59D" w14:textId="77777777" w:rsidR="00A7780A" w:rsidRPr="00147D0A" w:rsidRDefault="00A7780A" w:rsidP="002175AB">
            <w:pPr>
              <w:jc w:val="center"/>
              <w:rPr>
                <w:rFonts w:ascii="Arial Hebrew" w:hAnsi="Arial Hebrew" w:cs="Arial Hebrew"/>
                <w:i/>
                <w:iCs/>
                <w:sz w:val="15"/>
                <w:szCs w:val="15"/>
              </w:rPr>
            </w:pPr>
            <w:r w:rsidRPr="00147D0A">
              <w:rPr>
                <w:rFonts w:ascii="Arial Hebrew" w:hAnsi="Arial Hebrew" w:cs="Arial Hebrew" w:hint="cs"/>
                <w:i/>
                <w:iCs/>
                <w:sz w:val="15"/>
                <w:szCs w:val="15"/>
              </w:rPr>
              <w:t>Extremely Speculative</w:t>
            </w:r>
          </w:p>
        </w:tc>
        <w:tc>
          <w:tcPr>
            <w:tcW w:w="1305" w:type="dxa"/>
            <w:tcBorders>
              <w:top w:val="nil"/>
              <w:left w:val="nil"/>
              <w:bottom w:val="nil"/>
              <w:right w:val="nil"/>
            </w:tcBorders>
            <w:shd w:val="clear" w:color="auto" w:fill="FFDBFE"/>
            <w:vAlign w:val="center"/>
          </w:tcPr>
          <w:p w14:paraId="00354B5C"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CC</w:t>
            </w:r>
          </w:p>
        </w:tc>
        <w:tc>
          <w:tcPr>
            <w:tcW w:w="987" w:type="dxa"/>
            <w:vMerge w:val="restart"/>
            <w:tcBorders>
              <w:top w:val="nil"/>
              <w:left w:val="nil"/>
              <w:bottom w:val="nil"/>
              <w:right w:val="nil"/>
            </w:tcBorders>
            <w:shd w:val="clear" w:color="auto" w:fill="FFDBFE"/>
            <w:vAlign w:val="center"/>
          </w:tcPr>
          <w:p w14:paraId="1798BB4D"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Ca</w:t>
            </w:r>
          </w:p>
        </w:tc>
        <w:tc>
          <w:tcPr>
            <w:tcW w:w="1819" w:type="dxa"/>
            <w:tcBorders>
              <w:top w:val="nil"/>
              <w:left w:val="nil"/>
              <w:bottom w:val="nil"/>
              <w:right w:val="nil"/>
            </w:tcBorders>
            <w:shd w:val="clear" w:color="auto" w:fill="FFFFFF" w:themeFill="background1"/>
          </w:tcPr>
          <w:p w14:paraId="3E2462B3" w14:textId="77777777" w:rsidR="00A7780A" w:rsidRPr="00147D0A" w:rsidRDefault="00A7780A" w:rsidP="00A7780A">
            <w:pPr>
              <w:rPr>
                <w:rFonts w:ascii="Arial Hebrew" w:hAnsi="Arial Hebrew" w:cs="Arial Hebrew"/>
                <w:sz w:val="13"/>
                <w:szCs w:val="13"/>
              </w:rPr>
            </w:pPr>
          </w:p>
        </w:tc>
      </w:tr>
      <w:tr w:rsidR="00A7780A" w:rsidRPr="00147D0A" w14:paraId="780CA586" w14:textId="14EB3736" w:rsidTr="00A06ED9">
        <w:trPr>
          <w:jc w:val="center"/>
        </w:trPr>
        <w:tc>
          <w:tcPr>
            <w:tcW w:w="1276" w:type="dxa"/>
            <w:vMerge/>
            <w:tcBorders>
              <w:top w:val="nil"/>
              <w:left w:val="nil"/>
              <w:bottom w:val="nil"/>
              <w:right w:val="nil"/>
            </w:tcBorders>
            <w:shd w:val="clear" w:color="auto" w:fill="FFDBFE"/>
            <w:vAlign w:val="center"/>
          </w:tcPr>
          <w:p w14:paraId="5BDFA1B3" w14:textId="77777777" w:rsidR="00A7780A" w:rsidRPr="00147D0A" w:rsidRDefault="00A7780A" w:rsidP="002175AB">
            <w:pPr>
              <w:jc w:val="center"/>
              <w:rPr>
                <w:rFonts w:ascii="Arial Hebrew" w:hAnsi="Arial Hebrew" w:cs="Arial Hebrew"/>
                <w:sz w:val="16"/>
                <w:szCs w:val="16"/>
              </w:rPr>
            </w:pPr>
          </w:p>
        </w:tc>
        <w:tc>
          <w:tcPr>
            <w:tcW w:w="2126" w:type="dxa"/>
            <w:vMerge/>
            <w:tcBorders>
              <w:top w:val="nil"/>
              <w:left w:val="nil"/>
              <w:bottom w:val="nil"/>
              <w:right w:val="nil"/>
            </w:tcBorders>
            <w:shd w:val="clear" w:color="auto" w:fill="FFDBFE"/>
            <w:vAlign w:val="center"/>
          </w:tcPr>
          <w:p w14:paraId="2D4B44B1" w14:textId="77777777" w:rsidR="00A7780A" w:rsidRPr="00147D0A" w:rsidRDefault="00A7780A" w:rsidP="002175AB">
            <w:pPr>
              <w:jc w:val="center"/>
              <w:rPr>
                <w:rFonts w:ascii="Arial Hebrew" w:hAnsi="Arial Hebrew" w:cs="Arial Hebrew"/>
                <w:i/>
                <w:iCs/>
                <w:sz w:val="15"/>
                <w:szCs w:val="15"/>
              </w:rPr>
            </w:pPr>
          </w:p>
        </w:tc>
        <w:tc>
          <w:tcPr>
            <w:tcW w:w="1305" w:type="dxa"/>
            <w:tcBorders>
              <w:top w:val="nil"/>
              <w:left w:val="nil"/>
              <w:bottom w:val="nil"/>
              <w:right w:val="nil"/>
            </w:tcBorders>
            <w:shd w:val="clear" w:color="auto" w:fill="FFDBFE"/>
            <w:vAlign w:val="center"/>
          </w:tcPr>
          <w:p w14:paraId="3B970D06" w14:textId="77777777" w:rsidR="00A7780A" w:rsidRPr="00147D0A" w:rsidRDefault="00A7780A" w:rsidP="002175AB">
            <w:pPr>
              <w:jc w:val="center"/>
              <w:rPr>
                <w:rFonts w:ascii="Arial Hebrew" w:hAnsi="Arial Hebrew" w:cs="Arial Hebrew"/>
                <w:sz w:val="13"/>
                <w:szCs w:val="13"/>
              </w:rPr>
            </w:pPr>
            <w:r w:rsidRPr="00147D0A">
              <w:rPr>
                <w:rFonts w:ascii="Arial Hebrew" w:hAnsi="Arial Hebrew" w:cs="Arial Hebrew" w:hint="cs"/>
                <w:sz w:val="13"/>
                <w:szCs w:val="13"/>
              </w:rPr>
              <w:t>C</w:t>
            </w:r>
          </w:p>
        </w:tc>
        <w:tc>
          <w:tcPr>
            <w:tcW w:w="987" w:type="dxa"/>
            <w:vMerge/>
            <w:tcBorders>
              <w:top w:val="nil"/>
              <w:left w:val="nil"/>
              <w:bottom w:val="nil"/>
              <w:right w:val="nil"/>
            </w:tcBorders>
            <w:shd w:val="clear" w:color="auto" w:fill="FFDBFE"/>
            <w:vAlign w:val="center"/>
          </w:tcPr>
          <w:p w14:paraId="2CDB670A" w14:textId="77777777" w:rsidR="00A7780A" w:rsidRPr="00147D0A" w:rsidRDefault="00A7780A" w:rsidP="002175AB">
            <w:pPr>
              <w:jc w:val="center"/>
              <w:rPr>
                <w:rFonts w:ascii="Arial Hebrew" w:hAnsi="Arial Hebrew" w:cs="Arial Hebrew"/>
                <w:sz w:val="13"/>
                <w:szCs w:val="13"/>
              </w:rPr>
            </w:pPr>
          </w:p>
        </w:tc>
        <w:tc>
          <w:tcPr>
            <w:tcW w:w="1819" w:type="dxa"/>
            <w:tcBorders>
              <w:top w:val="nil"/>
              <w:left w:val="nil"/>
              <w:bottom w:val="nil"/>
              <w:right w:val="nil"/>
            </w:tcBorders>
            <w:shd w:val="clear" w:color="auto" w:fill="FFFFFF" w:themeFill="background1"/>
          </w:tcPr>
          <w:p w14:paraId="1EB1BF5A" w14:textId="109D788F"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r w:rsidRPr="00147D0A">
              <w:rPr>
                <w:rFonts w:ascii="Arial Hebrew" w:hAnsi="Arial Hebrew" w:cs="Arial Hebrew" w:hint="cs"/>
                <w:sz w:val="13"/>
                <w:szCs w:val="13"/>
              </w:rPr>
              <w:t xml:space="preserve"> </w:t>
            </w:r>
            <w:r w:rsidRPr="00147D0A">
              <w:rPr>
                <w:rFonts w:ascii="Apple Color Emoji" w:hAnsi="Apple Color Emoji" w:cs="Apple Color Emoji"/>
                <w:sz w:val="13"/>
                <w:szCs w:val="13"/>
              </w:rPr>
              <w:t>🇺🇦</w:t>
            </w:r>
          </w:p>
        </w:tc>
      </w:tr>
      <w:tr w:rsidR="00A7780A" w:rsidRPr="00147D0A" w14:paraId="5B0714F1" w14:textId="2406A408" w:rsidTr="00A06ED9">
        <w:trPr>
          <w:trHeight w:val="215"/>
          <w:jc w:val="center"/>
        </w:trPr>
        <w:tc>
          <w:tcPr>
            <w:tcW w:w="1276" w:type="dxa"/>
            <w:vMerge/>
            <w:tcBorders>
              <w:top w:val="nil"/>
              <w:left w:val="nil"/>
              <w:bottom w:val="single" w:sz="2" w:space="0" w:color="ADADAD" w:themeColor="background2" w:themeShade="BF"/>
              <w:right w:val="nil"/>
            </w:tcBorders>
            <w:shd w:val="clear" w:color="auto" w:fill="FFDBFE"/>
            <w:vAlign w:val="center"/>
          </w:tcPr>
          <w:p w14:paraId="1836FD0B" w14:textId="77777777" w:rsidR="00A7780A" w:rsidRPr="00147D0A" w:rsidRDefault="00A7780A" w:rsidP="002175AB">
            <w:pPr>
              <w:jc w:val="center"/>
              <w:rPr>
                <w:rFonts w:ascii="Arial Hebrew" w:hAnsi="Arial Hebrew" w:cs="Arial Hebrew"/>
                <w:sz w:val="16"/>
                <w:szCs w:val="16"/>
              </w:rPr>
            </w:pPr>
          </w:p>
        </w:tc>
        <w:tc>
          <w:tcPr>
            <w:tcW w:w="2126" w:type="dxa"/>
            <w:tcBorders>
              <w:top w:val="nil"/>
              <w:left w:val="nil"/>
              <w:bottom w:val="single" w:sz="2" w:space="0" w:color="ADADAD" w:themeColor="background2" w:themeShade="BF"/>
              <w:right w:val="nil"/>
            </w:tcBorders>
            <w:shd w:val="clear" w:color="auto" w:fill="D86DCB" w:themeFill="accent5" w:themeFillTint="99"/>
            <w:vAlign w:val="center"/>
          </w:tcPr>
          <w:p w14:paraId="1096501D" w14:textId="77777777" w:rsidR="00A7780A" w:rsidRPr="00147D0A" w:rsidRDefault="00A7780A" w:rsidP="002175AB">
            <w:pPr>
              <w:jc w:val="center"/>
              <w:rPr>
                <w:rFonts w:ascii="Arial Hebrew" w:hAnsi="Arial Hebrew" w:cs="Arial Hebrew"/>
                <w:i/>
                <w:iCs/>
                <w:color w:val="FFFFFF" w:themeColor="background1"/>
                <w:sz w:val="15"/>
                <w:szCs w:val="15"/>
              </w:rPr>
            </w:pPr>
            <w:r w:rsidRPr="00147D0A">
              <w:rPr>
                <w:rFonts w:ascii="Arial Hebrew" w:hAnsi="Arial Hebrew" w:cs="Arial Hebrew" w:hint="cs"/>
                <w:i/>
                <w:iCs/>
                <w:color w:val="FFFFFF" w:themeColor="background1"/>
                <w:sz w:val="15"/>
                <w:szCs w:val="15"/>
              </w:rPr>
              <w:t>In Default</w:t>
            </w:r>
          </w:p>
        </w:tc>
        <w:tc>
          <w:tcPr>
            <w:tcW w:w="1305" w:type="dxa"/>
            <w:tcBorders>
              <w:top w:val="nil"/>
              <w:left w:val="nil"/>
              <w:bottom w:val="single" w:sz="2" w:space="0" w:color="ADADAD" w:themeColor="background2" w:themeShade="BF"/>
              <w:right w:val="nil"/>
            </w:tcBorders>
            <w:shd w:val="clear" w:color="auto" w:fill="D86DCB" w:themeFill="accent5" w:themeFillTint="99"/>
            <w:vAlign w:val="center"/>
          </w:tcPr>
          <w:p w14:paraId="718C1617" w14:textId="20B2C52E" w:rsidR="00A7780A" w:rsidRPr="00147D0A" w:rsidRDefault="00A7780A" w:rsidP="002175AB">
            <w:pPr>
              <w:jc w:val="center"/>
              <w:rPr>
                <w:rFonts w:ascii="Arial Hebrew" w:hAnsi="Arial Hebrew" w:cs="Arial Hebrew"/>
                <w:color w:val="FFFFFF" w:themeColor="background1"/>
                <w:sz w:val="13"/>
                <w:szCs w:val="13"/>
              </w:rPr>
            </w:pPr>
            <w:r w:rsidRPr="00147D0A">
              <w:rPr>
                <w:rFonts w:ascii="Arial Hebrew" w:hAnsi="Arial Hebrew" w:cs="Arial Hebrew" w:hint="cs"/>
                <w:color w:val="FFFFFF" w:themeColor="background1"/>
                <w:sz w:val="13"/>
                <w:szCs w:val="13"/>
              </w:rPr>
              <w:t>D</w:t>
            </w:r>
          </w:p>
        </w:tc>
        <w:tc>
          <w:tcPr>
            <w:tcW w:w="987" w:type="dxa"/>
            <w:tcBorders>
              <w:top w:val="nil"/>
              <w:left w:val="nil"/>
              <w:bottom w:val="single" w:sz="2" w:space="0" w:color="ADADAD" w:themeColor="background2" w:themeShade="BF"/>
              <w:right w:val="nil"/>
            </w:tcBorders>
            <w:shd w:val="clear" w:color="auto" w:fill="D86DCB" w:themeFill="accent5" w:themeFillTint="99"/>
            <w:vAlign w:val="center"/>
          </w:tcPr>
          <w:p w14:paraId="26385AFB" w14:textId="77777777" w:rsidR="00A7780A" w:rsidRPr="00147D0A" w:rsidRDefault="00A7780A" w:rsidP="002175AB">
            <w:pPr>
              <w:jc w:val="center"/>
              <w:rPr>
                <w:rFonts w:ascii="Arial Hebrew" w:hAnsi="Arial Hebrew" w:cs="Arial Hebrew"/>
                <w:color w:val="FFFFFF" w:themeColor="background1"/>
                <w:sz w:val="13"/>
                <w:szCs w:val="13"/>
              </w:rPr>
            </w:pPr>
            <w:r w:rsidRPr="00147D0A">
              <w:rPr>
                <w:rFonts w:ascii="Arial Hebrew" w:hAnsi="Arial Hebrew" w:cs="Arial Hebrew" w:hint="cs"/>
                <w:color w:val="FFFFFF" w:themeColor="background1"/>
                <w:sz w:val="13"/>
                <w:szCs w:val="13"/>
              </w:rPr>
              <w:t>C</w:t>
            </w:r>
          </w:p>
        </w:tc>
        <w:tc>
          <w:tcPr>
            <w:tcW w:w="1819" w:type="dxa"/>
            <w:tcBorders>
              <w:top w:val="nil"/>
              <w:left w:val="nil"/>
              <w:bottom w:val="single" w:sz="2" w:space="0" w:color="ADADAD" w:themeColor="background2" w:themeShade="BF"/>
              <w:right w:val="nil"/>
            </w:tcBorders>
            <w:shd w:val="clear" w:color="auto" w:fill="FFFFFF" w:themeFill="background1"/>
          </w:tcPr>
          <w:p w14:paraId="2DCF938F" w14:textId="77777777" w:rsidR="00A7780A" w:rsidRPr="00147D0A" w:rsidRDefault="00A7780A" w:rsidP="00A7780A">
            <w:pPr>
              <w:rPr>
                <w:rFonts w:ascii="Arial Hebrew" w:hAnsi="Arial Hebrew" w:cs="Arial Hebrew"/>
                <w:color w:val="FFFFFF" w:themeColor="background1"/>
                <w:sz w:val="13"/>
                <w:szCs w:val="13"/>
              </w:rPr>
            </w:pPr>
          </w:p>
        </w:tc>
      </w:tr>
      <w:tr w:rsidR="00D008E6" w:rsidRPr="00147D0A" w14:paraId="7D378A95" w14:textId="0F5CA7D3" w:rsidTr="00A06ED9">
        <w:trPr>
          <w:trHeight w:val="77"/>
          <w:jc w:val="center"/>
        </w:trPr>
        <w:tc>
          <w:tcPr>
            <w:tcW w:w="1276"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1927E713" w14:textId="7CB72590" w:rsidR="00A7780A" w:rsidRPr="00147D0A" w:rsidRDefault="00A7780A" w:rsidP="002175AB">
            <w:pPr>
              <w:jc w:val="center"/>
              <w:rPr>
                <w:rFonts w:ascii="Arial Hebrew" w:hAnsi="Arial Hebrew" w:cs="Arial Hebrew"/>
                <w:sz w:val="16"/>
                <w:szCs w:val="16"/>
              </w:rPr>
            </w:pPr>
            <w:r w:rsidRPr="00147D0A">
              <w:rPr>
                <w:rFonts w:ascii="Arial Hebrew" w:hAnsi="Arial Hebrew" w:cs="Arial Hebrew" w:hint="cs"/>
                <w:sz w:val="16"/>
                <w:szCs w:val="16"/>
              </w:rPr>
              <w:t>No Rating</w:t>
            </w:r>
          </w:p>
        </w:tc>
        <w:tc>
          <w:tcPr>
            <w:tcW w:w="2126"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2AD871D6" w14:textId="77777777" w:rsidR="00A7780A" w:rsidRPr="00147D0A" w:rsidRDefault="00A7780A" w:rsidP="002175AB">
            <w:pPr>
              <w:jc w:val="center"/>
              <w:rPr>
                <w:rFonts w:ascii="Arial Hebrew" w:hAnsi="Arial Hebrew" w:cs="Arial Hebrew"/>
                <w:color w:val="FFFFFF" w:themeColor="background1"/>
                <w:sz w:val="13"/>
                <w:szCs w:val="13"/>
              </w:rPr>
            </w:pPr>
          </w:p>
        </w:tc>
        <w:tc>
          <w:tcPr>
            <w:tcW w:w="1305"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4C93DF7B" w14:textId="77777777" w:rsidR="00A7780A" w:rsidRPr="00147D0A" w:rsidRDefault="00A7780A" w:rsidP="002175AB">
            <w:pPr>
              <w:jc w:val="center"/>
              <w:rPr>
                <w:rFonts w:ascii="Arial Hebrew" w:hAnsi="Arial Hebrew" w:cs="Arial Hebrew"/>
                <w:color w:val="FFFFFF" w:themeColor="background1"/>
                <w:sz w:val="13"/>
                <w:szCs w:val="13"/>
              </w:rPr>
            </w:pPr>
          </w:p>
        </w:tc>
        <w:tc>
          <w:tcPr>
            <w:tcW w:w="987" w:type="dxa"/>
            <w:tcBorders>
              <w:top w:val="single" w:sz="2" w:space="0" w:color="ADADAD" w:themeColor="background2" w:themeShade="BF"/>
              <w:left w:val="nil"/>
              <w:bottom w:val="double" w:sz="4" w:space="0" w:color="auto"/>
              <w:right w:val="nil"/>
            </w:tcBorders>
            <w:shd w:val="clear" w:color="auto" w:fill="D9D9D9" w:themeFill="background1" w:themeFillShade="D9"/>
            <w:vAlign w:val="center"/>
          </w:tcPr>
          <w:p w14:paraId="5FF14920" w14:textId="77777777" w:rsidR="00A7780A" w:rsidRPr="00147D0A" w:rsidRDefault="00A7780A" w:rsidP="002175AB">
            <w:pPr>
              <w:jc w:val="center"/>
              <w:rPr>
                <w:rFonts w:ascii="Arial Hebrew" w:hAnsi="Arial Hebrew" w:cs="Arial Hebrew"/>
                <w:color w:val="FFFFFF" w:themeColor="background1"/>
                <w:sz w:val="13"/>
                <w:szCs w:val="13"/>
              </w:rPr>
            </w:pPr>
          </w:p>
        </w:tc>
        <w:tc>
          <w:tcPr>
            <w:tcW w:w="1819" w:type="dxa"/>
            <w:tcBorders>
              <w:top w:val="single" w:sz="2" w:space="0" w:color="ADADAD" w:themeColor="background2" w:themeShade="BF"/>
              <w:left w:val="nil"/>
              <w:bottom w:val="double" w:sz="4" w:space="0" w:color="auto"/>
              <w:right w:val="nil"/>
            </w:tcBorders>
            <w:shd w:val="clear" w:color="auto" w:fill="FFFFFF" w:themeFill="background1"/>
          </w:tcPr>
          <w:p w14:paraId="709EF914" w14:textId="288D53D0" w:rsidR="00A7780A" w:rsidRPr="00147D0A" w:rsidRDefault="00A7780A" w:rsidP="00A7780A">
            <w:pPr>
              <w:rPr>
                <w:rFonts w:ascii="Arial Hebrew" w:hAnsi="Arial Hebrew" w:cs="Arial Hebrew"/>
                <w:sz w:val="13"/>
                <w:szCs w:val="13"/>
              </w:rPr>
            </w:pPr>
            <w:r w:rsidRPr="00147D0A">
              <w:rPr>
                <w:rFonts w:ascii="Apple Color Emoji" w:hAnsi="Apple Color Emoji" w:cs="Apple Color Emoji"/>
                <w:sz w:val="13"/>
                <w:szCs w:val="13"/>
              </w:rPr>
              <w:t>🇷🇺</w:t>
            </w:r>
          </w:p>
        </w:tc>
      </w:tr>
    </w:tbl>
    <w:p w14:paraId="35AF6E14" w14:textId="77777777" w:rsidR="00894F09" w:rsidRPr="00147D0A" w:rsidRDefault="00894F09" w:rsidP="00CC5D1E">
      <w:pPr>
        <w:spacing w:before="240"/>
        <w:rPr>
          <w:rFonts w:ascii="Arial Hebrew" w:hAnsi="Arial Hebrew" w:cs="Arial Hebrew"/>
          <w:b/>
          <w:bCs/>
          <w:i/>
          <w:iCs/>
          <w:sz w:val="16"/>
          <w:szCs w:val="16"/>
        </w:rPr>
      </w:pPr>
    </w:p>
    <w:p w14:paraId="33A64ED2" w14:textId="64AA4B86" w:rsidR="00F91EA6" w:rsidRPr="00147D0A" w:rsidRDefault="00AC5204" w:rsidP="007B100B">
      <w:pPr>
        <w:rPr>
          <w:rFonts w:ascii="Arial Hebrew" w:hAnsi="Arial Hebrew" w:cs="Arial Hebrew"/>
          <w:b/>
          <w:bCs/>
          <w:i/>
          <w:iCs/>
          <w:sz w:val="16"/>
          <w:szCs w:val="16"/>
        </w:rPr>
      </w:pPr>
      <w:r w:rsidRPr="00147D0A">
        <w:rPr>
          <w:rFonts w:ascii="Arial Hebrew" w:hAnsi="Arial Hebrew" w:cs="Arial Hebrew" w:hint="cs"/>
          <w:b/>
          <w:bCs/>
          <w:i/>
          <w:iCs/>
          <w:sz w:val="16"/>
          <w:szCs w:val="16"/>
        </w:rPr>
        <w:t xml:space="preserve">       </w:t>
      </w:r>
      <w:r w:rsidR="00A21FA7" w:rsidRPr="00147D0A">
        <w:rPr>
          <w:rFonts w:ascii="Arial Hebrew" w:hAnsi="Arial Hebrew" w:cs="Arial Hebrew" w:hint="cs"/>
          <w:b/>
          <w:bCs/>
          <w:i/>
          <w:iCs/>
          <w:sz w:val="16"/>
          <w:szCs w:val="16"/>
        </w:rPr>
        <w:t xml:space="preserve">Figure 1. </w:t>
      </w:r>
      <w:r w:rsidR="00EF5F6D" w:rsidRPr="00147D0A">
        <w:rPr>
          <w:rFonts w:ascii="Arial Hebrew" w:hAnsi="Arial Hebrew" w:cs="Arial Hebrew" w:hint="cs"/>
          <w:b/>
          <w:bCs/>
          <w:i/>
          <w:iCs/>
          <w:sz w:val="16"/>
          <w:szCs w:val="16"/>
        </w:rPr>
        <w:tab/>
      </w:r>
      <w:r w:rsidR="00EF5F6D" w:rsidRPr="00147D0A">
        <w:rPr>
          <w:rFonts w:ascii="Arial Hebrew" w:hAnsi="Arial Hebrew" w:cs="Arial Hebrew" w:hint="cs"/>
          <w:b/>
          <w:bCs/>
          <w:i/>
          <w:iCs/>
          <w:sz w:val="16"/>
          <w:szCs w:val="16"/>
        </w:rPr>
        <w:tab/>
      </w:r>
      <w:r w:rsidRPr="00147D0A">
        <w:rPr>
          <w:rFonts w:ascii="Arial Hebrew" w:hAnsi="Arial Hebrew" w:cs="Arial Hebrew" w:hint="cs"/>
          <w:b/>
          <w:bCs/>
          <w:i/>
          <w:iCs/>
          <w:sz w:val="16"/>
          <w:szCs w:val="16"/>
        </w:rPr>
        <w:t xml:space="preserve">                                                         </w:t>
      </w:r>
      <w:r w:rsidR="00EF5F6D" w:rsidRPr="00147D0A">
        <w:rPr>
          <w:rFonts w:ascii="Arial Hebrew" w:hAnsi="Arial Hebrew" w:cs="Arial Hebrew" w:hint="cs"/>
          <w:b/>
          <w:bCs/>
          <w:i/>
          <w:iCs/>
          <w:sz w:val="16"/>
          <w:szCs w:val="16"/>
        </w:rPr>
        <w:t xml:space="preserve">Figure 2. </w:t>
      </w:r>
    </w:p>
    <w:p w14:paraId="3BF45CDB" w14:textId="5CCE31EA" w:rsidR="008F0C88" w:rsidRPr="00147D0A" w:rsidRDefault="009C0617" w:rsidP="00C73117">
      <w:pPr>
        <w:rPr>
          <w:rFonts w:ascii="Arial Hebrew" w:hAnsi="Arial Hebrew" w:cs="Arial Hebrew"/>
          <w:sz w:val="21"/>
          <w:szCs w:val="21"/>
        </w:rPr>
      </w:pPr>
      <w:r w:rsidRPr="00147D0A">
        <w:rPr>
          <w:rFonts w:ascii="Arial Hebrew" w:hAnsi="Arial Hebrew" w:cs="Arial Hebrew" w:hint="cs"/>
          <w:noProof/>
          <w:sz w:val="21"/>
          <w:szCs w:val="21"/>
        </w:rPr>
        <w:drawing>
          <wp:inline distT="0" distB="0" distL="0" distR="0" wp14:anchorId="01A74923" wp14:editId="51A4E158">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00EF5F6D" w:rsidRPr="00147D0A">
        <w:rPr>
          <w:rFonts w:ascii="Arial Hebrew" w:hAnsi="Arial Hebrew" w:cs="Arial Hebrew" w:hint="cs"/>
          <w:sz w:val="21"/>
          <w:szCs w:val="21"/>
        </w:rPr>
        <w:t xml:space="preserve">  </w:t>
      </w:r>
      <w:r w:rsidR="00C55A6F" w:rsidRPr="00147D0A">
        <w:rPr>
          <w:rFonts w:ascii="Arial Hebrew" w:hAnsi="Arial Hebrew" w:cs="Arial Hebrew" w:hint="cs"/>
          <w:noProof/>
          <w:sz w:val="21"/>
          <w:szCs w:val="21"/>
        </w:rPr>
        <w:drawing>
          <wp:inline distT="0" distB="0" distL="0" distR="0" wp14:anchorId="0445AA96" wp14:editId="086B5821">
            <wp:extent cx="2836305" cy="2709545"/>
            <wp:effectExtent l="0" t="0" r="0" b="0"/>
            <wp:docPr id="65157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pic:cNvPicPr/>
                  </pic:nvPicPr>
                  <pic:blipFill rotWithShape="1">
                    <a:blip r:embed="rId9" cstate="print">
                      <a:extLst>
                        <a:ext uri="{28A0092B-C50C-407E-A947-70E740481C1C}">
                          <a14:useLocalDpi xmlns:a14="http://schemas.microsoft.com/office/drawing/2010/main" val="0"/>
                        </a:ext>
                      </a:extLst>
                    </a:blip>
                    <a:srcRect t="-1325" b="1325"/>
                    <a:stretch/>
                  </pic:blipFill>
                  <pic:spPr>
                    <a:xfrm>
                      <a:off x="0" y="0"/>
                      <a:ext cx="2843887" cy="2716788"/>
                    </a:xfrm>
                    <a:prstGeom prst="rect">
                      <a:avLst/>
                    </a:prstGeom>
                  </pic:spPr>
                </pic:pic>
              </a:graphicData>
            </a:graphic>
          </wp:inline>
        </w:drawing>
      </w:r>
    </w:p>
    <w:p w14:paraId="45A0E656" w14:textId="74BEF96F" w:rsidR="00A70D7B" w:rsidRPr="00147D0A" w:rsidRDefault="009C067D" w:rsidP="00544810">
      <w:pPr>
        <w:spacing w:after="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Varying levels of detail on assessment frameworks have been made public by</w:t>
      </w:r>
      <w:r w:rsidR="000259EB" w:rsidRPr="00147D0A">
        <w:rPr>
          <w:rFonts w:ascii="Arial Hebrew" w:hAnsi="Arial Hebrew" w:cs="Arial Hebrew" w:hint="cs"/>
          <w:sz w:val="20"/>
          <w:szCs w:val="20"/>
        </w:rPr>
        <w:t xml:space="preserve"> the three major agencies, although the precise methods used to determine credit ratings are proprietary and subject to regular change.</w:t>
      </w:r>
      <w:r w:rsidRPr="00147D0A">
        <w:rPr>
          <w:rFonts w:ascii="Arial Hebrew" w:hAnsi="Arial Hebrew" w:cs="Arial Hebrew" w:hint="cs"/>
          <w:sz w:val="20"/>
          <w:szCs w:val="20"/>
        </w:rPr>
        <w:t xml:space="preserve"> </w:t>
      </w:r>
      <w:r w:rsidR="000E2CEE" w:rsidRPr="00147D0A">
        <w:rPr>
          <w:rFonts w:ascii="Arial Hebrew" w:hAnsi="Arial Hebrew" w:cs="Arial Hebrew" w:hint="cs"/>
          <w:sz w:val="20"/>
          <w:szCs w:val="20"/>
        </w:rPr>
        <w:t>A</w:t>
      </w:r>
      <w:r w:rsidR="00213C2A" w:rsidRPr="00147D0A">
        <w:rPr>
          <w:rFonts w:ascii="Arial Hebrew" w:hAnsi="Arial Hebrew" w:cs="Arial Hebrew" w:hint="cs"/>
          <w:sz w:val="20"/>
          <w:szCs w:val="20"/>
        </w:rPr>
        <w:t>ll</w:t>
      </w:r>
      <w:r w:rsidR="00A31B3C" w:rsidRPr="00147D0A">
        <w:rPr>
          <w:rFonts w:ascii="Arial Hebrew" w:hAnsi="Arial Hebrew" w:cs="Arial Hebrew" w:hint="cs"/>
          <w:sz w:val="20"/>
          <w:szCs w:val="20"/>
        </w:rPr>
        <w:t xml:space="preserve"> three agencies</w:t>
      </w:r>
      <w:r w:rsidR="00213C2A" w:rsidRPr="00147D0A">
        <w:rPr>
          <w:rFonts w:ascii="Arial Hebrew" w:hAnsi="Arial Hebrew" w:cs="Arial Hebrew" w:hint="cs"/>
          <w:sz w:val="20"/>
          <w:szCs w:val="20"/>
        </w:rPr>
        <w:t xml:space="preserve"> </w:t>
      </w:r>
      <w:r w:rsidR="006448A9" w:rsidRPr="00147D0A">
        <w:rPr>
          <w:rFonts w:ascii="Arial Hebrew" w:hAnsi="Arial Hebrew" w:cs="Arial Hebrew" w:hint="cs"/>
          <w:sz w:val="20"/>
          <w:szCs w:val="20"/>
        </w:rPr>
        <w:t xml:space="preserve">assign ratings </w:t>
      </w:r>
      <w:r w:rsidR="000259EB" w:rsidRPr="00147D0A">
        <w:rPr>
          <w:rFonts w:ascii="Arial Hebrew" w:hAnsi="Arial Hebrew" w:cs="Arial Hebrew" w:hint="cs"/>
          <w:sz w:val="20"/>
          <w:szCs w:val="20"/>
        </w:rPr>
        <w:t xml:space="preserve">based on similar sets of factors, </w:t>
      </w:r>
      <w:r w:rsidR="00A31B3C" w:rsidRPr="00147D0A">
        <w:rPr>
          <w:rFonts w:ascii="Arial Hebrew" w:hAnsi="Arial Hebrew" w:cs="Arial Hebrew" w:hint="cs"/>
          <w:sz w:val="20"/>
          <w:szCs w:val="20"/>
        </w:rPr>
        <w:t>mak</w:t>
      </w:r>
      <w:r w:rsidR="000259EB" w:rsidRPr="00147D0A">
        <w:rPr>
          <w:rFonts w:ascii="Arial Hebrew" w:hAnsi="Arial Hebrew" w:cs="Arial Hebrew" w:hint="cs"/>
          <w:sz w:val="20"/>
          <w:szCs w:val="20"/>
        </w:rPr>
        <w:t>ing</w:t>
      </w:r>
      <w:r w:rsidR="00A31B3C" w:rsidRPr="00147D0A">
        <w:rPr>
          <w:rFonts w:ascii="Arial Hebrew" w:hAnsi="Arial Hebrew" w:cs="Arial Hebrew" w:hint="cs"/>
          <w:sz w:val="20"/>
          <w:szCs w:val="20"/>
        </w:rPr>
        <w:t xml:space="preserve"> extensive use of primary data from established international sources</w:t>
      </w:r>
      <w:r w:rsidR="00213C2A" w:rsidRPr="00147D0A">
        <w:rPr>
          <w:rFonts w:ascii="Arial Hebrew" w:hAnsi="Arial Hebrew" w:cs="Arial Hebrew" w:hint="cs"/>
          <w:sz w:val="20"/>
          <w:szCs w:val="20"/>
        </w:rPr>
        <w:t xml:space="preserve"> including</w:t>
      </w:r>
      <w:r w:rsidR="00A31B3C" w:rsidRPr="00147D0A">
        <w:rPr>
          <w:rFonts w:ascii="Arial Hebrew" w:hAnsi="Arial Hebrew" w:cs="Arial Hebrew" w:hint="cs"/>
          <w:sz w:val="20"/>
          <w:szCs w:val="20"/>
        </w:rPr>
        <w:t xml:space="preserve"> the </w:t>
      </w:r>
      <w:r w:rsidR="001968C3" w:rsidRPr="00147D0A">
        <w:rPr>
          <w:rFonts w:ascii="Arial Hebrew" w:hAnsi="Arial Hebrew" w:cs="Arial Hebrew" w:hint="cs"/>
          <w:sz w:val="20"/>
          <w:szCs w:val="20"/>
        </w:rPr>
        <w:t xml:space="preserve">World Bank, the </w:t>
      </w:r>
      <w:r w:rsidR="00A31B3C" w:rsidRPr="00147D0A">
        <w:rPr>
          <w:rFonts w:ascii="Arial Hebrew" w:hAnsi="Arial Hebrew" w:cs="Arial Hebrew" w:hint="cs"/>
          <w:sz w:val="20"/>
          <w:szCs w:val="20"/>
        </w:rPr>
        <w:t>International Monetary Fund (IMF), national statistics offices</w:t>
      </w:r>
      <w:r w:rsidR="00213C2A" w:rsidRPr="00147D0A">
        <w:rPr>
          <w:rFonts w:ascii="Arial Hebrew" w:hAnsi="Arial Hebrew" w:cs="Arial Hebrew" w:hint="cs"/>
          <w:sz w:val="20"/>
          <w:szCs w:val="20"/>
        </w:rPr>
        <w:t>,</w:t>
      </w:r>
      <w:r w:rsidR="00A31B3C" w:rsidRPr="00147D0A">
        <w:rPr>
          <w:rFonts w:ascii="Arial Hebrew" w:hAnsi="Arial Hebrew" w:cs="Arial Hebrew" w:hint="cs"/>
          <w:sz w:val="20"/>
          <w:szCs w:val="20"/>
        </w:rPr>
        <w:t xml:space="preserve"> and central banks</w:t>
      </w:r>
      <w:r w:rsidR="0041544A" w:rsidRPr="00147D0A">
        <w:rPr>
          <w:rFonts w:ascii="Arial Hebrew" w:hAnsi="Arial Hebrew" w:cs="Arial Hebrew" w:hint="cs"/>
          <w:sz w:val="20"/>
          <w:szCs w:val="20"/>
        </w:rPr>
        <w:t xml:space="preserve">. These </w:t>
      </w:r>
      <w:r w:rsidR="001968C3" w:rsidRPr="00147D0A">
        <w:rPr>
          <w:rFonts w:ascii="Arial Hebrew" w:hAnsi="Arial Hebrew" w:cs="Arial Hebrew" w:hint="cs"/>
          <w:sz w:val="20"/>
          <w:szCs w:val="20"/>
        </w:rPr>
        <w:t>are</w:t>
      </w:r>
      <w:r w:rsidR="0041544A" w:rsidRPr="00147D0A">
        <w:rPr>
          <w:rFonts w:ascii="Arial Hebrew" w:hAnsi="Arial Hebrew" w:cs="Arial Hebrew" w:hint="cs"/>
          <w:sz w:val="20"/>
          <w:szCs w:val="20"/>
        </w:rPr>
        <w:t xml:space="preserve"> supplemented using s</w:t>
      </w:r>
      <w:r w:rsidRPr="00147D0A">
        <w:rPr>
          <w:rFonts w:ascii="Arial Hebrew" w:hAnsi="Arial Hebrew" w:cs="Arial Hebrew" w:hint="cs"/>
          <w:sz w:val="20"/>
          <w:szCs w:val="20"/>
        </w:rPr>
        <w:t xml:space="preserve">econdary </w:t>
      </w:r>
      <w:r w:rsidR="000259EB" w:rsidRPr="00147D0A">
        <w:rPr>
          <w:rFonts w:ascii="Arial Hebrew" w:hAnsi="Arial Hebrew" w:cs="Arial Hebrew" w:hint="cs"/>
          <w:sz w:val="20"/>
          <w:szCs w:val="20"/>
        </w:rPr>
        <w:t xml:space="preserve">(external) </w:t>
      </w:r>
      <w:r w:rsidRPr="00147D0A">
        <w:rPr>
          <w:rFonts w:ascii="Arial Hebrew" w:hAnsi="Arial Hebrew" w:cs="Arial Hebrew" w:hint="cs"/>
          <w:sz w:val="20"/>
          <w:szCs w:val="20"/>
        </w:rPr>
        <w:t>data</w:t>
      </w:r>
      <w:r w:rsidR="0041544A" w:rsidRPr="00147D0A">
        <w:rPr>
          <w:rFonts w:ascii="Arial Hebrew" w:hAnsi="Arial Hebrew" w:cs="Arial Hebrew" w:hint="cs"/>
          <w:sz w:val="20"/>
          <w:szCs w:val="20"/>
        </w:rPr>
        <w:t xml:space="preserve"> sources</w:t>
      </w:r>
      <w:r w:rsidR="000259EB" w:rsidRPr="00147D0A">
        <w:rPr>
          <w:rFonts w:ascii="Arial Hebrew" w:hAnsi="Arial Hebrew" w:cs="Arial Hebrew" w:hint="cs"/>
          <w:sz w:val="20"/>
          <w:szCs w:val="20"/>
        </w:rPr>
        <w:t>,</w:t>
      </w:r>
      <w:r w:rsidR="0041544A" w:rsidRPr="00147D0A">
        <w:rPr>
          <w:rFonts w:ascii="Arial Hebrew" w:hAnsi="Arial Hebrew" w:cs="Arial Hebrew" w:hint="cs"/>
          <w:sz w:val="20"/>
          <w:szCs w:val="20"/>
        </w:rPr>
        <w:t xml:space="preserve"> which </w:t>
      </w:r>
      <w:r w:rsidR="003E3673" w:rsidRPr="00147D0A">
        <w:rPr>
          <w:rFonts w:ascii="Arial Hebrew" w:hAnsi="Arial Hebrew" w:cs="Arial Hebrew" w:hint="cs"/>
          <w:sz w:val="20"/>
          <w:szCs w:val="20"/>
        </w:rPr>
        <w:t>commonly</w:t>
      </w:r>
      <w:r w:rsidR="0041544A" w:rsidRPr="00147D0A">
        <w:rPr>
          <w:rFonts w:ascii="Arial Hebrew" w:hAnsi="Arial Hebrew" w:cs="Arial Hebrew" w:hint="cs"/>
          <w:sz w:val="20"/>
          <w:szCs w:val="20"/>
        </w:rPr>
        <w:t xml:space="preserve"> provide </w:t>
      </w:r>
      <w:r w:rsidR="0043249D" w:rsidRPr="00147D0A">
        <w:rPr>
          <w:rFonts w:ascii="Arial Hebrew" w:hAnsi="Arial Hebrew" w:cs="Arial Hebrew" w:hint="cs"/>
          <w:sz w:val="20"/>
          <w:szCs w:val="20"/>
        </w:rPr>
        <w:t xml:space="preserve">the indicative </w:t>
      </w:r>
      <w:r w:rsidR="0041544A" w:rsidRPr="00147D0A">
        <w:rPr>
          <w:rFonts w:ascii="Arial Hebrew" w:hAnsi="Arial Hebrew" w:cs="Arial Hebrew" w:hint="cs"/>
          <w:sz w:val="20"/>
          <w:szCs w:val="20"/>
        </w:rPr>
        <w:t xml:space="preserve">metrics used to score </w:t>
      </w:r>
      <w:r w:rsidR="003E3673" w:rsidRPr="00147D0A">
        <w:rPr>
          <w:rFonts w:ascii="Arial Hebrew" w:hAnsi="Arial Hebrew" w:cs="Arial Hebrew" w:hint="cs"/>
          <w:sz w:val="20"/>
          <w:szCs w:val="20"/>
        </w:rPr>
        <w:t xml:space="preserve">qualitative </w:t>
      </w:r>
      <w:r w:rsidR="0041544A" w:rsidRPr="00147D0A">
        <w:rPr>
          <w:rFonts w:ascii="Arial Hebrew" w:hAnsi="Arial Hebrew" w:cs="Arial Hebrew" w:hint="cs"/>
          <w:sz w:val="20"/>
          <w:szCs w:val="20"/>
        </w:rPr>
        <w:t>institutional characteristics</w:t>
      </w:r>
      <w:r w:rsidR="003E3673" w:rsidRPr="00147D0A">
        <w:rPr>
          <w:rFonts w:ascii="Arial Hebrew" w:hAnsi="Arial Hebrew" w:cs="Arial Hebrew" w:hint="cs"/>
          <w:sz w:val="20"/>
          <w:szCs w:val="20"/>
        </w:rPr>
        <w:t xml:space="preserve"> of governments</w:t>
      </w:r>
      <w:r w:rsidR="0041544A" w:rsidRPr="00147D0A">
        <w:rPr>
          <w:rFonts w:ascii="Arial Hebrew" w:hAnsi="Arial Hebrew" w:cs="Arial Hebrew" w:hint="cs"/>
          <w:sz w:val="20"/>
          <w:szCs w:val="20"/>
        </w:rPr>
        <w:t>.</w:t>
      </w:r>
    </w:p>
    <w:p w14:paraId="1CF536AF" w14:textId="3425F469" w:rsidR="003731C9" w:rsidRPr="00147D0A" w:rsidRDefault="003731C9" w:rsidP="00EB120B">
      <w:pPr>
        <w:pStyle w:val="Heading2"/>
        <w:rPr>
          <w:rFonts w:ascii="Arial Hebrew" w:hAnsi="Arial Hebrew" w:cs="Arial Hebrew"/>
          <w:sz w:val="22"/>
          <w:szCs w:val="22"/>
        </w:rPr>
      </w:pPr>
      <w:bookmarkStart w:id="6" w:name="_Toc199450887"/>
      <w:r w:rsidRPr="00147D0A">
        <w:rPr>
          <w:rFonts w:ascii="Arial Hebrew" w:hAnsi="Arial Hebrew" w:cs="Arial Hebrew" w:hint="cs"/>
          <w:sz w:val="22"/>
          <w:szCs w:val="22"/>
        </w:rPr>
        <w:t>Moody’s</w:t>
      </w:r>
      <w:bookmarkEnd w:id="6"/>
    </w:p>
    <w:p w14:paraId="7866727A" w14:textId="1C202A0B" w:rsidR="00234E34" w:rsidRPr="00147D0A" w:rsidRDefault="00B85262" w:rsidP="00213C2A">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Moody's sovereign </w:t>
      </w:r>
      <w:r w:rsidR="00D97035" w:rsidRPr="00147D0A">
        <w:rPr>
          <w:rFonts w:ascii="Arial Hebrew" w:hAnsi="Arial Hebrew" w:cs="Arial Hebrew" w:hint="cs"/>
          <w:sz w:val="20"/>
          <w:szCs w:val="20"/>
        </w:rPr>
        <w:t>ratings</w:t>
      </w:r>
      <w:r w:rsidRPr="00147D0A">
        <w:rPr>
          <w:rFonts w:ascii="Arial Hebrew" w:hAnsi="Arial Hebrew" w:cs="Arial Hebrew" w:hint="cs"/>
          <w:sz w:val="20"/>
          <w:szCs w:val="20"/>
        </w:rPr>
        <w:t xml:space="preserve"> </w:t>
      </w:r>
      <w:r w:rsidR="00D97035" w:rsidRPr="00147D0A">
        <w:rPr>
          <w:rFonts w:ascii="Arial Hebrew" w:hAnsi="Arial Hebrew" w:cs="Arial Hebrew" w:hint="cs"/>
          <w:sz w:val="20"/>
          <w:szCs w:val="20"/>
        </w:rPr>
        <w:t xml:space="preserve">are the outcome of a committee process </w:t>
      </w:r>
      <w:r w:rsidR="00982C36" w:rsidRPr="00147D0A">
        <w:rPr>
          <w:rFonts w:ascii="Arial Hebrew" w:hAnsi="Arial Hebrew" w:cs="Arial Hebrew" w:hint="cs"/>
          <w:sz w:val="20"/>
          <w:szCs w:val="20"/>
        </w:rPr>
        <w:t xml:space="preserve">that applies </w:t>
      </w:r>
      <w:r w:rsidR="00D97035" w:rsidRPr="00147D0A">
        <w:rPr>
          <w:rFonts w:ascii="Arial Hebrew" w:hAnsi="Arial Hebrew" w:cs="Arial Hebrew" w:hint="cs"/>
          <w:sz w:val="20"/>
          <w:szCs w:val="20"/>
        </w:rPr>
        <w:t xml:space="preserve">qualitative judgement </w:t>
      </w:r>
      <w:r w:rsidR="00982C36" w:rsidRPr="00147D0A">
        <w:rPr>
          <w:rFonts w:ascii="Arial Hebrew" w:hAnsi="Arial Hebrew" w:cs="Arial Hebrew" w:hint="cs"/>
          <w:sz w:val="20"/>
          <w:szCs w:val="20"/>
        </w:rPr>
        <w:t xml:space="preserve">to </w:t>
      </w:r>
      <w:r w:rsidR="00D97035" w:rsidRPr="00147D0A">
        <w:rPr>
          <w:rFonts w:ascii="Arial Hebrew" w:hAnsi="Arial Hebrew" w:cs="Arial Hebrew" w:hint="cs"/>
          <w:sz w:val="20"/>
          <w:szCs w:val="20"/>
        </w:rPr>
        <w:t>a quantitative scorecard</w:t>
      </w:r>
      <w:r w:rsidR="005A2C32" w:rsidRPr="00147D0A">
        <w:rPr>
          <w:rFonts w:ascii="Arial Hebrew" w:hAnsi="Arial Hebrew" w:cs="Arial Hebrew" w:hint="cs"/>
          <w:sz w:val="20"/>
          <w:szCs w:val="20"/>
        </w:rPr>
        <w:t>. The scorecard</w:t>
      </w:r>
      <w:r w:rsidR="00982C36" w:rsidRPr="00147D0A">
        <w:rPr>
          <w:rFonts w:ascii="Arial Hebrew" w:hAnsi="Arial Hebrew" w:cs="Arial Hebrew" w:hint="cs"/>
          <w:sz w:val="20"/>
          <w:szCs w:val="20"/>
        </w:rPr>
        <w:t xml:space="preserve"> is</w:t>
      </w:r>
      <w:r w:rsidR="00D97035" w:rsidRPr="00147D0A">
        <w:rPr>
          <w:rFonts w:ascii="Arial Hebrew" w:hAnsi="Arial Hebrew" w:cs="Arial Hebrew" w:hint="cs"/>
          <w:sz w:val="20"/>
          <w:szCs w:val="20"/>
        </w:rPr>
        <w:t xml:space="preserve"> </w:t>
      </w:r>
      <w:r w:rsidR="00982C36" w:rsidRPr="00147D0A">
        <w:rPr>
          <w:rFonts w:ascii="Arial Hebrew" w:hAnsi="Arial Hebrew" w:cs="Arial Hebrew" w:hint="cs"/>
          <w:sz w:val="20"/>
          <w:szCs w:val="20"/>
        </w:rPr>
        <w:t>based on</w:t>
      </w:r>
      <w:r w:rsidR="00D97035" w:rsidRPr="00147D0A">
        <w:rPr>
          <w:rFonts w:ascii="Arial Hebrew" w:hAnsi="Arial Hebrew" w:cs="Arial Hebrew" w:hint="cs"/>
          <w:sz w:val="20"/>
          <w:szCs w:val="20"/>
        </w:rPr>
        <w:t xml:space="preserve"> four factors</w:t>
      </w:r>
      <w:r w:rsidR="009C0617" w:rsidRPr="00147D0A">
        <w:rPr>
          <w:rFonts w:ascii="Arial Hebrew" w:hAnsi="Arial Hebrew" w:cs="Arial Hebrew" w:hint="cs"/>
          <w:sz w:val="20"/>
          <w:szCs w:val="20"/>
        </w:rPr>
        <w:t>:</w:t>
      </w:r>
    </w:p>
    <w:p w14:paraId="2263E53C" w14:textId="46D0E38B" w:rsidR="00D97035" w:rsidRPr="00147D0A" w:rsidRDefault="009C0617" w:rsidP="00A940FA">
      <w:pPr>
        <w:pStyle w:val="ListParagraph"/>
        <w:numPr>
          <w:ilvl w:val="0"/>
          <w:numId w:val="8"/>
        </w:numPr>
        <w:spacing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Economic Strength</w:t>
      </w:r>
      <w:r w:rsidR="0043435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434358" w:rsidRPr="00147D0A">
        <w:rPr>
          <w:rFonts w:ascii="Arial Hebrew" w:hAnsi="Arial Hebrew" w:cs="Arial Hebrew" w:hint="cs"/>
          <w:sz w:val="20"/>
          <w:szCs w:val="20"/>
        </w:rPr>
        <w:t>A</w:t>
      </w:r>
      <w:r w:rsidRPr="00147D0A">
        <w:rPr>
          <w:rFonts w:ascii="Arial Hebrew" w:hAnsi="Arial Hebrew" w:cs="Arial Hebrew" w:hint="cs"/>
          <w:sz w:val="20"/>
          <w:szCs w:val="20"/>
        </w:rPr>
        <w:t xml:space="preserve">ssesses the inherent strength and resilience of the sovereign's economy </w:t>
      </w:r>
      <w:r w:rsidR="000229E9" w:rsidRPr="00147D0A">
        <w:rPr>
          <w:rFonts w:ascii="Arial Hebrew" w:hAnsi="Arial Hebrew" w:cs="Arial Hebrew" w:hint="cs"/>
          <w:sz w:val="20"/>
          <w:szCs w:val="20"/>
        </w:rPr>
        <w:t>using</w:t>
      </w:r>
      <w:r w:rsidR="003861FA" w:rsidRPr="00147D0A">
        <w:rPr>
          <w:rFonts w:ascii="Arial Hebrew" w:hAnsi="Arial Hebrew" w:cs="Arial Hebrew" w:hint="cs"/>
          <w:sz w:val="20"/>
          <w:szCs w:val="20"/>
        </w:rPr>
        <w:t xml:space="preserve"> </w:t>
      </w:r>
      <w:r w:rsidR="00A940FA" w:rsidRPr="00147D0A">
        <w:rPr>
          <w:rFonts w:ascii="Arial Hebrew" w:hAnsi="Arial Hebrew" w:cs="Arial Hebrew" w:hint="cs"/>
          <w:sz w:val="20"/>
          <w:szCs w:val="20"/>
        </w:rPr>
        <w:t>Gross Domestic Product</w:t>
      </w:r>
      <w:r w:rsidR="003861FA" w:rsidRPr="00147D0A">
        <w:rPr>
          <w:rFonts w:ascii="Arial Hebrew" w:hAnsi="Arial Hebrew" w:cs="Arial Hebrew" w:hint="cs"/>
          <w:sz w:val="20"/>
          <w:szCs w:val="20"/>
        </w:rPr>
        <w:t xml:space="preserve"> </w:t>
      </w:r>
      <w:r w:rsidR="006578DE" w:rsidRPr="00147D0A">
        <w:rPr>
          <w:rFonts w:ascii="Arial Hebrew" w:hAnsi="Arial Hebrew" w:cs="Arial Hebrew" w:hint="cs"/>
          <w:sz w:val="20"/>
          <w:szCs w:val="20"/>
        </w:rPr>
        <w:t xml:space="preserve">(GDP) </w:t>
      </w:r>
      <w:r w:rsidR="003861FA" w:rsidRPr="00147D0A">
        <w:rPr>
          <w:rFonts w:ascii="Arial Hebrew" w:hAnsi="Arial Hebrew" w:cs="Arial Hebrew" w:hint="cs"/>
          <w:sz w:val="20"/>
          <w:szCs w:val="20"/>
        </w:rPr>
        <w:t>statistic</w:t>
      </w:r>
      <w:r w:rsidR="00A940FA" w:rsidRPr="00147D0A">
        <w:rPr>
          <w:rFonts w:ascii="Arial Hebrew" w:hAnsi="Arial Hebrew" w:cs="Arial Hebrew" w:hint="cs"/>
          <w:sz w:val="20"/>
          <w:szCs w:val="20"/>
        </w:rPr>
        <w:t xml:space="preserve">s for </w:t>
      </w:r>
      <w:r w:rsidR="00490EC2" w:rsidRPr="00147D0A">
        <w:rPr>
          <w:rFonts w:ascii="Arial Hebrew" w:hAnsi="Arial Hebrew" w:cs="Arial Hebrew" w:hint="cs"/>
          <w:i/>
          <w:iCs/>
          <w:sz w:val="20"/>
          <w:szCs w:val="20"/>
        </w:rPr>
        <w:t xml:space="preserve">Economic </w:t>
      </w:r>
      <w:r w:rsidRPr="00147D0A">
        <w:rPr>
          <w:rFonts w:ascii="Arial Hebrew" w:hAnsi="Arial Hebrew" w:cs="Arial Hebrew" w:hint="cs"/>
          <w:i/>
          <w:iCs/>
          <w:sz w:val="20"/>
          <w:szCs w:val="20"/>
        </w:rPr>
        <w:t xml:space="preserve">Scale </w:t>
      </w:r>
      <w:r w:rsidRPr="00147D0A">
        <w:rPr>
          <w:rFonts w:ascii="Arial Hebrew" w:hAnsi="Arial Hebrew" w:cs="Arial Hebrew" w:hint="cs"/>
          <w:sz w:val="20"/>
          <w:szCs w:val="20"/>
        </w:rPr>
        <w:t>(35%)</w:t>
      </w:r>
      <w:r w:rsidR="00A940FA" w:rsidRPr="00147D0A">
        <w:rPr>
          <w:rFonts w:ascii="Arial Hebrew" w:hAnsi="Arial Hebrew" w:cs="Arial Hebrew" w:hint="cs"/>
          <w:i/>
          <w:iCs/>
          <w:sz w:val="20"/>
          <w:szCs w:val="20"/>
        </w:rPr>
        <w:t>, Income</w:t>
      </w:r>
      <w:r w:rsidR="00D14057" w:rsidRPr="00147D0A">
        <w:rPr>
          <w:rFonts w:ascii="Arial Hebrew" w:hAnsi="Arial Hebrew" w:cs="Arial Hebrew" w:hint="cs"/>
          <w:i/>
          <w:iCs/>
          <w:sz w:val="20"/>
          <w:szCs w:val="20"/>
        </w:rPr>
        <w:t xml:space="preserve"> Level</w:t>
      </w:r>
      <w:r w:rsidR="00A940FA" w:rsidRPr="00147D0A">
        <w:rPr>
          <w:rFonts w:ascii="Arial Hebrew" w:hAnsi="Arial Hebrew" w:cs="Arial Hebrew" w:hint="cs"/>
          <w:i/>
          <w:iCs/>
          <w:sz w:val="20"/>
          <w:szCs w:val="20"/>
        </w:rPr>
        <w:t xml:space="preserve"> </w:t>
      </w:r>
      <w:r w:rsidR="00A940FA" w:rsidRPr="00147D0A">
        <w:rPr>
          <w:rFonts w:ascii="Arial Hebrew" w:hAnsi="Arial Hebrew" w:cs="Arial Hebrew" w:hint="cs"/>
          <w:sz w:val="20"/>
          <w:szCs w:val="20"/>
        </w:rPr>
        <w:t>(25%)</w:t>
      </w:r>
      <w:r w:rsidR="00A940FA" w:rsidRPr="00147D0A">
        <w:rPr>
          <w:rFonts w:ascii="Arial Hebrew" w:hAnsi="Arial Hebrew" w:cs="Arial Hebrew" w:hint="cs"/>
          <w:i/>
          <w:iCs/>
          <w:sz w:val="20"/>
          <w:szCs w:val="20"/>
        </w:rPr>
        <w:t>,</w:t>
      </w:r>
      <w:r w:rsidR="00D14057" w:rsidRPr="00147D0A">
        <w:rPr>
          <w:rFonts w:ascii="Arial Hebrew" w:hAnsi="Arial Hebrew" w:cs="Arial Hebrew" w:hint="cs"/>
          <w:i/>
          <w:iCs/>
          <w:sz w:val="20"/>
          <w:szCs w:val="20"/>
        </w:rPr>
        <w:t xml:space="preserve"> </w:t>
      </w:r>
      <w:r w:rsidR="00A940FA" w:rsidRPr="00147D0A">
        <w:rPr>
          <w:rFonts w:ascii="Arial Hebrew" w:hAnsi="Arial Hebrew" w:cs="Arial Hebrew" w:hint="cs"/>
          <w:i/>
          <w:iCs/>
          <w:sz w:val="20"/>
          <w:szCs w:val="20"/>
        </w:rPr>
        <w:t xml:space="preserve">Growth </w:t>
      </w:r>
      <w:r w:rsidR="00A940FA" w:rsidRPr="00147D0A">
        <w:rPr>
          <w:rFonts w:ascii="Arial Hebrew" w:hAnsi="Arial Hebrew" w:cs="Arial Hebrew" w:hint="cs"/>
          <w:sz w:val="20"/>
          <w:szCs w:val="20"/>
        </w:rPr>
        <w:t>(30%)</w:t>
      </w:r>
      <w:r w:rsidR="00A940FA" w:rsidRPr="00147D0A">
        <w:rPr>
          <w:rFonts w:ascii="Arial Hebrew" w:hAnsi="Arial Hebrew" w:cs="Arial Hebrew" w:hint="cs"/>
          <w:i/>
          <w:iCs/>
          <w:sz w:val="20"/>
          <w:szCs w:val="20"/>
        </w:rPr>
        <w:t xml:space="preserve"> </w:t>
      </w:r>
      <w:r w:rsidR="00A940FA" w:rsidRPr="00147D0A">
        <w:rPr>
          <w:rFonts w:ascii="Arial Hebrew" w:hAnsi="Arial Hebrew" w:cs="Arial Hebrew" w:hint="cs"/>
          <w:sz w:val="20"/>
          <w:szCs w:val="20"/>
        </w:rPr>
        <w:t xml:space="preserve">and </w:t>
      </w:r>
      <w:r w:rsidR="00A940FA" w:rsidRPr="00147D0A">
        <w:rPr>
          <w:rFonts w:ascii="Arial Hebrew" w:hAnsi="Arial Hebrew" w:cs="Arial Hebrew" w:hint="cs"/>
          <w:i/>
          <w:iCs/>
          <w:sz w:val="20"/>
          <w:szCs w:val="20"/>
        </w:rPr>
        <w:t xml:space="preserve">Volatility </w:t>
      </w:r>
      <w:r w:rsidR="00A940FA" w:rsidRPr="00147D0A">
        <w:rPr>
          <w:rFonts w:ascii="Arial Hebrew" w:hAnsi="Arial Hebrew" w:cs="Arial Hebrew" w:hint="cs"/>
          <w:sz w:val="20"/>
          <w:szCs w:val="20"/>
        </w:rPr>
        <w:t>(10%)</w:t>
      </w:r>
      <w:r w:rsidR="00A940FA" w:rsidRPr="00147D0A">
        <w:rPr>
          <w:rFonts w:ascii="Arial Hebrew" w:hAnsi="Arial Hebrew" w:cs="Arial Hebrew" w:hint="cs"/>
          <w:i/>
          <w:iCs/>
          <w:sz w:val="20"/>
          <w:szCs w:val="20"/>
        </w:rPr>
        <w:t>.</w:t>
      </w:r>
      <w:r w:rsidR="00D21EB9" w:rsidRPr="00147D0A">
        <w:rPr>
          <w:rStyle w:val="FootnoteReference"/>
          <w:rFonts w:ascii="Arial Hebrew" w:hAnsi="Arial Hebrew" w:cs="Arial Hebrew" w:hint="cs"/>
          <w:sz w:val="20"/>
          <w:szCs w:val="20"/>
        </w:rPr>
        <w:footnoteReference w:id="2"/>
      </w:r>
      <w:r w:rsidR="00823638" w:rsidRPr="00147D0A">
        <w:rPr>
          <w:rFonts w:ascii="Arial Hebrew" w:hAnsi="Arial Hebrew" w:cs="Arial Hebrew" w:hint="cs"/>
          <w:sz w:val="20"/>
          <w:szCs w:val="20"/>
        </w:rPr>
        <w:t xml:space="preserve"> </w:t>
      </w:r>
    </w:p>
    <w:p w14:paraId="6AFA7999" w14:textId="2909CEB2" w:rsidR="00A31B3C" w:rsidRPr="00147D0A" w:rsidRDefault="003861FA" w:rsidP="001D7656">
      <w:pPr>
        <w:pStyle w:val="ListParagraph"/>
        <w:numPr>
          <w:ilvl w:val="0"/>
          <w:numId w:val="8"/>
        </w:numPr>
        <w:spacing w:before="240"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 xml:space="preserve">Institutions </w:t>
      </w:r>
      <w:r w:rsidR="00D90164" w:rsidRPr="00147D0A">
        <w:rPr>
          <w:rFonts w:ascii="Arial Hebrew" w:hAnsi="Arial Hebrew" w:cs="Arial Hebrew" w:hint="cs"/>
          <w:b/>
          <w:bCs/>
          <w:sz w:val="20"/>
          <w:szCs w:val="20"/>
        </w:rPr>
        <w:t>&amp;</w:t>
      </w:r>
      <w:r w:rsidRPr="00147D0A">
        <w:rPr>
          <w:rFonts w:ascii="Arial Hebrew" w:hAnsi="Arial Hebrew" w:cs="Arial Hebrew" w:hint="cs"/>
          <w:b/>
          <w:bCs/>
          <w:sz w:val="20"/>
          <w:szCs w:val="20"/>
        </w:rPr>
        <w:t xml:space="preserve"> Governance Strength</w:t>
      </w:r>
      <w:r w:rsidR="0043435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BE69F8" w:rsidRPr="00147D0A">
        <w:rPr>
          <w:rFonts w:ascii="Arial Hebrew" w:hAnsi="Arial Hebrew" w:cs="Arial Hebrew" w:hint="cs"/>
          <w:sz w:val="20"/>
          <w:szCs w:val="20"/>
        </w:rPr>
        <w:t>A weighted average of four sub-factors</w:t>
      </w:r>
      <w:r w:rsidR="00A31B3C" w:rsidRPr="00147D0A">
        <w:rPr>
          <w:rFonts w:ascii="Arial Hebrew" w:hAnsi="Arial Hebrew" w:cs="Arial Hebrew" w:hint="cs"/>
          <w:sz w:val="20"/>
          <w:szCs w:val="20"/>
        </w:rPr>
        <w:t>:</w:t>
      </w:r>
    </w:p>
    <w:p w14:paraId="0A477290" w14:textId="77777777" w:rsidR="00A31B3C" w:rsidRPr="00147D0A" w:rsidRDefault="003861FA" w:rsidP="00A31B3C">
      <w:pPr>
        <w:pStyle w:val="ListParagraph"/>
        <w:numPr>
          <w:ilvl w:val="0"/>
          <w:numId w:val="12"/>
        </w:numPr>
        <w:spacing w:before="240" w:after="240" w:line="360" w:lineRule="auto"/>
        <w:jc w:val="both"/>
        <w:rPr>
          <w:rFonts w:ascii="Arial Hebrew" w:hAnsi="Arial Hebrew" w:cs="Arial Hebrew"/>
          <w:sz w:val="20"/>
          <w:szCs w:val="20"/>
        </w:rPr>
      </w:pPr>
      <w:r w:rsidRPr="00147D0A">
        <w:rPr>
          <w:rFonts w:ascii="Arial Hebrew" w:hAnsi="Arial Hebrew" w:cs="Arial Hebrew" w:hint="cs"/>
          <w:sz w:val="20"/>
          <w:szCs w:val="20"/>
        </w:rPr>
        <w:t>the</w:t>
      </w:r>
      <w:r w:rsidRPr="00147D0A">
        <w:rPr>
          <w:rFonts w:ascii="Arial Hebrew" w:hAnsi="Arial Hebrew" w:cs="Arial Hebrew" w:hint="cs"/>
        </w:rPr>
        <w:t xml:space="preserve"> </w:t>
      </w:r>
      <w:r w:rsidRPr="00147D0A">
        <w:rPr>
          <w:rFonts w:ascii="Arial Hebrew" w:hAnsi="Arial Hebrew" w:cs="Arial Hebrew" w:hint="cs"/>
          <w:sz w:val="20"/>
          <w:szCs w:val="20"/>
        </w:rPr>
        <w:t>quality of legislative and executive institutions</w:t>
      </w:r>
      <w:r w:rsidR="00C531B1" w:rsidRPr="00147D0A">
        <w:rPr>
          <w:rFonts w:ascii="Arial Hebrew" w:hAnsi="Arial Hebrew" w:cs="Arial Hebrew" w:hint="cs"/>
          <w:sz w:val="20"/>
          <w:szCs w:val="20"/>
        </w:rPr>
        <w:t xml:space="preserve"> (20%)</w:t>
      </w:r>
    </w:p>
    <w:p w14:paraId="0EC75A02" w14:textId="10A9104D" w:rsidR="00A31B3C" w:rsidRPr="00147D0A" w:rsidRDefault="00894F09" w:rsidP="00A31B3C">
      <w:pPr>
        <w:pStyle w:val="ListParagraph"/>
        <w:numPr>
          <w:ilvl w:val="0"/>
          <w:numId w:val="12"/>
        </w:numPr>
        <w:spacing w:before="240" w:after="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w:t>
      </w:r>
      <w:r w:rsidR="00C531B1" w:rsidRPr="00147D0A">
        <w:rPr>
          <w:rFonts w:ascii="Arial Hebrew" w:hAnsi="Arial Hebrew" w:cs="Arial Hebrew" w:hint="cs"/>
          <w:sz w:val="20"/>
          <w:szCs w:val="20"/>
        </w:rPr>
        <w:t xml:space="preserve">strength of </w:t>
      </w:r>
      <w:r w:rsidR="003861FA" w:rsidRPr="00147D0A">
        <w:rPr>
          <w:rFonts w:ascii="Arial Hebrew" w:hAnsi="Arial Hebrew" w:cs="Arial Hebrew" w:hint="cs"/>
          <w:sz w:val="20"/>
          <w:szCs w:val="20"/>
        </w:rPr>
        <w:t>civil society and the judiciary</w:t>
      </w:r>
      <w:r w:rsidR="00C531B1" w:rsidRPr="00147D0A">
        <w:rPr>
          <w:rFonts w:ascii="Arial Hebrew" w:hAnsi="Arial Hebrew" w:cs="Arial Hebrew" w:hint="cs"/>
          <w:sz w:val="20"/>
          <w:szCs w:val="20"/>
        </w:rPr>
        <w:t xml:space="preserve"> (20%)</w:t>
      </w:r>
    </w:p>
    <w:p w14:paraId="74BE9983" w14:textId="7D9BEF3D" w:rsidR="00A31B3C" w:rsidRPr="00147D0A" w:rsidRDefault="00894F09" w:rsidP="00A31B3C">
      <w:pPr>
        <w:pStyle w:val="ListParagraph"/>
        <w:numPr>
          <w:ilvl w:val="0"/>
          <w:numId w:val="12"/>
        </w:numPr>
        <w:spacing w:before="240" w:after="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effectiveness of </w:t>
      </w:r>
      <w:r w:rsidR="003861FA" w:rsidRPr="00147D0A">
        <w:rPr>
          <w:rFonts w:ascii="Arial Hebrew" w:hAnsi="Arial Hebrew" w:cs="Arial Hebrew" w:hint="cs"/>
          <w:sz w:val="20"/>
          <w:szCs w:val="20"/>
        </w:rPr>
        <w:t xml:space="preserve">fiscal </w:t>
      </w:r>
      <w:r w:rsidR="00C531B1" w:rsidRPr="00147D0A">
        <w:rPr>
          <w:rFonts w:ascii="Arial Hebrew" w:hAnsi="Arial Hebrew" w:cs="Arial Hebrew" w:hint="cs"/>
          <w:sz w:val="20"/>
          <w:szCs w:val="20"/>
        </w:rPr>
        <w:t>policy (30%)</w:t>
      </w:r>
    </w:p>
    <w:p w14:paraId="52F49908" w14:textId="5C803000" w:rsidR="00A31B3C" w:rsidRPr="00147D0A" w:rsidRDefault="00894F09" w:rsidP="00894F09">
      <w:pPr>
        <w:pStyle w:val="ListParagraph"/>
        <w:numPr>
          <w:ilvl w:val="0"/>
          <w:numId w:val="12"/>
        </w:numPr>
        <w:spacing w:before="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effectiveness of </w:t>
      </w:r>
      <w:r w:rsidR="00C531B1" w:rsidRPr="00147D0A">
        <w:rPr>
          <w:rFonts w:ascii="Arial Hebrew" w:hAnsi="Arial Hebrew" w:cs="Arial Hebrew" w:hint="cs"/>
          <w:sz w:val="20"/>
          <w:szCs w:val="20"/>
        </w:rPr>
        <w:t xml:space="preserve">monetary and macroeconomic policy (30%). </w:t>
      </w:r>
    </w:p>
    <w:p w14:paraId="4588F77B" w14:textId="3FA64B00" w:rsidR="00434358" w:rsidRPr="00147D0A" w:rsidRDefault="00BE69F8" w:rsidP="00356C37">
      <w:pPr>
        <w:spacing w:line="360" w:lineRule="auto"/>
        <w:ind w:left="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w:t>
      </w:r>
      <w:r w:rsidR="000259EB" w:rsidRPr="00147D0A">
        <w:rPr>
          <w:rFonts w:ascii="Arial Hebrew" w:hAnsi="Arial Hebrew" w:cs="Arial Hebrew" w:hint="cs"/>
          <w:color w:val="000000" w:themeColor="text1"/>
          <w:sz w:val="20"/>
          <w:szCs w:val="20"/>
        </w:rPr>
        <w:t xml:space="preserve">hese </w:t>
      </w:r>
      <w:r w:rsidR="003331F5" w:rsidRPr="00147D0A">
        <w:rPr>
          <w:rFonts w:ascii="Arial Hebrew" w:hAnsi="Arial Hebrew" w:cs="Arial Hebrew" w:hint="cs"/>
          <w:color w:val="000000" w:themeColor="text1"/>
          <w:sz w:val="20"/>
          <w:szCs w:val="20"/>
        </w:rPr>
        <w:t>qualitative</w:t>
      </w:r>
      <w:r w:rsidR="000259EB"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characteristics of sovereigns</w:t>
      </w:r>
      <w:r w:rsidR="000259EB" w:rsidRPr="00147D0A">
        <w:rPr>
          <w:rFonts w:ascii="Arial Hebrew" w:hAnsi="Arial Hebrew" w:cs="Arial Hebrew" w:hint="cs"/>
          <w:color w:val="000000" w:themeColor="text1"/>
          <w:sz w:val="20"/>
          <w:szCs w:val="20"/>
        </w:rPr>
        <w:t xml:space="preserve"> are</w:t>
      </w:r>
      <w:r w:rsidRPr="00147D0A">
        <w:rPr>
          <w:rFonts w:ascii="Arial Hebrew" w:hAnsi="Arial Hebrew" w:cs="Arial Hebrew" w:hint="cs"/>
          <w:color w:val="000000" w:themeColor="text1"/>
          <w:sz w:val="20"/>
          <w:szCs w:val="20"/>
        </w:rPr>
        <w:t xml:space="preserve"> scored</w:t>
      </w:r>
      <w:r w:rsidR="000259EB" w:rsidRPr="00147D0A">
        <w:rPr>
          <w:rFonts w:ascii="Arial Hebrew" w:hAnsi="Arial Hebrew" w:cs="Arial Hebrew" w:hint="cs"/>
          <w:color w:val="000000" w:themeColor="text1"/>
          <w:sz w:val="20"/>
          <w:szCs w:val="20"/>
        </w:rPr>
        <w:t xml:space="preserve"> using </w:t>
      </w:r>
      <w:r w:rsidR="003861FA" w:rsidRPr="00147D0A">
        <w:rPr>
          <w:rFonts w:ascii="Arial Hebrew" w:hAnsi="Arial Hebrew" w:cs="Arial Hebrew" w:hint="cs"/>
          <w:color w:val="000000" w:themeColor="text1"/>
          <w:sz w:val="20"/>
          <w:szCs w:val="20"/>
        </w:rPr>
        <w:t>quantitative external indicators</w:t>
      </w:r>
      <w:r w:rsidRPr="00147D0A">
        <w:rPr>
          <w:rFonts w:ascii="Arial Hebrew" w:hAnsi="Arial Hebrew" w:cs="Arial Hebrew" w:hint="cs"/>
          <w:color w:val="000000" w:themeColor="text1"/>
          <w:sz w:val="20"/>
          <w:szCs w:val="20"/>
        </w:rPr>
        <w:t>, with the main source being the</w:t>
      </w:r>
      <w:r w:rsidR="003861FA" w:rsidRPr="00147D0A">
        <w:rPr>
          <w:rFonts w:ascii="Arial Hebrew" w:hAnsi="Arial Hebrew" w:cs="Arial Hebrew" w:hint="cs"/>
          <w:color w:val="000000" w:themeColor="text1"/>
          <w:sz w:val="20"/>
          <w:szCs w:val="20"/>
        </w:rPr>
        <w:t xml:space="preserve"> World Bank</w:t>
      </w:r>
      <w:r w:rsidR="003861FA" w:rsidRPr="00147D0A">
        <w:rPr>
          <w:rFonts w:ascii="Arial Hebrew" w:hAnsi="Arial Hebrew" w:cs="Arial Hebrew" w:hint="cs"/>
          <w:b/>
          <w:bCs/>
          <w:color w:val="000000" w:themeColor="text1"/>
          <w:sz w:val="20"/>
          <w:szCs w:val="20"/>
        </w:rPr>
        <w:t xml:space="preserve"> </w:t>
      </w:r>
      <w:r w:rsidR="003861FA" w:rsidRPr="00147D0A">
        <w:rPr>
          <w:rFonts w:ascii="Arial Hebrew" w:hAnsi="Arial Hebrew" w:cs="Arial Hebrew" w:hint="cs"/>
          <w:color w:val="000000" w:themeColor="text1"/>
          <w:sz w:val="20"/>
          <w:szCs w:val="20"/>
        </w:rPr>
        <w:t>Worldwide Governance Indicators (WGI)</w:t>
      </w:r>
      <w:r w:rsidRPr="00147D0A">
        <w:rPr>
          <w:rFonts w:ascii="Arial Hebrew" w:hAnsi="Arial Hebrew" w:cs="Arial Hebrew" w:hint="cs"/>
          <w:color w:val="000000" w:themeColor="text1"/>
          <w:sz w:val="20"/>
          <w:szCs w:val="20"/>
        </w:rPr>
        <w:t>. This</w:t>
      </w:r>
      <w:r w:rsidR="00AD0F82"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annual publication assigns rat</w:t>
      </w:r>
      <w:r w:rsidR="00DC751D" w:rsidRPr="00147D0A">
        <w:rPr>
          <w:rFonts w:ascii="Arial Hebrew" w:hAnsi="Arial Hebrew" w:cs="Arial Hebrew" w:hint="cs"/>
          <w:color w:val="000000" w:themeColor="text1"/>
          <w:sz w:val="20"/>
          <w:szCs w:val="20"/>
        </w:rPr>
        <w:t>ings to nations for properties includ</w:t>
      </w:r>
      <w:r w:rsidR="00ED548E" w:rsidRPr="00147D0A">
        <w:rPr>
          <w:rFonts w:ascii="Arial Hebrew" w:hAnsi="Arial Hebrew" w:cs="Arial Hebrew" w:hint="cs"/>
          <w:color w:val="000000" w:themeColor="text1"/>
          <w:sz w:val="20"/>
          <w:szCs w:val="20"/>
        </w:rPr>
        <w:t>ing</w:t>
      </w:r>
      <w:r w:rsidR="00DC751D" w:rsidRPr="00147D0A">
        <w:rPr>
          <w:rFonts w:ascii="Arial Hebrew" w:hAnsi="Arial Hebrew" w:cs="Arial Hebrew" w:hint="cs"/>
          <w:color w:val="000000" w:themeColor="text1"/>
          <w:sz w:val="20"/>
          <w:szCs w:val="20"/>
        </w:rPr>
        <w:t xml:space="preserve"> the </w:t>
      </w:r>
      <w:r w:rsidR="00AD0F82" w:rsidRPr="00147D0A">
        <w:rPr>
          <w:rFonts w:ascii="Arial Hebrew" w:hAnsi="Arial Hebrew" w:cs="Arial Hebrew" w:hint="cs"/>
          <w:color w:val="000000" w:themeColor="text1"/>
          <w:sz w:val="20"/>
          <w:szCs w:val="20"/>
        </w:rPr>
        <w:t>rule of law, government effectiveness and regulatory quality</w:t>
      </w:r>
      <w:r w:rsidR="0031088B" w:rsidRPr="00147D0A">
        <w:rPr>
          <w:rFonts w:ascii="Arial Hebrew" w:hAnsi="Arial Hebrew" w:cs="Arial Hebrew" w:hint="cs"/>
          <w:color w:val="000000" w:themeColor="text1"/>
          <w:sz w:val="20"/>
          <w:szCs w:val="20"/>
        </w:rPr>
        <w:t>.</w:t>
      </w:r>
      <w:r w:rsidR="0031088B" w:rsidRPr="00147D0A">
        <w:rPr>
          <w:rFonts w:ascii="Arial Hebrew" w:hAnsi="Arial Hebrew" w:cs="Arial Hebrew" w:hint="cs"/>
          <w:b/>
          <w:bCs/>
          <w:color w:val="000000" w:themeColor="text1"/>
          <w:sz w:val="20"/>
          <w:szCs w:val="20"/>
        </w:rPr>
        <w:t xml:space="preserve"> </w:t>
      </w:r>
      <w:r w:rsidR="004C7F9E" w:rsidRPr="00147D0A">
        <w:rPr>
          <w:rFonts w:ascii="Arial Hebrew" w:hAnsi="Arial Hebrew" w:cs="Arial Hebrew" w:hint="cs"/>
          <w:color w:val="000000" w:themeColor="text1"/>
          <w:sz w:val="20"/>
          <w:szCs w:val="20"/>
        </w:rPr>
        <w:t>Th</w:t>
      </w:r>
      <w:r w:rsidR="000229E9" w:rsidRPr="00147D0A">
        <w:rPr>
          <w:rFonts w:ascii="Arial Hebrew" w:hAnsi="Arial Hebrew" w:cs="Arial Hebrew" w:hint="cs"/>
          <w:color w:val="000000" w:themeColor="text1"/>
          <w:sz w:val="20"/>
          <w:szCs w:val="20"/>
        </w:rPr>
        <w:t>e</w:t>
      </w:r>
      <w:r w:rsidR="004C7F9E" w:rsidRPr="00147D0A">
        <w:rPr>
          <w:rFonts w:ascii="Arial Hebrew" w:hAnsi="Arial Hebrew" w:cs="Arial Hebrew" w:hint="cs"/>
          <w:color w:val="000000" w:themeColor="text1"/>
          <w:sz w:val="20"/>
          <w:szCs w:val="20"/>
        </w:rPr>
        <w:t xml:space="preserve"> World Economic Forum (WEF) Global Competitiveness Index</w:t>
      </w:r>
      <w:r w:rsidR="00C531B1" w:rsidRPr="00147D0A">
        <w:rPr>
          <w:rFonts w:ascii="Arial Hebrew" w:hAnsi="Arial Hebrew" w:cs="Arial Hebrew" w:hint="cs"/>
          <w:color w:val="000000" w:themeColor="text1"/>
          <w:sz w:val="20"/>
          <w:szCs w:val="20"/>
        </w:rPr>
        <w:t xml:space="preserve"> </w:t>
      </w:r>
      <w:r w:rsidR="004C7F9E" w:rsidRPr="00147D0A">
        <w:rPr>
          <w:rFonts w:ascii="Arial Hebrew" w:hAnsi="Arial Hebrew" w:cs="Arial Hebrew" w:hint="cs"/>
          <w:color w:val="000000" w:themeColor="text1"/>
          <w:sz w:val="20"/>
          <w:szCs w:val="20"/>
        </w:rPr>
        <w:t xml:space="preserve">(CGI) </w:t>
      </w:r>
      <w:r w:rsidR="000229E9" w:rsidRPr="00147D0A">
        <w:rPr>
          <w:rFonts w:ascii="Arial Hebrew" w:hAnsi="Arial Hebrew" w:cs="Arial Hebrew" w:hint="cs"/>
          <w:color w:val="000000" w:themeColor="text1"/>
          <w:sz w:val="20"/>
          <w:szCs w:val="20"/>
        </w:rPr>
        <w:t xml:space="preserve">has also been referenced </w:t>
      </w:r>
      <w:r w:rsidR="004C7F9E" w:rsidRPr="00147D0A">
        <w:rPr>
          <w:rFonts w:ascii="Arial Hebrew" w:hAnsi="Arial Hebrew" w:cs="Arial Hebrew" w:hint="cs"/>
          <w:color w:val="000000" w:themeColor="text1"/>
          <w:sz w:val="20"/>
          <w:szCs w:val="20"/>
        </w:rPr>
        <w:t>for components relating to market efficiency, infrastructure, and education</w:t>
      </w:r>
      <w:r w:rsidR="000229E9" w:rsidRPr="00147D0A">
        <w:rPr>
          <w:rFonts w:ascii="Arial Hebrew" w:hAnsi="Arial Hebrew" w:cs="Arial Hebrew" w:hint="cs"/>
          <w:color w:val="000000" w:themeColor="text1"/>
          <w:sz w:val="20"/>
          <w:szCs w:val="20"/>
        </w:rPr>
        <w:t xml:space="preserve">, </w:t>
      </w:r>
      <w:r w:rsidR="006578DE" w:rsidRPr="00147D0A">
        <w:rPr>
          <w:rFonts w:ascii="Arial Hebrew" w:hAnsi="Arial Hebrew" w:cs="Arial Hebrew" w:hint="cs"/>
          <w:color w:val="000000" w:themeColor="text1"/>
          <w:sz w:val="20"/>
          <w:szCs w:val="20"/>
        </w:rPr>
        <w:t>and</w:t>
      </w:r>
      <w:r w:rsidR="000229E9" w:rsidRPr="00147D0A">
        <w:rPr>
          <w:rFonts w:ascii="Arial Hebrew" w:hAnsi="Arial Hebrew" w:cs="Arial Hebrew" w:hint="cs"/>
          <w:color w:val="000000" w:themeColor="text1"/>
          <w:sz w:val="20"/>
          <w:szCs w:val="20"/>
        </w:rPr>
        <w:t xml:space="preserve"> the IMF referenced for i</w:t>
      </w:r>
      <w:r w:rsidR="004C7F9E" w:rsidRPr="00147D0A">
        <w:rPr>
          <w:rFonts w:ascii="Arial Hebrew" w:hAnsi="Arial Hebrew" w:cs="Arial Hebrew" w:hint="cs"/>
          <w:color w:val="000000" w:themeColor="text1"/>
          <w:sz w:val="20"/>
          <w:szCs w:val="20"/>
        </w:rPr>
        <w:t>nformation on</w:t>
      </w:r>
      <w:r w:rsidR="00AD0F82" w:rsidRPr="00147D0A">
        <w:rPr>
          <w:rFonts w:ascii="Arial Hebrew" w:hAnsi="Arial Hebrew" w:cs="Arial Hebrew" w:hint="cs"/>
          <w:color w:val="000000" w:themeColor="text1"/>
          <w:sz w:val="20"/>
          <w:szCs w:val="20"/>
        </w:rPr>
        <w:t xml:space="preserve"> standards of </w:t>
      </w:r>
      <w:r w:rsidR="004C7F9E" w:rsidRPr="00147D0A">
        <w:rPr>
          <w:rFonts w:ascii="Arial Hebrew" w:hAnsi="Arial Hebrew" w:cs="Arial Hebrew" w:hint="cs"/>
          <w:color w:val="000000" w:themeColor="text1"/>
          <w:sz w:val="20"/>
          <w:szCs w:val="20"/>
        </w:rPr>
        <w:t xml:space="preserve">data </w:t>
      </w:r>
      <w:r w:rsidRPr="00147D0A">
        <w:rPr>
          <w:rFonts w:ascii="Arial Hebrew" w:hAnsi="Arial Hebrew" w:cs="Arial Hebrew" w:hint="cs"/>
          <w:color w:val="000000" w:themeColor="text1"/>
          <w:sz w:val="20"/>
          <w:szCs w:val="20"/>
        </w:rPr>
        <w:t>availability</w:t>
      </w:r>
      <w:r w:rsidR="004C7F9E" w:rsidRPr="00147D0A">
        <w:rPr>
          <w:rFonts w:ascii="Arial Hebrew" w:hAnsi="Arial Hebrew" w:cs="Arial Hebrew" w:hint="cs"/>
          <w:color w:val="000000" w:themeColor="text1"/>
          <w:sz w:val="20"/>
          <w:szCs w:val="20"/>
        </w:rPr>
        <w:t xml:space="preserve">. </w:t>
      </w:r>
      <w:r w:rsidR="009F1D4C" w:rsidRPr="00147D0A">
        <w:rPr>
          <w:rFonts w:ascii="Arial Hebrew" w:hAnsi="Arial Hebrew" w:cs="Arial Hebrew" w:hint="cs"/>
          <w:color w:val="000000" w:themeColor="text1"/>
          <w:sz w:val="20"/>
          <w:szCs w:val="20"/>
        </w:rPr>
        <w:t>A</w:t>
      </w:r>
      <w:r w:rsidR="00213C2A" w:rsidRPr="00147D0A">
        <w:rPr>
          <w:rFonts w:ascii="Arial Hebrew" w:hAnsi="Arial Hebrew" w:cs="Arial Hebrew" w:hint="cs"/>
          <w:color w:val="000000" w:themeColor="text1"/>
          <w:sz w:val="20"/>
          <w:szCs w:val="20"/>
        </w:rPr>
        <w:t xml:space="preserve">ssessments of </w:t>
      </w:r>
      <w:r w:rsidR="00213C2A" w:rsidRPr="00147D0A">
        <w:rPr>
          <w:rFonts w:ascii="Arial Hebrew" w:hAnsi="Arial Hebrew" w:cs="Arial Hebrew" w:hint="cs"/>
          <w:b/>
          <w:bCs/>
          <w:color w:val="000000" w:themeColor="text1"/>
          <w:sz w:val="20"/>
          <w:szCs w:val="20"/>
        </w:rPr>
        <w:t>Institutions &amp; Governance Strength</w:t>
      </w:r>
      <w:r w:rsidR="00213C2A" w:rsidRPr="00147D0A">
        <w:rPr>
          <w:rFonts w:ascii="Arial Hebrew" w:hAnsi="Arial Hebrew" w:cs="Arial Hebrew" w:hint="cs"/>
          <w:color w:val="000000" w:themeColor="text1"/>
          <w:sz w:val="20"/>
          <w:szCs w:val="20"/>
        </w:rPr>
        <w:t xml:space="preserve"> are </w:t>
      </w:r>
      <w:r w:rsidR="009F1D4C" w:rsidRPr="00147D0A">
        <w:rPr>
          <w:rFonts w:ascii="Arial Hebrew" w:hAnsi="Arial Hebrew" w:cs="Arial Hebrew" w:hint="cs"/>
          <w:color w:val="000000" w:themeColor="text1"/>
          <w:sz w:val="20"/>
          <w:szCs w:val="20"/>
        </w:rPr>
        <w:t>adjusted according to</w:t>
      </w:r>
      <w:r w:rsidR="00DF1F98" w:rsidRPr="00147D0A">
        <w:rPr>
          <w:rFonts w:ascii="Arial Hebrew" w:hAnsi="Arial Hebrew" w:cs="Arial Hebrew" w:hint="cs"/>
          <w:color w:val="000000" w:themeColor="text1"/>
          <w:sz w:val="20"/>
          <w:szCs w:val="20"/>
        </w:rPr>
        <w:t xml:space="preserve"> government default history and track record of arrears</w:t>
      </w:r>
      <w:r w:rsidR="00D97035" w:rsidRPr="00147D0A">
        <w:rPr>
          <w:rFonts w:ascii="Arial Hebrew" w:hAnsi="Arial Hebrew" w:cs="Arial Hebrew" w:hint="cs"/>
          <w:color w:val="000000" w:themeColor="text1"/>
          <w:sz w:val="20"/>
          <w:szCs w:val="20"/>
        </w:rPr>
        <w:t>.</w:t>
      </w:r>
    </w:p>
    <w:p w14:paraId="327D9572" w14:textId="7108430B" w:rsidR="00B845EF" w:rsidRPr="00147D0A" w:rsidRDefault="00B845EF" w:rsidP="00D21A7A">
      <w:pPr>
        <w:pStyle w:val="ListParagraph"/>
        <w:numPr>
          <w:ilvl w:val="0"/>
          <w:numId w:val="8"/>
        </w:numPr>
        <w:spacing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Fiscal Health</w:t>
      </w:r>
      <w:r w:rsidR="000B50F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0B50F8" w:rsidRPr="00147D0A">
        <w:rPr>
          <w:rFonts w:ascii="Arial Hebrew" w:hAnsi="Arial Hebrew" w:cs="Arial Hebrew" w:hint="cs"/>
          <w:sz w:val="20"/>
          <w:szCs w:val="20"/>
        </w:rPr>
        <w:t>A</w:t>
      </w:r>
      <w:r w:rsidRPr="00147D0A">
        <w:rPr>
          <w:rFonts w:ascii="Arial Hebrew" w:hAnsi="Arial Hebrew" w:cs="Arial Hebrew" w:hint="cs"/>
          <w:sz w:val="20"/>
          <w:szCs w:val="20"/>
        </w:rPr>
        <w:t>ssesses the sustainability of government finances</w:t>
      </w:r>
      <w:r w:rsidR="00982C36" w:rsidRPr="00147D0A">
        <w:rPr>
          <w:rFonts w:ascii="Arial Hebrew" w:hAnsi="Arial Hebrew" w:cs="Arial Hebrew" w:hint="cs"/>
          <w:sz w:val="20"/>
          <w:szCs w:val="20"/>
        </w:rPr>
        <w:t xml:space="preserve"> using</w:t>
      </w:r>
      <w:r w:rsidR="00D21A7A" w:rsidRPr="00147D0A">
        <w:rPr>
          <w:rFonts w:ascii="Arial Hebrew" w:hAnsi="Arial Hebrew" w:cs="Arial Hebrew" w:hint="cs"/>
          <w:sz w:val="20"/>
          <w:szCs w:val="20"/>
        </w:rPr>
        <w:t xml:space="preserve"> g</w:t>
      </w:r>
      <w:r w:rsidR="00982C36" w:rsidRPr="00147D0A">
        <w:rPr>
          <w:rFonts w:ascii="Arial Hebrew" w:hAnsi="Arial Hebrew" w:cs="Arial Hebrew" w:hint="cs"/>
          <w:i/>
          <w:iCs/>
          <w:sz w:val="20"/>
          <w:szCs w:val="20"/>
        </w:rPr>
        <w:t>o</w:t>
      </w:r>
      <w:r w:rsidRPr="00147D0A">
        <w:rPr>
          <w:rFonts w:ascii="Arial Hebrew" w:hAnsi="Arial Hebrew" w:cs="Arial Hebrew" w:hint="cs"/>
          <w:i/>
          <w:iCs/>
          <w:sz w:val="20"/>
          <w:szCs w:val="20"/>
        </w:rPr>
        <w:t xml:space="preserve">vernment debt </w:t>
      </w:r>
      <w:r w:rsidR="00DF1F98" w:rsidRPr="00147D0A">
        <w:rPr>
          <w:rFonts w:ascii="Arial Hebrew" w:hAnsi="Arial Hebrew" w:cs="Arial Hebrew" w:hint="cs"/>
          <w:i/>
          <w:iCs/>
          <w:sz w:val="20"/>
          <w:szCs w:val="20"/>
        </w:rPr>
        <w:t>burden</w:t>
      </w:r>
      <w:r w:rsidR="003331F5" w:rsidRPr="00147D0A">
        <w:rPr>
          <w:rFonts w:ascii="Arial Hebrew" w:hAnsi="Arial Hebrew" w:cs="Arial Hebrew" w:hint="cs"/>
          <w:i/>
          <w:iCs/>
          <w:sz w:val="20"/>
          <w:szCs w:val="20"/>
        </w:rPr>
        <w:t xml:space="preserve"> </w:t>
      </w:r>
      <w:r w:rsidR="003331F5" w:rsidRPr="00147D0A">
        <w:rPr>
          <w:rFonts w:ascii="Arial Hebrew" w:hAnsi="Arial Hebrew" w:cs="Arial Hebrew" w:hint="cs"/>
          <w:sz w:val="20"/>
          <w:szCs w:val="20"/>
        </w:rPr>
        <w:t>(</w:t>
      </w:r>
      <w:r w:rsidR="00DF1F98" w:rsidRPr="00147D0A">
        <w:rPr>
          <w:rFonts w:ascii="Arial Hebrew" w:hAnsi="Arial Hebrew" w:cs="Arial Hebrew" w:hint="cs"/>
          <w:sz w:val="20"/>
          <w:szCs w:val="20"/>
        </w:rPr>
        <w:t>50</w:t>
      </w:r>
      <w:r w:rsidR="003331F5" w:rsidRPr="00147D0A">
        <w:rPr>
          <w:rFonts w:ascii="Arial Hebrew" w:hAnsi="Arial Hebrew" w:cs="Arial Hebrew" w:hint="cs"/>
          <w:sz w:val="20"/>
          <w:szCs w:val="20"/>
        </w:rPr>
        <w:t>%)</w:t>
      </w:r>
      <w:r w:rsidR="006D6E8B" w:rsidRPr="00147D0A">
        <w:rPr>
          <w:rFonts w:ascii="Arial Hebrew" w:hAnsi="Arial Hebrew" w:cs="Arial Hebrew" w:hint="cs"/>
          <w:i/>
          <w:iCs/>
          <w:sz w:val="20"/>
          <w:szCs w:val="20"/>
        </w:rPr>
        <w:t xml:space="preserve"> </w:t>
      </w:r>
      <w:r w:rsidR="00D21A7A" w:rsidRPr="00147D0A">
        <w:rPr>
          <w:rFonts w:ascii="Arial Hebrew" w:hAnsi="Arial Hebrew" w:cs="Arial Hebrew" w:hint="cs"/>
          <w:sz w:val="20"/>
          <w:szCs w:val="20"/>
        </w:rPr>
        <w:t xml:space="preserve">– the </w:t>
      </w:r>
      <w:r w:rsidR="001975B5" w:rsidRPr="00147D0A">
        <w:rPr>
          <w:rFonts w:ascii="Arial Hebrew" w:hAnsi="Arial Hebrew" w:cs="Arial Hebrew" w:hint="cs"/>
          <w:sz w:val="20"/>
          <w:szCs w:val="20"/>
        </w:rPr>
        <w:t>average of</w:t>
      </w:r>
      <w:r w:rsidR="00DF1F98" w:rsidRPr="00147D0A">
        <w:rPr>
          <w:rFonts w:ascii="Arial Hebrew" w:hAnsi="Arial Hebrew" w:cs="Arial Hebrew" w:hint="cs"/>
          <w:sz w:val="20"/>
          <w:szCs w:val="20"/>
        </w:rPr>
        <w:t xml:space="preserve"> debt-to-GDP and debt-to-revenue</w:t>
      </w:r>
      <w:r w:rsidR="001975B5" w:rsidRPr="00147D0A">
        <w:rPr>
          <w:rFonts w:ascii="Arial Hebrew" w:hAnsi="Arial Hebrew" w:cs="Arial Hebrew" w:hint="cs"/>
          <w:sz w:val="20"/>
          <w:szCs w:val="20"/>
        </w:rPr>
        <w:t xml:space="preserve"> ratios</w:t>
      </w:r>
      <w:r w:rsidR="00D21A7A" w:rsidRPr="00147D0A">
        <w:rPr>
          <w:rFonts w:ascii="Arial Hebrew" w:hAnsi="Arial Hebrew" w:cs="Arial Hebrew" w:hint="cs"/>
          <w:sz w:val="20"/>
          <w:szCs w:val="20"/>
        </w:rPr>
        <w:t xml:space="preserve"> – and g</w:t>
      </w:r>
      <w:r w:rsidR="00DF1F98" w:rsidRPr="00147D0A">
        <w:rPr>
          <w:rFonts w:ascii="Arial Hebrew" w:hAnsi="Arial Hebrew" w:cs="Arial Hebrew" w:hint="cs"/>
          <w:i/>
          <w:iCs/>
          <w:sz w:val="20"/>
          <w:szCs w:val="20"/>
        </w:rPr>
        <w:t xml:space="preserve">overnment </w:t>
      </w:r>
      <w:r w:rsidRPr="00147D0A">
        <w:rPr>
          <w:rFonts w:ascii="Arial Hebrew" w:hAnsi="Arial Hebrew" w:cs="Arial Hebrew" w:hint="cs"/>
          <w:i/>
          <w:iCs/>
          <w:sz w:val="20"/>
          <w:szCs w:val="20"/>
        </w:rPr>
        <w:t xml:space="preserve">debt affordability </w:t>
      </w:r>
      <w:r w:rsidRPr="00147D0A">
        <w:rPr>
          <w:rFonts w:ascii="Arial Hebrew" w:hAnsi="Arial Hebrew" w:cs="Arial Hebrew" w:hint="cs"/>
          <w:sz w:val="20"/>
          <w:szCs w:val="20"/>
        </w:rPr>
        <w:t>(</w:t>
      </w:r>
      <w:r w:rsidR="00DF1F98" w:rsidRPr="00147D0A">
        <w:rPr>
          <w:rFonts w:ascii="Arial Hebrew" w:hAnsi="Arial Hebrew" w:cs="Arial Hebrew" w:hint="cs"/>
          <w:sz w:val="20"/>
          <w:szCs w:val="20"/>
        </w:rPr>
        <w:t>50%</w:t>
      </w:r>
      <w:r w:rsidRPr="00147D0A">
        <w:rPr>
          <w:rFonts w:ascii="Arial Hebrew" w:hAnsi="Arial Hebrew" w:cs="Arial Hebrew" w:hint="cs"/>
          <w:sz w:val="20"/>
          <w:szCs w:val="20"/>
        </w:rPr>
        <w:t>)</w:t>
      </w:r>
      <w:r w:rsidR="00D21A7A" w:rsidRPr="00147D0A">
        <w:rPr>
          <w:rFonts w:ascii="Arial Hebrew" w:hAnsi="Arial Hebrew" w:cs="Arial Hebrew" w:hint="cs"/>
          <w:sz w:val="20"/>
          <w:szCs w:val="20"/>
        </w:rPr>
        <w:t xml:space="preserve"> – the </w:t>
      </w:r>
      <w:r w:rsidR="00356C37" w:rsidRPr="00147D0A">
        <w:rPr>
          <w:rFonts w:ascii="Arial Hebrew" w:hAnsi="Arial Hebrew" w:cs="Arial Hebrew" w:hint="cs"/>
          <w:sz w:val="20"/>
          <w:szCs w:val="20"/>
        </w:rPr>
        <w:t>average of</w:t>
      </w:r>
      <w:r w:rsidR="00A87C6F" w:rsidRPr="00147D0A">
        <w:rPr>
          <w:rFonts w:ascii="Arial Hebrew" w:hAnsi="Arial Hebrew" w:cs="Arial Hebrew" w:hint="cs"/>
          <w:sz w:val="20"/>
          <w:szCs w:val="20"/>
        </w:rPr>
        <w:t xml:space="preserve"> the ratios of</w:t>
      </w:r>
      <w:r w:rsidR="00DF1F98" w:rsidRPr="00147D0A">
        <w:rPr>
          <w:rFonts w:ascii="Arial Hebrew" w:hAnsi="Arial Hebrew" w:cs="Arial Hebrew" w:hint="cs"/>
          <w:sz w:val="20"/>
          <w:szCs w:val="20"/>
        </w:rPr>
        <w:t xml:space="preserve"> interest</w:t>
      </w:r>
      <w:r w:rsidR="00564740" w:rsidRPr="00147D0A">
        <w:rPr>
          <w:rFonts w:ascii="Arial Hebrew" w:hAnsi="Arial Hebrew" w:cs="Arial Hebrew" w:hint="cs"/>
          <w:sz w:val="20"/>
          <w:szCs w:val="20"/>
        </w:rPr>
        <w:t>-</w:t>
      </w:r>
      <w:r w:rsidR="00DF1F98" w:rsidRPr="00147D0A">
        <w:rPr>
          <w:rFonts w:ascii="Arial Hebrew" w:hAnsi="Arial Hebrew" w:cs="Arial Hebrew" w:hint="cs"/>
          <w:sz w:val="20"/>
          <w:szCs w:val="20"/>
        </w:rPr>
        <w:t>payments</w:t>
      </w:r>
      <w:r w:rsidR="00564740" w:rsidRPr="00147D0A">
        <w:rPr>
          <w:rFonts w:ascii="Arial Hebrew" w:hAnsi="Arial Hebrew" w:cs="Arial Hebrew" w:hint="cs"/>
          <w:sz w:val="20"/>
          <w:szCs w:val="20"/>
        </w:rPr>
        <w:t>-</w:t>
      </w:r>
      <w:r w:rsidR="00356C37" w:rsidRPr="00147D0A">
        <w:rPr>
          <w:rFonts w:ascii="Arial Hebrew" w:hAnsi="Arial Hebrew" w:cs="Arial Hebrew" w:hint="cs"/>
          <w:sz w:val="20"/>
          <w:szCs w:val="20"/>
        </w:rPr>
        <w:t>to</w:t>
      </w:r>
      <w:r w:rsidR="00564740" w:rsidRPr="00147D0A">
        <w:rPr>
          <w:rFonts w:ascii="Arial Hebrew" w:hAnsi="Arial Hebrew" w:cs="Arial Hebrew" w:hint="cs"/>
          <w:sz w:val="20"/>
          <w:szCs w:val="20"/>
        </w:rPr>
        <w:t>-</w:t>
      </w:r>
      <w:r w:rsidR="00356C37" w:rsidRPr="00147D0A">
        <w:rPr>
          <w:rFonts w:ascii="Arial Hebrew" w:hAnsi="Arial Hebrew" w:cs="Arial Hebrew" w:hint="cs"/>
          <w:sz w:val="20"/>
          <w:szCs w:val="20"/>
        </w:rPr>
        <w:t>GDP and interest</w:t>
      </w:r>
      <w:r w:rsidR="00564740" w:rsidRPr="00147D0A">
        <w:rPr>
          <w:rFonts w:ascii="Arial Hebrew" w:hAnsi="Arial Hebrew" w:cs="Arial Hebrew" w:hint="cs"/>
          <w:sz w:val="20"/>
          <w:szCs w:val="20"/>
        </w:rPr>
        <w:t>-</w:t>
      </w:r>
      <w:r w:rsidR="00356C37" w:rsidRPr="00147D0A">
        <w:rPr>
          <w:rFonts w:ascii="Arial Hebrew" w:hAnsi="Arial Hebrew" w:cs="Arial Hebrew" w:hint="cs"/>
          <w:sz w:val="20"/>
          <w:szCs w:val="20"/>
        </w:rPr>
        <w:t>payments</w:t>
      </w:r>
      <w:r w:rsidR="00564740" w:rsidRPr="00147D0A">
        <w:rPr>
          <w:rFonts w:ascii="Arial Hebrew" w:hAnsi="Arial Hebrew" w:cs="Arial Hebrew" w:hint="cs"/>
          <w:sz w:val="20"/>
          <w:szCs w:val="20"/>
        </w:rPr>
        <w:t>-</w:t>
      </w:r>
      <w:r w:rsidR="00DF1F98" w:rsidRPr="00147D0A">
        <w:rPr>
          <w:rFonts w:ascii="Arial Hebrew" w:hAnsi="Arial Hebrew" w:cs="Arial Hebrew" w:hint="cs"/>
          <w:sz w:val="20"/>
          <w:szCs w:val="20"/>
        </w:rPr>
        <w:t>to</w:t>
      </w:r>
      <w:r w:rsidR="00564740" w:rsidRPr="00147D0A">
        <w:rPr>
          <w:rFonts w:ascii="Arial Hebrew" w:hAnsi="Arial Hebrew" w:cs="Arial Hebrew" w:hint="cs"/>
          <w:sz w:val="20"/>
          <w:szCs w:val="20"/>
        </w:rPr>
        <w:t>-</w:t>
      </w:r>
      <w:r w:rsidR="00DF1F98" w:rsidRPr="00147D0A">
        <w:rPr>
          <w:rFonts w:ascii="Arial Hebrew" w:hAnsi="Arial Hebrew" w:cs="Arial Hebrew" w:hint="cs"/>
          <w:sz w:val="20"/>
          <w:szCs w:val="20"/>
        </w:rPr>
        <w:t>revenue.</w:t>
      </w:r>
      <w:r w:rsidR="00D21A7A" w:rsidRPr="00147D0A">
        <w:rPr>
          <w:rFonts w:ascii="Arial Hebrew" w:hAnsi="Arial Hebrew" w:cs="Arial Hebrew" w:hint="cs"/>
          <w:sz w:val="20"/>
          <w:szCs w:val="20"/>
        </w:rPr>
        <w:t xml:space="preserve"> </w:t>
      </w:r>
      <w:r w:rsidR="00DF1F98" w:rsidRPr="00147D0A">
        <w:rPr>
          <w:rFonts w:ascii="Arial Hebrew" w:hAnsi="Arial Hebrew" w:cs="Arial Hebrew" w:hint="cs"/>
          <w:sz w:val="20"/>
          <w:szCs w:val="20"/>
        </w:rPr>
        <w:t xml:space="preserve">Adjustments </w:t>
      </w:r>
      <w:r w:rsidR="000229E9" w:rsidRPr="00147D0A">
        <w:rPr>
          <w:rFonts w:ascii="Arial Hebrew" w:hAnsi="Arial Hebrew" w:cs="Arial Hebrew" w:hint="cs"/>
          <w:sz w:val="20"/>
          <w:szCs w:val="20"/>
        </w:rPr>
        <w:t xml:space="preserve">to this factor are </w:t>
      </w:r>
      <w:r w:rsidR="00DF1F98" w:rsidRPr="00147D0A">
        <w:rPr>
          <w:rFonts w:ascii="Arial Hebrew" w:hAnsi="Arial Hebrew" w:cs="Arial Hebrew" w:hint="cs"/>
          <w:sz w:val="20"/>
          <w:szCs w:val="20"/>
        </w:rPr>
        <w:t>made according to expected change</w:t>
      </w:r>
      <w:r w:rsidR="00356C37" w:rsidRPr="00147D0A">
        <w:rPr>
          <w:rFonts w:ascii="Arial Hebrew" w:hAnsi="Arial Hebrew" w:cs="Arial Hebrew" w:hint="cs"/>
          <w:sz w:val="20"/>
          <w:szCs w:val="20"/>
        </w:rPr>
        <w:t>s</w:t>
      </w:r>
      <w:r w:rsidR="00DF1F98" w:rsidRPr="00147D0A">
        <w:rPr>
          <w:rFonts w:ascii="Arial Hebrew" w:hAnsi="Arial Hebrew" w:cs="Arial Hebrew" w:hint="cs"/>
          <w:sz w:val="20"/>
          <w:szCs w:val="20"/>
        </w:rPr>
        <w:t xml:space="preserve"> in debt burden, </w:t>
      </w:r>
      <w:r w:rsidR="0003412A" w:rsidRPr="00147D0A">
        <w:rPr>
          <w:rFonts w:ascii="Arial Hebrew" w:hAnsi="Arial Hebrew" w:cs="Arial Hebrew" w:hint="cs"/>
          <w:sz w:val="20"/>
          <w:szCs w:val="20"/>
        </w:rPr>
        <w:t>the</w:t>
      </w:r>
      <w:r w:rsidR="00356C37" w:rsidRPr="00147D0A">
        <w:rPr>
          <w:rFonts w:ascii="Arial Hebrew" w:hAnsi="Arial Hebrew" w:cs="Arial Hebrew" w:hint="cs"/>
          <w:sz w:val="20"/>
          <w:szCs w:val="20"/>
        </w:rPr>
        <w:t xml:space="preserve"> share of </w:t>
      </w:r>
      <w:r w:rsidR="00356C37" w:rsidRPr="00147D0A">
        <w:rPr>
          <w:rFonts w:ascii="Arial Hebrew" w:hAnsi="Arial Hebrew" w:cs="Arial Hebrew" w:hint="cs"/>
          <w:sz w:val="20"/>
          <w:szCs w:val="20"/>
        </w:rPr>
        <w:lastRenderedPageBreak/>
        <w:t>foreign-currency-denominated debt, and the value of public</w:t>
      </w:r>
      <w:r w:rsidR="009A4FC0" w:rsidRPr="00147D0A">
        <w:rPr>
          <w:rFonts w:ascii="Arial Hebrew" w:hAnsi="Arial Hebrew" w:cs="Arial Hebrew" w:hint="cs"/>
          <w:sz w:val="20"/>
          <w:szCs w:val="20"/>
        </w:rPr>
        <w:t xml:space="preserve"> assets </w:t>
      </w:r>
      <w:r w:rsidR="00564740" w:rsidRPr="00147D0A">
        <w:rPr>
          <w:rFonts w:ascii="Arial Hebrew" w:hAnsi="Arial Hebrew" w:cs="Arial Hebrew" w:hint="cs"/>
          <w:sz w:val="20"/>
          <w:szCs w:val="20"/>
        </w:rPr>
        <w:t>(</w:t>
      </w:r>
      <w:r w:rsidR="009A4FC0" w:rsidRPr="00147D0A">
        <w:rPr>
          <w:rFonts w:ascii="Arial Hebrew" w:hAnsi="Arial Hebrew" w:cs="Arial Hebrew" w:hint="cs"/>
          <w:sz w:val="20"/>
          <w:szCs w:val="20"/>
        </w:rPr>
        <w:t>including sovereign wealth funds</w:t>
      </w:r>
      <w:r w:rsidR="00564740" w:rsidRPr="00147D0A">
        <w:rPr>
          <w:rFonts w:ascii="Arial Hebrew" w:hAnsi="Arial Hebrew" w:cs="Arial Hebrew" w:hint="cs"/>
          <w:sz w:val="20"/>
          <w:szCs w:val="20"/>
        </w:rPr>
        <w:t>)</w:t>
      </w:r>
      <w:r w:rsidR="00D97035" w:rsidRPr="00147D0A">
        <w:rPr>
          <w:rFonts w:ascii="Arial Hebrew" w:hAnsi="Arial Hebrew" w:cs="Arial Hebrew" w:hint="cs"/>
          <w:sz w:val="20"/>
          <w:szCs w:val="20"/>
        </w:rPr>
        <w:t>.</w:t>
      </w:r>
    </w:p>
    <w:p w14:paraId="1E0AD7F7" w14:textId="068CD5CA" w:rsidR="00356C37" w:rsidRPr="00147D0A" w:rsidRDefault="00D90164" w:rsidP="005A2C32">
      <w:pPr>
        <w:pStyle w:val="ListParagraph"/>
        <w:numPr>
          <w:ilvl w:val="0"/>
          <w:numId w:val="8"/>
        </w:numPr>
        <w:spacing w:before="240" w:line="360" w:lineRule="auto"/>
        <w:jc w:val="both"/>
        <w:rPr>
          <w:rFonts w:ascii="Arial Hebrew" w:hAnsi="Arial Hebrew" w:cs="Arial Hebrew"/>
          <w:sz w:val="20"/>
          <w:szCs w:val="20"/>
        </w:rPr>
      </w:pPr>
      <w:r w:rsidRPr="00147D0A">
        <w:rPr>
          <w:rFonts w:ascii="Arial Hebrew" w:hAnsi="Arial Hebrew" w:cs="Arial Hebrew" w:hint="cs"/>
          <w:b/>
          <w:bCs/>
          <w:sz w:val="20"/>
          <w:szCs w:val="20"/>
        </w:rPr>
        <w:t>Susceptibility to Event Risk</w:t>
      </w:r>
      <w:r w:rsidR="000B50F8"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0B50F8" w:rsidRPr="00147D0A">
        <w:rPr>
          <w:rFonts w:ascii="Arial Hebrew" w:hAnsi="Arial Hebrew" w:cs="Arial Hebrew" w:hint="cs"/>
          <w:sz w:val="20"/>
          <w:szCs w:val="20"/>
        </w:rPr>
        <w:t>A</w:t>
      </w:r>
      <w:r w:rsidRPr="00147D0A">
        <w:rPr>
          <w:rFonts w:ascii="Arial Hebrew" w:hAnsi="Arial Hebrew" w:cs="Arial Hebrew" w:hint="cs"/>
          <w:sz w:val="20"/>
          <w:szCs w:val="20"/>
        </w:rPr>
        <w:t>ssesses vulnerability to sudden, disruptive events</w:t>
      </w:r>
      <w:r w:rsidR="00D14057" w:rsidRPr="00147D0A">
        <w:rPr>
          <w:rFonts w:ascii="Arial Hebrew" w:hAnsi="Arial Hebrew" w:cs="Arial Hebrew" w:hint="cs"/>
          <w:sz w:val="20"/>
          <w:szCs w:val="20"/>
        </w:rPr>
        <w:t>, using</w:t>
      </w:r>
      <w:r w:rsidRPr="00147D0A">
        <w:rPr>
          <w:rFonts w:ascii="Arial Hebrew" w:hAnsi="Arial Hebrew" w:cs="Arial Hebrew" w:hint="cs"/>
          <w:sz w:val="20"/>
          <w:szCs w:val="20"/>
        </w:rPr>
        <w:t xml:space="preserve"> four sub-factors: </w:t>
      </w:r>
    </w:p>
    <w:p w14:paraId="779BAF7D" w14:textId="685BD034" w:rsidR="00356C37" w:rsidRPr="00147D0A" w:rsidRDefault="00D90164" w:rsidP="00356C37">
      <w:pPr>
        <w:pStyle w:val="ListParagraph"/>
        <w:numPr>
          <w:ilvl w:val="0"/>
          <w:numId w:val="15"/>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Political Risk</w:t>
      </w:r>
      <w:r w:rsidR="00D21A7A"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009A4FC0" w:rsidRPr="00147D0A">
        <w:rPr>
          <w:rFonts w:ascii="Arial Hebrew" w:hAnsi="Arial Hebrew" w:cs="Arial Hebrew" w:hint="cs"/>
          <w:sz w:val="20"/>
          <w:szCs w:val="20"/>
        </w:rPr>
        <w:t xml:space="preserve">domestic political and geopolitical </w:t>
      </w:r>
      <w:r w:rsidR="00CB5035" w:rsidRPr="00147D0A">
        <w:rPr>
          <w:rFonts w:ascii="Arial Hebrew" w:hAnsi="Arial Hebrew" w:cs="Arial Hebrew" w:hint="cs"/>
          <w:sz w:val="20"/>
          <w:szCs w:val="20"/>
        </w:rPr>
        <w:t>instability</w:t>
      </w:r>
      <w:r w:rsidR="00D21A7A" w:rsidRPr="00147D0A">
        <w:rPr>
          <w:rFonts w:ascii="Arial Hebrew" w:hAnsi="Arial Hebrew" w:cs="Arial Hebrew" w:hint="cs"/>
          <w:sz w:val="20"/>
          <w:szCs w:val="20"/>
        </w:rPr>
        <w:t>. Assessment</w:t>
      </w:r>
      <w:r w:rsidR="009A4FC0" w:rsidRPr="00147D0A">
        <w:rPr>
          <w:rFonts w:ascii="Arial Hebrew" w:hAnsi="Arial Hebrew" w:cs="Arial Hebrew" w:hint="cs"/>
          <w:sz w:val="20"/>
          <w:szCs w:val="20"/>
        </w:rPr>
        <w:t xml:space="preserve"> </w:t>
      </w:r>
      <w:r w:rsidR="006D6E8B" w:rsidRPr="00147D0A">
        <w:rPr>
          <w:rFonts w:ascii="Arial Hebrew" w:hAnsi="Arial Hebrew" w:cs="Arial Hebrew" w:hint="cs"/>
          <w:sz w:val="20"/>
          <w:szCs w:val="20"/>
        </w:rPr>
        <w:t>refers to</w:t>
      </w:r>
      <w:r w:rsidRPr="00147D0A">
        <w:rPr>
          <w:rFonts w:ascii="Arial Hebrew" w:hAnsi="Arial Hebrew" w:cs="Arial Hebrew" w:hint="cs"/>
          <w:sz w:val="20"/>
          <w:szCs w:val="20"/>
        </w:rPr>
        <w:t xml:space="preserve"> </w:t>
      </w:r>
      <w:r w:rsidR="003D3617" w:rsidRPr="00147D0A">
        <w:rPr>
          <w:rFonts w:ascii="Arial Hebrew" w:hAnsi="Arial Hebrew" w:cs="Arial Hebrew" w:hint="cs"/>
          <w:sz w:val="20"/>
          <w:szCs w:val="20"/>
        </w:rPr>
        <w:t>World Bank WGIs</w:t>
      </w:r>
      <w:r w:rsidR="00D21A7A" w:rsidRPr="00147D0A">
        <w:rPr>
          <w:rFonts w:ascii="Arial Hebrew" w:hAnsi="Arial Hebrew" w:cs="Arial Hebrew" w:hint="cs"/>
          <w:sz w:val="20"/>
          <w:szCs w:val="20"/>
        </w:rPr>
        <w:t>,</w:t>
      </w:r>
      <w:r w:rsidR="003331F5" w:rsidRPr="00147D0A">
        <w:rPr>
          <w:rFonts w:ascii="Arial Hebrew" w:hAnsi="Arial Hebrew" w:cs="Arial Hebrew" w:hint="cs"/>
          <w:sz w:val="20"/>
          <w:szCs w:val="20"/>
        </w:rPr>
        <w:t xml:space="preserve"> along with socioeconomic indicators for unemployment and inequality</w:t>
      </w:r>
      <w:r w:rsidR="00D21A7A" w:rsidRPr="00147D0A">
        <w:rPr>
          <w:rFonts w:ascii="Arial Hebrew" w:hAnsi="Arial Hebrew" w:cs="Arial Hebrew" w:hint="cs"/>
          <w:sz w:val="20"/>
          <w:szCs w:val="20"/>
        </w:rPr>
        <w:t>.</w:t>
      </w:r>
    </w:p>
    <w:p w14:paraId="5A883952" w14:textId="598F60E5" w:rsidR="00356C37" w:rsidRPr="00147D0A" w:rsidRDefault="00D90164" w:rsidP="00356C37">
      <w:pPr>
        <w:pStyle w:val="ListParagraph"/>
        <w:numPr>
          <w:ilvl w:val="0"/>
          <w:numId w:val="15"/>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Government Liquidity Risk</w:t>
      </w:r>
      <w:r w:rsidR="00FF3622" w:rsidRPr="00147D0A">
        <w:rPr>
          <w:rFonts w:ascii="Arial Hebrew" w:hAnsi="Arial Hebrew" w:cs="Arial Hebrew" w:hint="cs"/>
          <w:b/>
          <w:bCs/>
          <w:i/>
          <w:iCs/>
          <w:sz w:val="20"/>
          <w:szCs w:val="20"/>
        </w:rPr>
        <w:t>:</w:t>
      </w:r>
      <w:r w:rsidR="006D6E8B" w:rsidRPr="00147D0A">
        <w:rPr>
          <w:rFonts w:ascii="Arial Hebrew" w:hAnsi="Arial Hebrew" w:cs="Arial Hebrew" w:hint="cs"/>
          <w:i/>
          <w:iCs/>
          <w:sz w:val="20"/>
          <w:szCs w:val="20"/>
        </w:rPr>
        <w:t xml:space="preserve"> </w:t>
      </w:r>
      <w:r w:rsidR="006D6E8B" w:rsidRPr="00147D0A">
        <w:rPr>
          <w:rFonts w:ascii="Arial Hebrew" w:hAnsi="Arial Hebrew" w:cs="Arial Hebrew" w:hint="cs"/>
          <w:sz w:val="20"/>
          <w:szCs w:val="20"/>
        </w:rPr>
        <w:t>failure of government cash flow</w:t>
      </w:r>
      <w:r w:rsidR="00FB5666" w:rsidRPr="00147D0A">
        <w:rPr>
          <w:rFonts w:ascii="Arial Hebrew" w:hAnsi="Arial Hebrew" w:cs="Arial Hebrew" w:hint="cs"/>
          <w:sz w:val="20"/>
          <w:szCs w:val="20"/>
        </w:rPr>
        <w:t>.</w:t>
      </w:r>
    </w:p>
    <w:p w14:paraId="73B5F23B" w14:textId="6C851AEA" w:rsidR="00356C37" w:rsidRPr="00147D0A" w:rsidRDefault="00D90164" w:rsidP="00356C37">
      <w:pPr>
        <w:pStyle w:val="ListParagraph"/>
        <w:numPr>
          <w:ilvl w:val="0"/>
          <w:numId w:val="15"/>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Banking Sector Risk</w:t>
      </w:r>
      <w:r w:rsidR="00FF3622" w:rsidRPr="00147D0A">
        <w:rPr>
          <w:rFonts w:ascii="Arial Hebrew" w:hAnsi="Arial Hebrew" w:cs="Arial Hebrew" w:hint="cs"/>
          <w:b/>
          <w:bCs/>
          <w:i/>
          <w:iCs/>
          <w:sz w:val="20"/>
          <w:szCs w:val="20"/>
        </w:rPr>
        <w:t>:</w:t>
      </w:r>
      <w:r w:rsidR="006D6E8B" w:rsidRPr="00147D0A">
        <w:rPr>
          <w:rFonts w:ascii="Arial Hebrew" w:hAnsi="Arial Hebrew" w:cs="Arial Hebrew" w:hint="cs"/>
          <w:i/>
          <w:iCs/>
          <w:sz w:val="20"/>
          <w:szCs w:val="20"/>
        </w:rPr>
        <w:t xml:space="preserve"> </w:t>
      </w:r>
      <w:r w:rsidR="00704121" w:rsidRPr="00147D0A">
        <w:rPr>
          <w:rFonts w:ascii="Arial Hebrew" w:hAnsi="Arial Hebrew" w:cs="Arial Hebrew" w:hint="cs"/>
          <w:sz w:val="20"/>
          <w:szCs w:val="20"/>
        </w:rPr>
        <w:t xml:space="preserve">failure of </w:t>
      </w:r>
      <w:r w:rsidR="00FF3622" w:rsidRPr="00147D0A">
        <w:rPr>
          <w:rFonts w:ascii="Arial Hebrew" w:hAnsi="Arial Hebrew" w:cs="Arial Hebrew" w:hint="cs"/>
          <w:sz w:val="20"/>
          <w:szCs w:val="20"/>
        </w:rPr>
        <w:t xml:space="preserve">national </w:t>
      </w:r>
      <w:r w:rsidR="00704121" w:rsidRPr="00147D0A">
        <w:rPr>
          <w:rFonts w:ascii="Arial Hebrew" w:hAnsi="Arial Hebrew" w:cs="Arial Hebrew" w:hint="cs"/>
          <w:sz w:val="20"/>
          <w:szCs w:val="20"/>
        </w:rPr>
        <w:t>banking or payments systems</w:t>
      </w:r>
      <w:r w:rsidR="00FB5666" w:rsidRPr="00147D0A">
        <w:rPr>
          <w:rFonts w:ascii="Arial Hebrew" w:hAnsi="Arial Hebrew" w:cs="Arial Hebrew" w:hint="cs"/>
          <w:sz w:val="20"/>
          <w:szCs w:val="20"/>
        </w:rPr>
        <w:t>.</w:t>
      </w:r>
    </w:p>
    <w:p w14:paraId="2613C97D" w14:textId="5A93AEFD" w:rsidR="006D6E8B" w:rsidRPr="00147D0A" w:rsidRDefault="00D90164" w:rsidP="006225ED">
      <w:pPr>
        <w:pStyle w:val="ListParagraph"/>
        <w:numPr>
          <w:ilvl w:val="0"/>
          <w:numId w:val="15"/>
        </w:numPr>
        <w:spacing w:before="240"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External Vulnerability Risk</w:t>
      </w:r>
      <w:r w:rsidR="00FF3622" w:rsidRPr="00147D0A">
        <w:rPr>
          <w:rFonts w:ascii="Arial Hebrew" w:hAnsi="Arial Hebrew" w:cs="Arial Hebrew" w:hint="cs"/>
          <w:b/>
          <w:bCs/>
          <w:i/>
          <w:iCs/>
          <w:sz w:val="20"/>
          <w:szCs w:val="20"/>
        </w:rPr>
        <w:t>:</w:t>
      </w:r>
      <w:r w:rsidR="00C531B1" w:rsidRPr="00147D0A">
        <w:rPr>
          <w:rFonts w:ascii="Arial Hebrew" w:hAnsi="Arial Hebrew" w:cs="Arial Hebrew" w:hint="cs"/>
          <w:i/>
          <w:iCs/>
          <w:sz w:val="20"/>
          <w:szCs w:val="20"/>
        </w:rPr>
        <w:t xml:space="preserve"> </w:t>
      </w:r>
      <w:r w:rsidR="00704121" w:rsidRPr="00147D0A">
        <w:rPr>
          <w:rFonts w:ascii="Arial Hebrew" w:hAnsi="Arial Hebrew" w:cs="Arial Hebrew" w:hint="cs"/>
          <w:sz w:val="20"/>
          <w:szCs w:val="20"/>
        </w:rPr>
        <w:t>risks</w:t>
      </w:r>
      <w:r w:rsidR="003D3617" w:rsidRPr="00147D0A">
        <w:rPr>
          <w:rFonts w:ascii="Arial Hebrew" w:hAnsi="Arial Hebrew" w:cs="Arial Hebrew" w:hint="cs"/>
          <w:sz w:val="20"/>
          <w:szCs w:val="20"/>
        </w:rPr>
        <w:t xml:space="preserve"> originating</w:t>
      </w:r>
      <w:r w:rsidR="00FF3622" w:rsidRPr="00147D0A">
        <w:rPr>
          <w:rFonts w:ascii="Arial Hebrew" w:hAnsi="Arial Hebrew" w:cs="Arial Hebrew" w:hint="cs"/>
          <w:sz w:val="20"/>
          <w:szCs w:val="20"/>
        </w:rPr>
        <w:t xml:space="preserve"> from </w:t>
      </w:r>
      <w:r w:rsidR="006225ED" w:rsidRPr="00147D0A">
        <w:rPr>
          <w:rFonts w:ascii="Arial Hebrew" w:hAnsi="Arial Hebrew" w:cs="Arial Hebrew" w:hint="cs"/>
          <w:sz w:val="20"/>
          <w:szCs w:val="20"/>
        </w:rPr>
        <w:t>current account position and its financing structure, sustainability of external liabilities</w:t>
      </w:r>
      <w:r w:rsidR="00AC5204" w:rsidRPr="00147D0A">
        <w:rPr>
          <w:rFonts w:ascii="Arial Hebrew" w:hAnsi="Arial Hebrew" w:cs="Arial Hebrew" w:hint="cs"/>
          <w:sz w:val="20"/>
          <w:szCs w:val="20"/>
        </w:rPr>
        <w:t>,</w:t>
      </w:r>
      <w:r w:rsidR="006225ED" w:rsidRPr="00147D0A">
        <w:rPr>
          <w:rFonts w:ascii="Arial Hebrew" w:hAnsi="Arial Hebrew" w:cs="Arial Hebrew" w:hint="cs"/>
          <w:sz w:val="20"/>
          <w:szCs w:val="20"/>
        </w:rPr>
        <w:t xml:space="preserve"> and access to hard currency. </w:t>
      </w:r>
      <w:r w:rsidR="008E638A" w:rsidRPr="00147D0A">
        <w:rPr>
          <w:rFonts w:ascii="Arial Hebrew" w:hAnsi="Arial Hebrew" w:cs="Arial Hebrew" w:hint="cs"/>
          <w:sz w:val="20"/>
          <w:szCs w:val="20"/>
        </w:rPr>
        <w:t>Environmental risks are</w:t>
      </w:r>
      <w:r w:rsidR="006225ED" w:rsidRPr="00147D0A">
        <w:rPr>
          <w:rFonts w:ascii="Arial Hebrew" w:hAnsi="Arial Hebrew" w:cs="Arial Hebrew" w:hint="cs"/>
          <w:sz w:val="20"/>
          <w:szCs w:val="20"/>
        </w:rPr>
        <w:t xml:space="preserve"> also included</w:t>
      </w:r>
      <w:r w:rsidR="008E638A" w:rsidRPr="00147D0A">
        <w:rPr>
          <w:rFonts w:ascii="Arial Hebrew" w:hAnsi="Arial Hebrew" w:cs="Arial Hebrew" w:hint="cs"/>
          <w:sz w:val="20"/>
          <w:szCs w:val="20"/>
        </w:rPr>
        <w:t xml:space="preserve"> in this sub-factor</w:t>
      </w:r>
      <w:r w:rsidR="006225ED" w:rsidRPr="00147D0A">
        <w:rPr>
          <w:rFonts w:ascii="Arial Hebrew" w:hAnsi="Arial Hebrew" w:cs="Arial Hebrew" w:hint="cs"/>
          <w:sz w:val="20"/>
          <w:szCs w:val="20"/>
        </w:rPr>
        <w:t>.</w:t>
      </w:r>
    </w:p>
    <w:p w14:paraId="24E89710" w14:textId="11AC344C" w:rsidR="00BD5EBC" w:rsidRPr="00147D0A" w:rsidRDefault="001C35F9" w:rsidP="001968C3">
      <w:pPr>
        <w:spacing w:line="360" w:lineRule="auto"/>
        <w:jc w:val="both"/>
        <w:rPr>
          <w:rFonts w:ascii="Arial Hebrew" w:hAnsi="Arial Hebrew" w:cs="Arial Hebrew"/>
          <w:sz w:val="20"/>
          <w:szCs w:val="20"/>
        </w:rPr>
      </w:pPr>
      <w:r w:rsidRPr="00147D0A">
        <w:rPr>
          <w:rFonts w:ascii="Arial Hebrew" w:hAnsi="Arial Hebrew" w:cs="Arial Hebrew" w:hint="cs"/>
          <w:sz w:val="20"/>
          <w:szCs w:val="20"/>
        </w:rPr>
        <w:t>T</w:t>
      </w:r>
      <w:r w:rsidR="00F02740">
        <w:rPr>
          <w:rFonts w:ascii="Cambria" w:hAnsi="Cambria" w:cs="Arial Hebrew"/>
          <w:sz w:val="20"/>
          <w:szCs w:val="20"/>
        </w:rPr>
        <w:t>o</w:t>
      </w:r>
      <w:r w:rsidRPr="00147D0A">
        <w:rPr>
          <w:rFonts w:ascii="Arial Hebrew" w:hAnsi="Arial Hebrew" w:cs="Arial Hebrew" w:hint="cs"/>
          <w:sz w:val="20"/>
          <w:szCs w:val="20"/>
        </w:rPr>
        <w:t xml:space="preserve"> </w:t>
      </w:r>
      <w:r w:rsidR="008E638A" w:rsidRPr="00147D0A">
        <w:rPr>
          <w:rFonts w:ascii="Arial Hebrew" w:hAnsi="Arial Hebrew" w:cs="Arial Hebrew" w:hint="cs"/>
          <w:sz w:val="20"/>
          <w:szCs w:val="20"/>
        </w:rPr>
        <w:t xml:space="preserve">produce the sovereign rating, the </w:t>
      </w:r>
      <w:r w:rsidRPr="00147D0A">
        <w:rPr>
          <w:rFonts w:ascii="Arial Hebrew" w:hAnsi="Arial Hebrew" w:cs="Arial Hebrew" w:hint="cs"/>
          <w:sz w:val="20"/>
          <w:szCs w:val="20"/>
        </w:rPr>
        <w:t>framework</w:t>
      </w:r>
      <w:r w:rsidR="004D37FE" w:rsidRPr="00147D0A">
        <w:rPr>
          <w:rFonts w:ascii="Arial Hebrew" w:hAnsi="Arial Hebrew" w:cs="Arial Hebrew" w:hint="cs"/>
          <w:sz w:val="20"/>
          <w:szCs w:val="20"/>
        </w:rPr>
        <w:t xml:space="preserve"> </w:t>
      </w:r>
      <w:r w:rsidR="008E638A" w:rsidRPr="00147D0A">
        <w:rPr>
          <w:rFonts w:ascii="Arial Hebrew" w:hAnsi="Arial Hebrew" w:cs="Arial Hebrew" w:hint="cs"/>
          <w:sz w:val="20"/>
          <w:szCs w:val="20"/>
        </w:rPr>
        <w:t xml:space="preserve">first </w:t>
      </w:r>
      <w:r w:rsidR="00D90164" w:rsidRPr="00147D0A">
        <w:rPr>
          <w:rFonts w:ascii="Arial Hebrew" w:hAnsi="Arial Hebrew" w:cs="Arial Hebrew" w:hint="cs"/>
          <w:sz w:val="20"/>
          <w:szCs w:val="20"/>
        </w:rPr>
        <w:t>combines</w:t>
      </w:r>
      <w:r w:rsidR="007E7A2A" w:rsidRPr="00147D0A">
        <w:rPr>
          <w:rFonts w:ascii="Arial Hebrew" w:hAnsi="Arial Hebrew" w:cs="Arial Hebrew" w:hint="cs"/>
          <w:sz w:val="20"/>
          <w:szCs w:val="20"/>
        </w:rPr>
        <w:t xml:space="preserve"> the</w:t>
      </w:r>
      <w:r w:rsidR="00D90164" w:rsidRPr="00147D0A">
        <w:rPr>
          <w:rFonts w:ascii="Arial Hebrew" w:hAnsi="Arial Hebrew" w:cs="Arial Hebrew" w:hint="cs"/>
          <w:sz w:val="20"/>
          <w:szCs w:val="20"/>
        </w:rPr>
        <w:t xml:space="preserve"> </w:t>
      </w:r>
      <w:r w:rsidR="00D90164" w:rsidRPr="00147D0A">
        <w:rPr>
          <w:rFonts w:ascii="Arial Hebrew" w:hAnsi="Arial Hebrew" w:cs="Arial Hebrew" w:hint="cs"/>
          <w:b/>
          <w:bCs/>
          <w:sz w:val="20"/>
          <w:szCs w:val="20"/>
        </w:rPr>
        <w:t>Economic Strength</w:t>
      </w:r>
      <w:r w:rsidR="00D90164" w:rsidRPr="00147D0A">
        <w:rPr>
          <w:rFonts w:ascii="Arial Hebrew" w:hAnsi="Arial Hebrew" w:cs="Arial Hebrew" w:hint="cs"/>
          <w:sz w:val="20"/>
          <w:szCs w:val="20"/>
        </w:rPr>
        <w:t xml:space="preserve"> </w:t>
      </w:r>
      <w:r w:rsidR="009F1D4C" w:rsidRPr="00147D0A">
        <w:rPr>
          <w:rFonts w:ascii="Arial Hebrew" w:hAnsi="Arial Hebrew" w:cs="Arial Hebrew" w:hint="cs"/>
          <w:sz w:val="20"/>
          <w:szCs w:val="20"/>
        </w:rPr>
        <w:t>and</w:t>
      </w:r>
      <w:r w:rsidR="007E7A2A" w:rsidRPr="00147D0A">
        <w:rPr>
          <w:rFonts w:ascii="Arial Hebrew" w:hAnsi="Arial Hebrew" w:cs="Arial Hebrew" w:hint="cs"/>
          <w:sz w:val="20"/>
          <w:szCs w:val="20"/>
        </w:rPr>
        <w:t xml:space="preserve"> </w:t>
      </w:r>
      <w:r w:rsidR="00D90164" w:rsidRPr="00147D0A">
        <w:rPr>
          <w:rFonts w:ascii="Arial Hebrew" w:hAnsi="Arial Hebrew" w:cs="Arial Hebrew" w:hint="cs"/>
          <w:b/>
          <w:bCs/>
          <w:sz w:val="20"/>
          <w:szCs w:val="20"/>
        </w:rPr>
        <w:t xml:space="preserve">Institutions </w:t>
      </w:r>
      <w:r w:rsidR="00862FBC" w:rsidRPr="00147D0A">
        <w:rPr>
          <w:rFonts w:ascii="Arial Hebrew" w:hAnsi="Arial Hebrew" w:cs="Arial Hebrew" w:hint="cs"/>
          <w:b/>
          <w:bCs/>
          <w:sz w:val="20"/>
          <w:szCs w:val="20"/>
        </w:rPr>
        <w:t>&amp;</w:t>
      </w:r>
      <w:r w:rsidR="00D90164" w:rsidRPr="00147D0A">
        <w:rPr>
          <w:rFonts w:ascii="Arial Hebrew" w:hAnsi="Arial Hebrew" w:cs="Arial Hebrew" w:hint="cs"/>
          <w:b/>
          <w:bCs/>
          <w:sz w:val="20"/>
          <w:szCs w:val="20"/>
        </w:rPr>
        <w:t xml:space="preserve"> Governance Strength</w:t>
      </w:r>
      <w:r w:rsidR="00D90164" w:rsidRPr="00147D0A">
        <w:rPr>
          <w:rFonts w:ascii="Arial Hebrew" w:hAnsi="Arial Hebrew" w:cs="Arial Hebrew" w:hint="cs"/>
          <w:sz w:val="20"/>
          <w:szCs w:val="20"/>
        </w:rPr>
        <w:t xml:space="preserve"> </w:t>
      </w:r>
      <w:r w:rsidR="006225ED" w:rsidRPr="00147D0A">
        <w:rPr>
          <w:rFonts w:ascii="Arial Hebrew" w:hAnsi="Arial Hebrew" w:cs="Arial Hebrew" w:hint="cs"/>
          <w:sz w:val="20"/>
          <w:szCs w:val="20"/>
        </w:rPr>
        <w:t xml:space="preserve">factors </w:t>
      </w:r>
      <w:r w:rsidR="009F1D4C" w:rsidRPr="00147D0A">
        <w:rPr>
          <w:rFonts w:ascii="Arial Hebrew" w:hAnsi="Arial Hebrew" w:cs="Arial Hebrew" w:hint="cs"/>
          <w:sz w:val="20"/>
          <w:szCs w:val="20"/>
        </w:rPr>
        <w:t>with equal</w:t>
      </w:r>
      <w:r w:rsidR="007E7A2A" w:rsidRPr="00147D0A">
        <w:rPr>
          <w:rFonts w:ascii="Arial Hebrew" w:hAnsi="Arial Hebrew" w:cs="Arial Hebrew" w:hint="cs"/>
          <w:sz w:val="20"/>
          <w:szCs w:val="20"/>
        </w:rPr>
        <w:t xml:space="preserve"> </w:t>
      </w:r>
      <w:r w:rsidR="00D90164" w:rsidRPr="00147D0A">
        <w:rPr>
          <w:rFonts w:ascii="Arial Hebrew" w:hAnsi="Arial Hebrew" w:cs="Arial Hebrew" w:hint="cs"/>
          <w:sz w:val="20"/>
          <w:szCs w:val="20"/>
        </w:rPr>
        <w:t>weight</w:t>
      </w:r>
      <w:r w:rsidR="009F1D4C" w:rsidRPr="00147D0A">
        <w:rPr>
          <w:rFonts w:ascii="Arial Hebrew" w:hAnsi="Arial Hebrew" w:cs="Arial Hebrew" w:hint="cs"/>
          <w:sz w:val="20"/>
          <w:szCs w:val="20"/>
        </w:rPr>
        <w:t>s</w:t>
      </w:r>
      <w:r w:rsidR="007E7A2A" w:rsidRPr="00147D0A">
        <w:rPr>
          <w:rFonts w:ascii="Arial Hebrew" w:hAnsi="Arial Hebrew" w:cs="Arial Hebrew" w:hint="cs"/>
          <w:sz w:val="20"/>
          <w:szCs w:val="20"/>
        </w:rPr>
        <w:t xml:space="preserve"> </w:t>
      </w:r>
      <w:r w:rsidR="00D90164" w:rsidRPr="00147D0A">
        <w:rPr>
          <w:rFonts w:ascii="Arial Hebrew" w:hAnsi="Arial Hebrew" w:cs="Arial Hebrew" w:hint="cs"/>
          <w:sz w:val="20"/>
          <w:szCs w:val="20"/>
        </w:rPr>
        <w:t xml:space="preserve">to produce an </w:t>
      </w:r>
      <w:r w:rsidR="00D90164" w:rsidRPr="00147D0A">
        <w:rPr>
          <w:rFonts w:ascii="Arial Hebrew" w:hAnsi="Arial Hebrew" w:cs="Arial Hebrew" w:hint="cs"/>
          <w:b/>
          <w:bCs/>
          <w:sz w:val="20"/>
          <w:szCs w:val="20"/>
        </w:rPr>
        <w:t>Economic Resiliency</w:t>
      </w:r>
      <w:r w:rsidR="00D90164" w:rsidRPr="00147D0A">
        <w:rPr>
          <w:rFonts w:ascii="Arial Hebrew" w:hAnsi="Arial Hebrew" w:cs="Arial Hebrew" w:hint="cs"/>
          <w:sz w:val="20"/>
          <w:szCs w:val="20"/>
        </w:rPr>
        <w:t xml:space="preserve"> score</w:t>
      </w:r>
      <w:r w:rsidR="00AC5204" w:rsidRPr="00147D0A">
        <w:rPr>
          <w:rFonts w:ascii="Arial Hebrew" w:hAnsi="Arial Hebrew" w:cs="Arial Hebrew" w:hint="cs"/>
          <w:sz w:val="20"/>
          <w:szCs w:val="20"/>
        </w:rPr>
        <w:t>.</w:t>
      </w:r>
      <w:r w:rsidR="0059377A" w:rsidRPr="00147D0A">
        <w:rPr>
          <w:rFonts w:ascii="Arial Hebrew" w:hAnsi="Arial Hebrew" w:cs="Arial Hebrew" w:hint="cs"/>
          <w:sz w:val="20"/>
          <w:szCs w:val="20"/>
        </w:rPr>
        <w:t xml:space="preserve"> </w:t>
      </w:r>
      <w:r w:rsidR="00AC5204" w:rsidRPr="00147D0A">
        <w:rPr>
          <w:rFonts w:ascii="Arial Hebrew" w:hAnsi="Arial Hebrew" w:cs="Arial Hebrew" w:hint="cs"/>
          <w:sz w:val="20"/>
          <w:szCs w:val="20"/>
        </w:rPr>
        <w:t>This</w:t>
      </w:r>
      <w:r w:rsidR="00B66290" w:rsidRPr="00147D0A">
        <w:rPr>
          <w:rFonts w:ascii="Arial Hebrew" w:hAnsi="Arial Hebrew" w:cs="Arial Hebrew" w:hint="cs"/>
          <w:sz w:val="20"/>
          <w:szCs w:val="20"/>
        </w:rPr>
        <w:t xml:space="preserve"> is combined with</w:t>
      </w:r>
      <w:r w:rsidR="0059377A" w:rsidRPr="00147D0A">
        <w:rPr>
          <w:rFonts w:ascii="Arial Hebrew" w:hAnsi="Arial Hebrew" w:cs="Arial Hebrew" w:hint="cs"/>
          <w:sz w:val="20"/>
          <w:szCs w:val="20"/>
        </w:rPr>
        <w:t xml:space="preserve"> </w:t>
      </w:r>
      <w:r w:rsidR="00D90164" w:rsidRPr="00147D0A">
        <w:rPr>
          <w:rFonts w:ascii="Arial Hebrew" w:hAnsi="Arial Hebrew" w:cs="Arial Hebrew" w:hint="cs"/>
          <w:sz w:val="20"/>
          <w:szCs w:val="20"/>
        </w:rPr>
        <w:t xml:space="preserve">the </w:t>
      </w:r>
      <w:r w:rsidR="00D90164" w:rsidRPr="00147D0A">
        <w:rPr>
          <w:rFonts w:ascii="Arial Hebrew" w:hAnsi="Arial Hebrew" w:cs="Arial Hebrew" w:hint="cs"/>
          <w:b/>
          <w:bCs/>
          <w:sz w:val="20"/>
          <w:szCs w:val="20"/>
        </w:rPr>
        <w:t xml:space="preserve">Fiscal </w:t>
      </w:r>
      <w:r w:rsidR="00A666DA" w:rsidRPr="00147D0A">
        <w:rPr>
          <w:rFonts w:ascii="Arial Hebrew" w:hAnsi="Arial Hebrew" w:cs="Arial Hebrew" w:hint="cs"/>
          <w:b/>
          <w:bCs/>
          <w:sz w:val="20"/>
          <w:szCs w:val="20"/>
        </w:rPr>
        <w:t>Health</w:t>
      </w:r>
      <w:r w:rsidR="00D90164" w:rsidRPr="00147D0A">
        <w:rPr>
          <w:rFonts w:ascii="Arial Hebrew" w:hAnsi="Arial Hebrew" w:cs="Arial Hebrew" w:hint="cs"/>
          <w:sz w:val="20"/>
          <w:szCs w:val="20"/>
        </w:rPr>
        <w:t xml:space="preserve"> </w:t>
      </w:r>
      <w:r w:rsidR="007E7A2A" w:rsidRPr="00147D0A">
        <w:rPr>
          <w:rFonts w:ascii="Arial Hebrew" w:hAnsi="Arial Hebrew" w:cs="Arial Hebrew" w:hint="cs"/>
          <w:sz w:val="20"/>
          <w:szCs w:val="20"/>
        </w:rPr>
        <w:t>factor</w:t>
      </w:r>
      <w:r w:rsidR="006D6E8B" w:rsidRPr="00147D0A">
        <w:rPr>
          <w:rFonts w:ascii="Arial Hebrew" w:hAnsi="Arial Hebrew" w:cs="Arial Hebrew" w:hint="cs"/>
          <w:sz w:val="20"/>
          <w:szCs w:val="20"/>
        </w:rPr>
        <w:t xml:space="preserve"> to </w:t>
      </w:r>
      <w:r w:rsidR="005A2C32" w:rsidRPr="00147D0A">
        <w:rPr>
          <w:rFonts w:ascii="Arial Hebrew" w:hAnsi="Arial Hebrew" w:cs="Arial Hebrew" w:hint="cs"/>
          <w:sz w:val="20"/>
          <w:szCs w:val="20"/>
        </w:rPr>
        <w:t>produc</w:t>
      </w:r>
      <w:r w:rsidR="006D6E8B" w:rsidRPr="00147D0A">
        <w:rPr>
          <w:rFonts w:ascii="Arial Hebrew" w:hAnsi="Arial Hebrew" w:cs="Arial Hebrew" w:hint="cs"/>
          <w:sz w:val="20"/>
          <w:szCs w:val="20"/>
        </w:rPr>
        <w:t>e</w:t>
      </w:r>
      <w:r w:rsidR="00D90164" w:rsidRPr="00147D0A">
        <w:rPr>
          <w:rFonts w:ascii="Arial Hebrew" w:hAnsi="Arial Hebrew" w:cs="Arial Hebrew" w:hint="cs"/>
          <w:sz w:val="20"/>
          <w:szCs w:val="20"/>
        </w:rPr>
        <w:t xml:space="preserve"> the </w:t>
      </w:r>
      <w:r w:rsidR="00D90164" w:rsidRPr="00147D0A">
        <w:rPr>
          <w:rFonts w:ascii="Arial Hebrew" w:hAnsi="Arial Hebrew" w:cs="Arial Hebrew" w:hint="cs"/>
          <w:b/>
          <w:bCs/>
          <w:sz w:val="20"/>
          <w:szCs w:val="20"/>
        </w:rPr>
        <w:t>Government Financial Strength</w:t>
      </w:r>
      <w:r w:rsidR="005A2C32" w:rsidRPr="00147D0A">
        <w:rPr>
          <w:rFonts w:ascii="Arial Hebrew" w:hAnsi="Arial Hebrew" w:cs="Arial Hebrew" w:hint="cs"/>
          <w:b/>
          <w:bCs/>
          <w:sz w:val="20"/>
          <w:szCs w:val="20"/>
        </w:rPr>
        <w:t xml:space="preserve"> </w:t>
      </w:r>
      <w:r w:rsidR="005A2C32" w:rsidRPr="00147D0A">
        <w:rPr>
          <w:rFonts w:ascii="Arial Hebrew" w:hAnsi="Arial Hebrew" w:cs="Arial Hebrew" w:hint="cs"/>
          <w:sz w:val="20"/>
          <w:szCs w:val="20"/>
        </w:rPr>
        <w:t>assessment</w:t>
      </w:r>
      <w:r w:rsidR="00DC7009" w:rsidRPr="00147D0A">
        <w:rPr>
          <w:rFonts w:ascii="Arial Hebrew" w:hAnsi="Arial Hebrew" w:cs="Arial Hebrew" w:hint="cs"/>
          <w:sz w:val="20"/>
          <w:szCs w:val="20"/>
        </w:rPr>
        <w:t xml:space="preserve">, </w:t>
      </w:r>
      <w:r w:rsidR="001968C3" w:rsidRPr="00147D0A">
        <w:rPr>
          <w:rFonts w:ascii="Arial Hebrew" w:hAnsi="Arial Hebrew" w:cs="Arial Hebrew" w:hint="cs"/>
          <w:sz w:val="20"/>
          <w:szCs w:val="20"/>
        </w:rPr>
        <w:t>using</w:t>
      </w:r>
      <w:r w:rsidR="00D90164" w:rsidRPr="00147D0A">
        <w:rPr>
          <w:rFonts w:ascii="Arial Hebrew" w:hAnsi="Arial Hebrew" w:cs="Arial Hebrew" w:hint="cs"/>
          <w:sz w:val="20"/>
          <w:szCs w:val="20"/>
        </w:rPr>
        <w:t xml:space="preserve"> </w:t>
      </w:r>
      <w:r w:rsidR="00DC7009" w:rsidRPr="00147D0A">
        <w:rPr>
          <w:rFonts w:ascii="Arial Hebrew" w:hAnsi="Arial Hebrew" w:cs="Arial Hebrew" w:hint="cs"/>
          <w:sz w:val="20"/>
          <w:szCs w:val="20"/>
        </w:rPr>
        <w:t>d</w:t>
      </w:r>
      <w:r w:rsidR="001242B1" w:rsidRPr="00147D0A">
        <w:rPr>
          <w:rFonts w:ascii="Arial Hebrew" w:hAnsi="Arial Hebrew" w:cs="Arial Hebrew" w:hint="cs"/>
          <w:sz w:val="20"/>
          <w:szCs w:val="20"/>
        </w:rPr>
        <w:t>ynamic weights</w:t>
      </w:r>
      <w:r w:rsidR="009F1D4C" w:rsidRPr="00147D0A">
        <w:rPr>
          <w:rFonts w:ascii="Arial Hebrew" w:hAnsi="Arial Hebrew" w:cs="Arial Hebrew" w:hint="cs"/>
          <w:sz w:val="20"/>
          <w:szCs w:val="20"/>
        </w:rPr>
        <w:t xml:space="preserve"> </w:t>
      </w:r>
      <w:r w:rsidR="006D6E8B" w:rsidRPr="00147D0A">
        <w:rPr>
          <w:rFonts w:ascii="Arial Hebrew" w:hAnsi="Arial Hebrew" w:cs="Arial Hebrew" w:hint="cs"/>
          <w:sz w:val="20"/>
          <w:szCs w:val="20"/>
        </w:rPr>
        <w:t>t</w:t>
      </w:r>
      <w:r w:rsidR="008C56A9" w:rsidRPr="00147D0A">
        <w:rPr>
          <w:rFonts w:ascii="Arial Hebrew" w:hAnsi="Arial Hebrew" w:cs="Arial Hebrew" w:hint="cs"/>
          <w:sz w:val="20"/>
          <w:szCs w:val="20"/>
        </w:rPr>
        <w:t>hat</w:t>
      </w:r>
      <w:r w:rsidR="006D6E8B" w:rsidRPr="00147D0A">
        <w:rPr>
          <w:rFonts w:ascii="Arial Hebrew" w:hAnsi="Arial Hebrew" w:cs="Arial Hebrew" w:hint="cs"/>
          <w:sz w:val="20"/>
          <w:szCs w:val="20"/>
        </w:rPr>
        <w:t xml:space="preserve"> </w:t>
      </w:r>
      <w:r w:rsidR="00C04AC6" w:rsidRPr="00147D0A">
        <w:rPr>
          <w:rFonts w:ascii="Arial Hebrew" w:hAnsi="Arial Hebrew" w:cs="Arial Hebrew" w:hint="cs"/>
          <w:sz w:val="20"/>
          <w:szCs w:val="20"/>
        </w:rPr>
        <w:t>increase the relative importance of</w:t>
      </w:r>
      <w:r w:rsidR="001242B1" w:rsidRPr="00147D0A">
        <w:rPr>
          <w:rFonts w:ascii="Arial Hebrew" w:hAnsi="Arial Hebrew" w:cs="Arial Hebrew" w:hint="cs"/>
          <w:sz w:val="20"/>
          <w:szCs w:val="20"/>
        </w:rPr>
        <w:t xml:space="preserve"> </w:t>
      </w:r>
      <w:r w:rsidR="00C531B1" w:rsidRPr="00147D0A">
        <w:rPr>
          <w:rFonts w:ascii="Arial Hebrew" w:hAnsi="Arial Hebrew" w:cs="Arial Hebrew" w:hint="cs"/>
          <w:b/>
          <w:bCs/>
          <w:sz w:val="20"/>
          <w:szCs w:val="20"/>
        </w:rPr>
        <w:t>Economic Resiliency</w:t>
      </w:r>
      <w:r w:rsidR="00C531B1" w:rsidRPr="00147D0A">
        <w:rPr>
          <w:rFonts w:ascii="Arial Hebrew" w:hAnsi="Arial Hebrew" w:cs="Arial Hebrew" w:hint="cs"/>
          <w:sz w:val="20"/>
          <w:szCs w:val="20"/>
        </w:rPr>
        <w:t xml:space="preserve"> </w:t>
      </w:r>
      <w:r w:rsidR="009438E6" w:rsidRPr="00147D0A">
        <w:rPr>
          <w:rFonts w:ascii="Arial Hebrew" w:hAnsi="Arial Hebrew" w:cs="Arial Hebrew" w:hint="cs"/>
          <w:sz w:val="20"/>
          <w:szCs w:val="20"/>
        </w:rPr>
        <w:t>for</w:t>
      </w:r>
      <w:r w:rsidR="00C531B1" w:rsidRPr="00147D0A">
        <w:rPr>
          <w:rFonts w:ascii="Arial Hebrew" w:hAnsi="Arial Hebrew" w:cs="Arial Hebrew" w:hint="cs"/>
          <w:sz w:val="20"/>
          <w:szCs w:val="20"/>
        </w:rPr>
        <w:t xml:space="preserve"> wealthier sovereigns</w:t>
      </w:r>
      <w:r w:rsidR="00507994" w:rsidRPr="00147D0A">
        <w:rPr>
          <w:rFonts w:ascii="Arial Hebrew" w:hAnsi="Arial Hebrew" w:cs="Arial Hebrew" w:hint="cs"/>
          <w:sz w:val="20"/>
          <w:szCs w:val="20"/>
        </w:rPr>
        <w:t>,</w:t>
      </w:r>
      <w:r w:rsidR="001968C3" w:rsidRPr="00147D0A">
        <w:rPr>
          <w:rFonts w:ascii="Arial Hebrew" w:hAnsi="Arial Hebrew" w:cs="Arial Hebrew" w:hint="cs"/>
          <w:sz w:val="20"/>
          <w:szCs w:val="20"/>
        </w:rPr>
        <w:t xml:space="preserve"> </w:t>
      </w:r>
      <w:r w:rsidR="00C75730" w:rsidRPr="00147D0A">
        <w:rPr>
          <w:rFonts w:ascii="Arial Hebrew" w:hAnsi="Arial Hebrew" w:cs="Arial Hebrew" w:hint="cs"/>
          <w:sz w:val="20"/>
          <w:szCs w:val="20"/>
        </w:rPr>
        <w:t>and</w:t>
      </w:r>
      <w:r w:rsidR="00C04AC6" w:rsidRPr="00147D0A">
        <w:rPr>
          <w:rFonts w:ascii="Arial Hebrew" w:hAnsi="Arial Hebrew" w:cs="Arial Hebrew" w:hint="cs"/>
          <w:sz w:val="20"/>
          <w:szCs w:val="20"/>
        </w:rPr>
        <w:t xml:space="preserve"> increase the relative importance of</w:t>
      </w:r>
      <w:r w:rsidR="00C75730" w:rsidRPr="00147D0A">
        <w:rPr>
          <w:rFonts w:ascii="Arial Hebrew" w:hAnsi="Arial Hebrew" w:cs="Arial Hebrew" w:hint="cs"/>
          <w:sz w:val="20"/>
          <w:szCs w:val="20"/>
        </w:rPr>
        <w:t xml:space="preserve"> </w:t>
      </w:r>
      <w:r w:rsidR="00C75730" w:rsidRPr="00147D0A">
        <w:rPr>
          <w:rFonts w:ascii="Arial Hebrew" w:hAnsi="Arial Hebrew" w:cs="Arial Hebrew" w:hint="cs"/>
          <w:b/>
          <w:bCs/>
          <w:sz w:val="20"/>
          <w:szCs w:val="20"/>
        </w:rPr>
        <w:t xml:space="preserve">Fiscal </w:t>
      </w:r>
      <w:r w:rsidR="00A666DA" w:rsidRPr="00147D0A">
        <w:rPr>
          <w:rFonts w:ascii="Arial Hebrew" w:hAnsi="Arial Hebrew" w:cs="Arial Hebrew" w:hint="cs"/>
          <w:b/>
          <w:bCs/>
          <w:sz w:val="20"/>
          <w:szCs w:val="20"/>
        </w:rPr>
        <w:t>Health</w:t>
      </w:r>
      <w:r w:rsidR="00C75730" w:rsidRPr="00147D0A">
        <w:rPr>
          <w:rFonts w:ascii="Arial Hebrew" w:hAnsi="Arial Hebrew" w:cs="Arial Hebrew" w:hint="cs"/>
          <w:sz w:val="20"/>
          <w:szCs w:val="20"/>
        </w:rPr>
        <w:t xml:space="preserve"> </w:t>
      </w:r>
      <w:r w:rsidR="009438E6" w:rsidRPr="00147D0A">
        <w:rPr>
          <w:rFonts w:ascii="Arial Hebrew" w:hAnsi="Arial Hebrew" w:cs="Arial Hebrew" w:hint="cs"/>
          <w:sz w:val="20"/>
          <w:szCs w:val="20"/>
        </w:rPr>
        <w:t>for</w:t>
      </w:r>
      <w:r w:rsidR="00C75730" w:rsidRPr="00147D0A">
        <w:rPr>
          <w:rFonts w:ascii="Arial Hebrew" w:hAnsi="Arial Hebrew" w:cs="Arial Hebrew" w:hint="cs"/>
          <w:sz w:val="20"/>
          <w:szCs w:val="20"/>
        </w:rPr>
        <w:t xml:space="preserve"> less wealthy sovereigns</w:t>
      </w:r>
      <w:r w:rsidR="00C04AC6" w:rsidRPr="00147D0A">
        <w:rPr>
          <w:rFonts w:ascii="Arial Hebrew" w:hAnsi="Arial Hebrew" w:cs="Arial Hebrew" w:hint="cs"/>
          <w:sz w:val="20"/>
          <w:szCs w:val="20"/>
        </w:rPr>
        <w:t>.</w:t>
      </w:r>
      <w:r w:rsidR="000017D1" w:rsidRPr="00147D0A">
        <w:rPr>
          <w:rFonts w:ascii="Arial Hebrew" w:hAnsi="Arial Hebrew" w:cs="Arial Hebrew" w:hint="cs"/>
          <w:sz w:val="20"/>
          <w:szCs w:val="20"/>
        </w:rPr>
        <w:t xml:space="preserve"> </w:t>
      </w:r>
      <w:r w:rsidR="00DC15E4" w:rsidRPr="00147D0A">
        <w:rPr>
          <w:rFonts w:ascii="Arial Hebrew" w:hAnsi="Arial Hebrew" w:cs="Arial Hebrew" w:hint="cs"/>
          <w:b/>
          <w:bCs/>
          <w:sz w:val="20"/>
          <w:szCs w:val="20"/>
        </w:rPr>
        <w:t>Figure 3</w:t>
      </w:r>
      <w:r w:rsidR="00DC15E4" w:rsidRPr="00147D0A">
        <w:rPr>
          <w:rFonts w:ascii="Arial Hebrew" w:hAnsi="Arial Hebrew" w:cs="Arial Hebrew" w:hint="cs"/>
          <w:sz w:val="20"/>
          <w:szCs w:val="20"/>
        </w:rPr>
        <w:t xml:space="preserve"> </w:t>
      </w:r>
      <w:r w:rsidR="00E37B56" w:rsidRPr="00147D0A">
        <w:rPr>
          <w:rFonts w:ascii="Arial Hebrew" w:hAnsi="Arial Hebrew" w:cs="Arial Hebrew" w:hint="cs"/>
          <w:sz w:val="20"/>
          <w:szCs w:val="20"/>
        </w:rPr>
        <w:t>shows</w:t>
      </w:r>
      <w:r w:rsidR="006225ED" w:rsidRPr="00147D0A">
        <w:rPr>
          <w:rFonts w:ascii="Arial Hebrew" w:hAnsi="Arial Hebrew" w:cs="Arial Hebrew" w:hint="cs"/>
          <w:sz w:val="20"/>
          <w:szCs w:val="20"/>
        </w:rPr>
        <w:t xml:space="preserve"> </w:t>
      </w:r>
      <w:r w:rsidR="000017D1" w:rsidRPr="00147D0A">
        <w:rPr>
          <w:rFonts w:ascii="Arial Hebrew" w:hAnsi="Arial Hebrew" w:cs="Arial Hebrew" w:hint="cs"/>
          <w:sz w:val="20"/>
          <w:szCs w:val="20"/>
        </w:rPr>
        <w:t xml:space="preserve">weights </w:t>
      </w:r>
      <w:r w:rsidR="00C75730" w:rsidRPr="00147D0A">
        <w:rPr>
          <w:rFonts w:ascii="Arial Hebrew" w:hAnsi="Arial Hebrew" w:cs="Arial Hebrew" w:hint="cs"/>
          <w:sz w:val="20"/>
          <w:szCs w:val="20"/>
        </w:rPr>
        <w:t xml:space="preserve">typical </w:t>
      </w:r>
      <w:r w:rsidR="00DC15E4" w:rsidRPr="00147D0A">
        <w:rPr>
          <w:rFonts w:ascii="Arial Hebrew" w:hAnsi="Arial Hebrew" w:cs="Arial Hebrew" w:hint="cs"/>
          <w:sz w:val="20"/>
          <w:szCs w:val="20"/>
        </w:rPr>
        <w:t xml:space="preserve">for </w:t>
      </w:r>
      <w:r w:rsidR="009438E6" w:rsidRPr="00147D0A">
        <w:rPr>
          <w:rFonts w:ascii="Arial Hebrew" w:hAnsi="Arial Hebrew" w:cs="Arial Hebrew" w:hint="cs"/>
          <w:sz w:val="20"/>
          <w:szCs w:val="20"/>
        </w:rPr>
        <w:t xml:space="preserve">the </w:t>
      </w:r>
      <w:r w:rsidR="00DC15E4" w:rsidRPr="00147D0A">
        <w:rPr>
          <w:rFonts w:ascii="Arial Hebrew" w:hAnsi="Arial Hebrew" w:cs="Arial Hebrew" w:hint="cs"/>
          <w:sz w:val="20"/>
          <w:szCs w:val="20"/>
        </w:rPr>
        <w:t>wealth</w:t>
      </w:r>
      <w:r w:rsidR="009438E6" w:rsidRPr="00147D0A">
        <w:rPr>
          <w:rFonts w:ascii="Arial Hebrew" w:hAnsi="Arial Hebrew" w:cs="Arial Hebrew" w:hint="cs"/>
          <w:sz w:val="20"/>
          <w:szCs w:val="20"/>
        </w:rPr>
        <w:t>iest</w:t>
      </w:r>
      <w:r w:rsidR="00DC15E4" w:rsidRPr="00147D0A">
        <w:rPr>
          <w:rFonts w:ascii="Arial Hebrew" w:hAnsi="Arial Hebrew" w:cs="Arial Hebrew" w:hint="cs"/>
          <w:sz w:val="20"/>
          <w:szCs w:val="20"/>
        </w:rPr>
        <w:t xml:space="preserve"> sovereign</w:t>
      </w:r>
      <w:r w:rsidR="009438E6" w:rsidRPr="00147D0A">
        <w:rPr>
          <w:rFonts w:ascii="Arial Hebrew" w:hAnsi="Arial Hebrew" w:cs="Arial Hebrew" w:hint="cs"/>
          <w:sz w:val="20"/>
          <w:szCs w:val="20"/>
        </w:rPr>
        <w:t>s</w:t>
      </w:r>
      <w:r w:rsidRPr="00147D0A">
        <w:rPr>
          <w:rFonts w:ascii="Arial Hebrew" w:hAnsi="Arial Hebrew" w:cs="Arial Hebrew" w:hint="cs"/>
          <w:sz w:val="20"/>
          <w:szCs w:val="20"/>
        </w:rPr>
        <w:t xml:space="preserve">. </w:t>
      </w:r>
      <w:r w:rsidR="00507994" w:rsidRPr="00147D0A">
        <w:rPr>
          <w:rFonts w:ascii="Arial Hebrew" w:hAnsi="Arial Hebrew" w:cs="Arial Hebrew" w:hint="cs"/>
          <w:sz w:val="20"/>
          <w:szCs w:val="20"/>
        </w:rPr>
        <w:t xml:space="preserve">with </w:t>
      </w:r>
      <w:r w:rsidR="00AC5204" w:rsidRPr="00147D0A">
        <w:rPr>
          <w:rFonts w:ascii="Arial Hebrew" w:hAnsi="Arial Hebrew" w:cs="Arial Hebrew" w:hint="cs"/>
          <w:sz w:val="20"/>
          <w:szCs w:val="20"/>
        </w:rPr>
        <w:t xml:space="preserve">only one-quarter </w:t>
      </w:r>
      <w:r w:rsidR="00DC7009" w:rsidRPr="00147D0A">
        <w:rPr>
          <w:rFonts w:ascii="Arial Hebrew" w:hAnsi="Arial Hebrew" w:cs="Arial Hebrew" w:hint="cs"/>
          <w:sz w:val="20"/>
          <w:szCs w:val="20"/>
        </w:rPr>
        <w:t>assigned</w:t>
      </w:r>
      <w:r w:rsidR="00AC5204" w:rsidRPr="00147D0A">
        <w:rPr>
          <w:rFonts w:ascii="Arial Hebrew" w:hAnsi="Arial Hebrew" w:cs="Arial Hebrew" w:hint="cs"/>
          <w:sz w:val="20"/>
          <w:szCs w:val="20"/>
        </w:rPr>
        <w:t xml:space="preserve"> to the Fiscal Health</w:t>
      </w:r>
      <w:r w:rsidR="00AC5204" w:rsidRPr="00147D0A">
        <w:rPr>
          <w:rFonts w:ascii="Arial Hebrew" w:hAnsi="Arial Hebrew" w:cs="Arial Hebrew" w:hint="cs"/>
          <w:b/>
          <w:bCs/>
          <w:sz w:val="20"/>
          <w:szCs w:val="20"/>
        </w:rPr>
        <w:t xml:space="preserve"> </w:t>
      </w:r>
      <w:r w:rsidR="00AC5204" w:rsidRPr="00147D0A">
        <w:rPr>
          <w:rFonts w:ascii="Arial Hebrew" w:hAnsi="Arial Hebrew" w:cs="Arial Hebrew" w:hint="cs"/>
          <w:sz w:val="20"/>
          <w:szCs w:val="20"/>
        </w:rPr>
        <w:t>factor</w:t>
      </w:r>
      <w:r w:rsidR="006D6E8B" w:rsidRPr="00147D0A">
        <w:rPr>
          <w:rFonts w:ascii="Arial Hebrew" w:hAnsi="Arial Hebrew" w:cs="Arial Hebrew" w:hint="cs"/>
          <w:sz w:val="20"/>
          <w:szCs w:val="20"/>
        </w:rPr>
        <w:t>.</w:t>
      </w:r>
      <w:r w:rsidR="009F1D4C" w:rsidRPr="00147D0A">
        <w:rPr>
          <w:rFonts w:ascii="Arial Hebrew" w:hAnsi="Arial Hebrew" w:cs="Arial Hebrew" w:hint="cs"/>
          <w:sz w:val="20"/>
          <w:szCs w:val="20"/>
        </w:rPr>
        <w:t xml:space="preserve"> </w:t>
      </w:r>
      <w:r w:rsidR="008C56A9" w:rsidRPr="00147D0A">
        <w:rPr>
          <w:rFonts w:ascii="Arial Hebrew" w:hAnsi="Arial Hebrew" w:cs="Arial Hebrew" w:hint="cs"/>
          <w:sz w:val="20"/>
          <w:szCs w:val="20"/>
        </w:rPr>
        <w:t xml:space="preserve"> </w:t>
      </w:r>
      <w:r w:rsidR="00D14057" w:rsidRPr="00147D0A">
        <w:rPr>
          <w:rFonts w:ascii="Arial Hebrew" w:hAnsi="Arial Hebrew" w:cs="Arial Hebrew" w:hint="cs"/>
          <w:sz w:val="20"/>
          <w:szCs w:val="20"/>
        </w:rPr>
        <w:t xml:space="preserve">The </w:t>
      </w:r>
      <w:r w:rsidR="00D14057" w:rsidRPr="00147D0A">
        <w:rPr>
          <w:rFonts w:ascii="Arial Hebrew" w:hAnsi="Arial Hebrew" w:cs="Arial Hebrew" w:hint="cs"/>
          <w:b/>
          <w:bCs/>
          <w:sz w:val="20"/>
          <w:szCs w:val="20"/>
        </w:rPr>
        <w:t>Government Financial Strength</w:t>
      </w:r>
      <w:r w:rsidR="00D14057" w:rsidRPr="00147D0A">
        <w:rPr>
          <w:rFonts w:ascii="Arial Hebrew" w:hAnsi="Arial Hebrew" w:cs="Arial Hebrew" w:hint="cs"/>
          <w:sz w:val="20"/>
          <w:szCs w:val="20"/>
        </w:rPr>
        <w:t xml:space="preserve"> assessment </w:t>
      </w:r>
      <w:r w:rsidR="00AC5204" w:rsidRPr="00147D0A">
        <w:rPr>
          <w:rFonts w:ascii="Arial Hebrew" w:hAnsi="Arial Hebrew" w:cs="Arial Hebrew" w:hint="cs"/>
          <w:sz w:val="20"/>
          <w:szCs w:val="20"/>
        </w:rPr>
        <w:t>can</w:t>
      </w:r>
      <w:r w:rsidR="00B66290" w:rsidRPr="00147D0A">
        <w:rPr>
          <w:rFonts w:ascii="Arial Hebrew" w:hAnsi="Arial Hebrew" w:cs="Arial Hebrew" w:hint="cs"/>
          <w:sz w:val="20"/>
          <w:szCs w:val="20"/>
        </w:rPr>
        <w:t xml:space="preserve"> then be adjusted </w:t>
      </w:r>
      <w:r w:rsidR="00BF244C" w:rsidRPr="00147D0A">
        <w:rPr>
          <w:rFonts w:ascii="Arial Hebrew" w:hAnsi="Arial Hebrew" w:cs="Arial Hebrew" w:hint="cs"/>
          <w:sz w:val="20"/>
          <w:szCs w:val="20"/>
        </w:rPr>
        <w:t>(</w:t>
      </w:r>
      <w:r w:rsidR="00B66290" w:rsidRPr="00147D0A">
        <w:rPr>
          <w:rFonts w:ascii="Arial Hebrew" w:hAnsi="Arial Hebrew" w:cs="Arial Hebrew" w:hint="cs"/>
          <w:i/>
          <w:iCs/>
          <w:sz w:val="20"/>
          <w:szCs w:val="20"/>
        </w:rPr>
        <w:t>downward</w:t>
      </w:r>
      <w:r w:rsidR="00BF244C" w:rsidRPr="00147D0A">
        <w:rPr>
          <w:rFonts w:ascii="Arial Hebrew" w:hAnsi="Arial Hebrew" w:cs="Arial Hebrew" w:hint="cs"/>
          <w:i/>
          <w:iCs/>
          <w:sz w:val="20"/>
          <w:szCs w:val="20"/>
        </w:rPr>
        <w:t xml:space="preserve"> only</w:t>
      </w:r>
      <w:r w:rsidR="00BF244C" w:rsidRPr="00147D0A">
        <w:rPr>
          <w:rFonts w:ascii="Arial Hebrew" w:hAnsi="Arial Hebrew" w:cs="Arial Hebrew" w:hint="cs"/>
          <w:sz w:val="20"/>
          <w:szCs w:val="20"/>
        </w:rPr>
        <w:t>)</w:t>
      </w:r>
      <w:r w:rsidR="00B66290" w:rsidRPr="00147D0A">
        <w:rPr>
          <w:rFonts w:ascii="Arial Hebrew" w:hAnsi="Arial Hebrew" w:cs="Arial Hebrew" w:hint="cs"/>
          <w:sz w:val="20"/>
          <w:szCs w:val="20"/>
        </w:rPr>
        <w:t xml:space="preserve"> according to</w:t>
      </w:r>
      <w:r w:rsidR="006225ED" w:rsidRPr="00147D0A">
        <w:rPr>
          <w:rFonts w:ascii="Arial Hebrew" w:hAnsi="Arial Hebrew" w:cs="Arial Hebrew" w:hint="cs"/>
          <w:sz w:val="20"/>
          <w:szCs w:val="20"/>
        </w:rPr>
        <w:t xml:space="preserve"> the</w:t>
      </w:r>
      <w:r w:rsidR="00B66290" w:rsidRPr="00147D0A">
        <w:rPr>
          <w:rFonts w:ascii="Arial Hebrew" w:hAnsi="Arial Hebrew" w:cs="Arial Hebrew" w:hint="cs"/>
          <w:sz w:val="20"/>
          <w:szCs w:val="20"/>
        </w:rPr>
        <w:t xml:space="preserve"> </w:t>
      </w:r>
      <w:r w:rsidR="00B66290" w:rsidRPr="00147D0A">
        <w:rPr>
          <w:rFonts w:ascii="Arial Hebrew" w:hAnsi="Arial Hebrew" w:cs="Arial Hebrew" w:hint="cs"/>
          <w:b/>
          <w:bCs/>
          <w:sz w:val="20"/>
          <w:szCs w:val="20"/>
        </w:rPr>
        <w:t>Susceptibility to Event Risk</w:t>
      </w:r>
      <w:r w:rsidR="006225ED" w:rsidRPr="00147D0A">
        <w:rPr>
          <w:rFonts w:ascii="Arial Hebrew" w:hAnsi="Arial Hebrew" w:cs="Arial Hebrew" w:hint="cs"/>
          <w:b/>
          <w:bCs/>
          <w:sz w:val="20"/>
          <w:szCs w:val="20"/>
        </w:rPr>
        <w:t xml:space="preserve"> </w:t>
      </w:r>
      <w:r w:rsidR="006225ED" w:rsidRPr="00147D0A">
        <w:rPr>
          <w:rFonts w:ascii="Arial Hebrew" w:hAnsi="Arial Hebrew" w:cs="Arial Hebrew" w:hint="cs"/>
          <w:sz w:val="20"/>
          <w:szCs w:val="20"/>
        </w:rPr>
        <w:t>assessment</w:t>
      </w:r>
      <w:r w:rsidR="00BF244C" w:rsidRPr="00147D0A">
        <w:rPr>
          <w:rFonts w:ascii="Arial Hebrew" w:hAnsi="Arial Hebrew" w:cs="Arial Hebrew" w:hint="cs"/>
          <w:sz w:val="20"/>
          <w:szCs w:val="20"/>
        </w:rPr>
        <w:t xml:space="preserve">, which uses a </w:t>
      </w:r>
      <w:r w:rsidR="00BF244C" w:rsidRPr="00147D0A">
        <w:rPr>
          <w:rFonts w:ascii="Arial Hebrew" w:hAnsi="Arial Hebrew" w:cs="Arial Hebrew" w:hint="cs"/>
          <w:b/>
          <w:bCs/>
          <w:sz w:val="20"/>
          <w:szCs w:val="20"/>
        </w:rPr>
        <w:t>minimum function</w:t>
      </w:r>
      <w:r w:rsidR="00BF244C" w:rsidRPr="00147D0A">
        <w:rPr>
          <w:rFonts w:ascii="Arial Hebrew" w:hAnsi="Arial Hebrew" w:cs="Arial Hebrew" w:hint="cs"/>
          <w:sz w:val="20"/>
          <w:szCs w:val="20"/>
        </w:rPr>
        <w:t xml:space="preserve"> for aggregation</w:t>
      </w:r>
      <w:r w:rsidR="001968C3" w:rsidRPr="00147D0A">
        <w:rPr>
          <w:rFonts w:ascii="Arial Hebrew" w:hAnsi="Arial Hebrew" w:cs="Arial Hebrew" w:hint="cs"/>
          <w:sz w:val="20"/>
          <w:szCs w:val="20"/>
        </w:rPr>
        <w:t>.</w:t>
      </w:r>
      <w:r w:rsidR="001968C3" w:rsidRPr="00147D0A">
        <w:rPr>
          <w:rStyle w:val="FootnoteReference"/>
          <w:rFonts w:ascii="Arial Hebrew" w:hAnsi="Arial Hebrew" w:cs="Arial Hebrew" w:hint="cs"/>
          <w:sz w:val="20"/>
          <w:szCs w:val="20"/>
        </w:rPr>
        <w:footnoteReference w:id="3"/>
      </w:r>
      <w:r w:rsidR="003C399F" w:rsidRPr="00147D0A">
        <w:rPr>
          <w:rFonts w:ascii="Arial Hebrew" w:hAnsi="Arial Hebrew" w:cs="Arial Hebrew" w:hint="cs"/>
          <w:sz w:val="20"/>
          <w:szCs w:val="20"/>
        </w:rPr>
        <w:t xml:space="preserve"> </w:t>
      </w:r>
      <w:r w:rsidR="00B66290" w:rsidRPr="00147D0A">
        <w:rPr>
          <w:rFonts w:ascii="Arial Hebrew" w:hAnsi="Arial Hebrew" w:cs="Arial Hebrew" w:hint="cs"/>
          <w:sz w:val="20"/>
          <w:szCs w:val="20"/>
        </w:rPr>
        <w:t xml:space="preserve">The </w:t>
      </w:r>
      <w:r w:rsidR="00083E14" w:rsidRPr="00147D0A">
        <w:rPr>
          <w:rFonts w:ascii="Arial Hebrew" w:hAnsi="Arial Hebrew" w:cs="Arial Hebrew" w:hint="cs"/>
          <w:sz w:val="20"/>
          <w:szCs w:val="20"/>
        </w:rPr>
        <w:t>final ratings decision is determined by</w:t>
      </w:r>
      <w:r w:rsidR="00B66290" w:rsidRPr="00147D0A">
        <w:rPr>
          <w:rFonts w:ascii="Arial Hebrew" w:hAnsi="Arial Hebrew" w:cs="Arial Hebrew" w:hint="cs"/>
          <w:sz w:val="20"/>
          <w:szCs w:val="20"/>
        </w:rPr>
        <w:t xml:space="preserve"> the qualitative judgement of a </w:t>
      </w:r>
      <w:r w:rsidR="00B66290" w:rsidRPr="00147D0A">
        <w:rPr>
          <w:rFonts w:ascii="Arial Hebrew" w:hAnsi="Arial Hebrew" w:cs="Arial Hebrew" w:hint="cs"/>
          <w:b/>
          <w:bCs/>
          <w:sz w:val="20"/>
          <w:szCs w:val="20"/>
        </w:rPr>
        <w:t>ratings committee</w:t>
      </w:r>
      <w:r w:rsidR="00B66290" w:rsidRPr="00147D0A">
        <w:rPr>
          <w:rFonts w:ascii="Arial Hebrew" w:hAnsi="Arial Hebrew" w:cs="Arial Hebrew" w:hint="cs"/>
          <w:sz w:val="20"/>
          <w:szCs w:val="20"/>
        </w:rPr>
        <w:t xml:space="preserve">, which </w:t>
      </w:r>
      <w:r w:rsidR="007144CE" w:rsidRPr="00147D0A">
        <w:rPr>
          <w:rFonts w:ascii="Arial Hebrew" w:hAnsi="Arial Hebrew" w:cs="Arial Hebrew" w:hint="cs"/>
          <w:sz w:val="20"/>
          <w:szCs w:val="20"/>
        </w:rPr>
        <w:t>may</w:t>
      </w:r>
      <w:r w:rsidR="00B66290" w:rsidRPr="00147D0A">
        <w:rPr>
          <w:rFonts w:ascii="Arial Hebrew" w:hAnsi="Arial Hebrew" w:cs="Arial Hebrew" w:hint="cs"/>
          <w:sz w:val="20"/>
          <w:szCs w:val="20"/>
        </w:rPr>
        <w:t xml:space="preserve"> consider </w:t>
      </w:r>
      <w:r w:rsidR="007144CE" w:rsidRPr="00147D0A">
        <w:rPr>
          <w:rFonts w:ascii="Arial Hebrew" w:hAnsi="Arial Hebrew" w:cs="Arial Hebrew" w:hint="cs"/>
          <w:sz w:val="20"/>
          <w:szCs w:val="20"/>
        </w:rPr>
        <w:t xml:space="preserve">various </w:t>
      </w:r>
      <w:r w:rsidR="00B66290" w:rsidRPr="00147D0A">
        <w:rPr>
          <w:rFonts w:ascii="Arial Hebrew" w:hAnsi="Arial Hebrew" w:cs="Arial Hebrew" w:hint="cs"/>
          <w:sz w:val="20"/>
          <w:szCs w:val="20"/>
        </w:rPr>
        <w:t>factors idiosyncratic to the sovereig</w:t>
      </w:r>
      <w:r w:rsidR="007144CE" w:rsidRPr="00147D0A">
        <w:rPr>
          <w:rFonts w:ascii="Arial Hebrew" w:hAnsi="Arial Hebrew" w:cs="Arial Hebrew" w:hint="cs"/>
          <w:sz w:val="20"/>
          <w:szCs w:val="20"/>
        </w:rPr>
        <w:t>n</w:t>
      </w:r>
      <w:r w:rsidR="00BF244C" w:rsidRPr="00147D0A">
        <w:rPr>
          <w:rFonts w:ascii="Arial Hebrew" w:hAnsi="Arial Hebrew" w:cs="Arial Hebrew" w:hint="cs"/>
          <w:sz w:val="20"/>
          <w:szCs w:val="20"/>
        </w:rPr>
        <w:t>.</w:t>
      </w:r>
    </w:p>
    <w:p w14:paraId="4F2C485B" w14:textId="4FA26AD0" w:rsidR="00C75730" w:rsidRPr="00147D0A" w:rsidRDefault="00C75730" w:rsidP="001975B5">
      <w:pPr>
        <w:spacing w:before="240"/>
        <w:ind w:left="720"/>
        <w:jc w:val="center"/>
        <w:rPr>
          <w:rFonts w:ascii="Arial Hebrew" w:hAnsi="Arial Hebrew" w:cs="Arial Hebrew"/>
          <w:b/>
          <w:bCs/>
          <w:i/>
          <w:iCs/>
          <w:sz w:val="16"/>
          <w:szCs w:val="16"/>
        </w:rPr>
      </w:pPr>
      <w:r w:rsidRPr="00147D0A">
        <w:rPr>
          <w:rFonts w:ascii="Arial Hebrew" w:hAnsi="Arial Hebrew" w:cs="Arial Hebrew" w:hint="cs"/>
          <w:b/>
          <w:bCs/>
          <w:i/>
          <w:iCs/>
          <w:sz w:val="16"/>
          <w:szCs w:val="16"/>
        </w:rPr>
        <w:t>Figure 3.</w:t>
      </w:r>
    </w:p>
    <w:p w14:paraId="100C825C" w14:textId="43444C53" w:rsidR="00C75730" w:rsidRPr="00147D0A" w:rsidRDefault="00C75730" w:rsidP="001975B5">
      <w:pPr>
        <w:ind w:left="720"/>
        <w:jc w:val="center"/>
        <w:rPr>
          <w:rFonts w:ascii="Arial Hebrew" w:hAnsi="Arial Hebrew" w:cs="Arial Hebrew"/>
          <w:b/>
          <w:bCs/>
          <w:sz w:val="28"/>
          <w:szCs w:val="28"/>
        </w:rPr>
      </w:pPr>
      <w:r w:rsidRPr="00147D0A">
        <w:rPr>
          <w:rFonts w:ascii="Arial Hebrew" w:hAnsi="Arial Hebrew" w:cs="Arial Hebrew" w:hint="cs"/>
          <w:b/>
          <w:bCs/>
          <w:sz w:val="28"/>
          <w:szCs w:val="28"/>
        </w:rPr>
        <w:t xml:space="preserve">Moody’s </w:t>
      </w:r>
      <w:r w:rsidR="00A666DA" w:rsidRPr="00147D0A">
        <w:rPr>
          <w:rFonts w:ascii="Arial Hebrew" w:hAnsi="Arial Hebrew" w:cs="Arial Hebrew" w:hint="cs"/>
          <w:b/>
          <w:bCs/>
          <w:sz w:val="28"/>
          <w:szCs w:val="28"/>
        </w:rPr>
        <w:t>Sovereign Assessment Framework</w:t>
      </w:r>
    </w:p>
    <w:p w14:paraId="0C960B48" w14:textId="61CA4CE1" w:rsidR="0037668C" w:rsidRPr="00147D0A" w:rsidRDefault="00507994" w:rsidP="0037668C">
      <w:pPr>
        <w:ind w:firstLine="720"/>
        <w:rPr>
          <w:rFonts w:ascii="Arial Hebrew" w:hAnsi="Arial Hebrew" w:cs="Arial Hebrew"/>
          <w:b/>
          <w:bCs/>
          <w:sz w:val="18"/>
          <w:szCs w:val="18"/>
        </w:rPr>
      </w:pPr>
      <w:r w:rsidRPr="00147D0A">
        <w:rPr>
          <w:rFonts w:ascii="Arial Hebrew" w:hAnsi="Arial Hebrew" w:cs="Arial Hebrew" w:hint="cs"/>
          <w:noProof/>
        </w:rPr>
        <mc:AlternateContent>
          <mc:Choice Requires="wps">
            <w:drawing>
              <wp:anchor distT="0" distB="0" distL="114300" distR="114300" simplePos="0" relativeHeight="251665408" behindDoc="0" locked="0" layoutInCell="1" allowOverlap="1" wp14:anchorId="6BDA4039" wp14:editId="01944568">
                <wp:simplePos x="0" y="0"/>
                <wp:positionH relativeFrom="column">
                  <wp:posOffset>50637</wp:posOffset>
                </wp:positionH>
                <wp:positionV relativeFrom="paragraph">
                  <wp:posOffset>72390</wp:posOffset>
                </wp:positionV>
                <wp:extent cx="1078865" cy="1235710"/>
                <wp:effectExtent l="0" t="0" r="13335" b="8890"/>
                <wp:wrapNone/>
                <wp:docPr id="1104759787" name="Text Box 4"/>
                <wp:cNvGraphicFramePr/>
                <a:graphic xmlns:a="http://schemas.openxmlformats.org/drawingml/2006/main">
                  <a:graphicData uri="http://schemas.microsoft.com/office/word/2010/wordprocessingShape">
                    <wps:wsp>
                      <wps:cNvSpPr txBox="1"/>
                      <wps:spPr>
                        <a:xfrm>
                          <a:off x="0" y="0"/>
                          <a:ext cx="1078865" cy="1235710"/>
                        </a:xfrm>
                        <a:prstGeom prst="rect">
                          <a:avLst/>
                        </a:prstGeom>
                        <a:solidFill>
                          <a:schemeClr val="tx2">
                            <a:lumMod val="10000"/>
                            <a:lumOff val="90000"/>
                          </a:schemeClr>
                        </a:solidFill>
                        <a:ln w="12700">
                          <a:solidFill>
                            <a:schemeClr val="tx1"/>
                          </a:solidFill>
                        </a:ln>
                      </wps:spPr>
                      <wps:txbx>
                        <w:txbxContent>
                          <w:p w14:paraId="2E4D2C53" w14:textId="0BB825E7" w:rsidR="0037668C" w:rsidRPr="002B7772" w:rsidRDefault="0037668C" w:rsidP="0037668C">
                            <w:pPr>
                              <w:rPr>
                                <w:rFonts w:ascii="Arial Hebrew" w:hAnsi="Arial Hebrew" w:cs="Arial Hebrew"/>
                                <w:b/>
                                <w:bCs/>
                                <w:color w:val="501549" w:themeColor="accent5" w:themeShade="80"/>
                                <w:sz w:val="16"/>
                                <w:szCs w:val="16"/>
                                <w:lang w:val="en-US"/>
                              </w:rPr>
                            </w:pPr>
                            <w:r w:rsidRPr="002B7772">
                              <w:rPr>
                                <w:rFonts w:ascii="Arial Hebrew" w:hAnsi="Arial Hebrew" w:cs="Arial Hebrew" w:hint="cs"/>
                                <w:b/>
                                <w:bCs/>
                                <w:color w:val="501549" w:themeColor="accent5" w:themeShade="80"/>
                                <w:sz w:val="16"/>
                                <w:szCs w:val="16"/>
                                <w:lang w:val="en-US"/>
                              </w:rPr>
                              <w:t>Susceptibility to Event Risk</w:t>
                            </w:r>
                          </w:p>
                          <w:p w14:paraId="75AD3568" w14:textId="77777777" w:rsidR="006212EA" w:rsidRPr="002B7772" w:rsidRDefault="00552591"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Negative adjustment</w:t>
                            </w:r>
                            <w:r w:rsidR="006448A9" w:rsidRPr="002B7772">
                              <w:rPr>
                                <w:rFonts w:ascii="Arial Hebrew" w:hAnsi="Arial Hebrew" w:cs="Arial Hebrew" w:hint="cs"/>
                                <w:color w:val="FF0000"/>
                                <w:sz w:val="13"/>
                                <w:szCs w:val="13"/>
                                <w:lang w:val="en-US"/>
                              </w:rPr>
                              <w:t xml:space="preserve"> </w:t>
                            </w:r>
                          </w:p>
                          <w:p w14:paraId="458D55E2" w14:textId="735742DE" w:rsidR="00552591" w:rsidRPr="002B7772" w:rsidRDefault="006448A9"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(-2 to 0)</w:t>
                            </w:r>
                          </w:p>
                          <w:p w14:paraId="042F8027" w14:textId="72E0B9E3" w:rsidR="00D14057" w:rsidRPr="002B7772" w:rsidRDefault="00D14057" w:rsidP="0037668C">
                            <w:pPr>
                              <w:rPr>
                                <w:rFonts w:ascii="Arial Hebrew" w:hAnsi="Arial Hebrew" w:cs="Arial Hebrew"/>
                                <w:b/>
                                <w:bCs/>
                                <w:i/>
                                <w:iCs/>
                                <w:color w:val="501549" w:themeColor="accent5" w:themeShade="80"/>
                                <w:sz w:val="15"/>
                                <w:szCs w:val="15"/>
                                <w:lang w:val="en-US"/>
                              </w:rPr>
                            </w:pPr>
                            <w:r w:rsidRPr="002B7772">
                              <w:rPr>
                                <w:rFonts w:ascii="Arial Hebrew" w:hAnsi="Arial Hebrew" w:cs="Arial Hebrew" w:hint="cs"/>
                                <w:b/>
                                <w:bCs/>
                                <w:i/>
                                <w:iCs/>
                                <w:color w:val="501549" w:themeColor="accent5" w:themeShade="80"/>
                                <w:sz w:val="15"/>
                                <w:szCs w:val="15"/>
                                <w:lang w:val="en-US"/>
                              </w:rPr>
                              <w:t>worst of:</w:t>
                            </w:r>
                          </w:p>
                          <w:p w14:paraId="61AA3C53" w14:textId="229872E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5"/>
                                <w:szCs w:val="15"/>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political risk</w:t>
                            </w:r>
                          </w:p>
                          <w:p w14:paraId="5AD923A1" w14:textId="4D7CB4A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liquidity risk</w:t>
                            </w:r>
                          </w:p>
                          <w:p w14:paraId="5738AB68" w14:textId="2D87561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banking risk</w:t>
                            </w:r>
                          </w:p>
                          <w:p w14:paraId="34149F68" w14:textId="3BFE4E07"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external vulnerability risk</w:t>
                            </w:r>
                          </w:p>
                          <w:p w14:paraId="16341E78" w14:textId="77777777" w:rsidR="0037668C" w:rsidRPr="002B7772" w:rsidRDefault="0037668C" w:rsidP="0037668C">
                            <w:pPr>
                              <w:rPr>
                                <w:rFonts w:ascii="Arial Hebrew" w:hAnsi="Arial Hebrew" w:cs="Arial Hebrew"/>
                                <w:b/>
                                <w:bCs/>
                                <w:color w:val="D86DCB" w:themeColor="accent5" w:themeTint="99"/>
                                <w:sz w:val="14"/>
                                <w:szCs w:val="14"/>
                                <w:lang w:val="en-US"/>
                              </w:rPr>
                            </w:pPr>
                          </w:p>
                          <w:p w14:paraId="68819238"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DD36A20"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29B2A29" w14:textId="77777777" w:rsidR="0037668C" w:rsidRPr="002B7772" w:rsidRDefault="0037668C" w:rsidP="0037668C">
                            <w:pPr>
                              <w:rPr>
                                <w:rFonts w:ascii="Arial Hebrew" w:hAnsi="Arial Hebrew" w:cs="Arial Hebrew"/>
                                <w:b/>
                                <w:bC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A4039" id="_x0000_t202" coordsize="21600,21600" o:spt="202" path="m,l,21600r21600,l21600,xe">
                <v:stroke joinstyle="miter"/>
                <v:path gradientshapeok="t" o:connecttype="rect"/>
              </v:shapetype>
              <v:shape id="Text Box 4" o:spid="_x0000_s1026" type="#_x0000_t202" style="position:absolute;left:0;text-align:left;margin-left:4pt;margin-top:5.7pt;width:84.95pt;height:9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" fillcolor="#dceaf7 [351]" strokecolor="black [3213]" strokeweight="1pt">
                <v:textbox>
                  <w:txbxContent>
                    <w:p w14:paraId="2E4D2C53" w14:textId="0BB825E7" w:rsidR="0037668C" w:rsidRPr="002B7772" w:rsidRDefault="0037668C" w:rsidP="0037668C">
                      <w:pPr>
                        <w:rPr>
                          <w:rFonts w:ascii="Arial Hebrew" w:hAnsi="Arial Hebrew" w:cs="Arial Hebrew"/>
                          <w:b/>
                          <w:bCs/>
                          <w:color w:val="501549" w:themeColor="accent5" w:themeShade="80"/>
                          <w:sz w:val="16"/>
                          <w:szCs w:val="16"/>
                          <w:lang w:val="en-US"/>
                        </w:rPr>
                      </w:pPr>
                      <w:r w:rsidRPr="002B7772">
                        <w:rPr>
                          <w:rFonts w:ascii="Arial Hebrew" w:hAnsi="Arial Hebrew" w:cs="Arial Hebrew" w:hint="cs"/>
                          <w:b/>
                          <w:bCs/>
                          <w:color w:val="501549" w:themeColor="accent5" w:themeShade="80"/>
                          <w:sz w:val="16"/>
                          <w:szCs w:val="16"/>
                          <w:lang w:val="en-US"/>
                        </w:rPr>
                        <w:t>Susceptibility to Event Risk</w:t>
                      </w:r>
                    </w:p>
                    <w:p w14:paraId="75AD3568" w14:textId="77777777" w:rsidR="006212EA" w:rsidRPr="002B7772" w:rsidRDefault="00552591"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Negative adjustment</w:t>
                      </w:r>
                      <w:r w:rsidR="006448A9" w:rsidRPr="002B7772">
                        <w:rPr>
                          <w:rFonts w:ascii="Arial Hebrew" w:hAnsi="Arial Hebrew" w:cs="Arial Hebrew" w:hint="cs"/>
                          <w:color w:val="FF0000"/>
                          <w:sz w:val="13"/>
                          <w:szCs w:val="13"/>
                          <w:lang w:val="en-US"/>
                        </w:rPr>
                        <w:t xml:space="preserve"> </w:t>
                      </w:r>
                    </w:p>
                    <w:p w14:paraId="458D55E2" w14:textId="735742DE" w:rsidR="00552591" w:rsidRPr="002B7772" w:rsidRDefault="006448A9" w:rsidP="0037668C">
                      <w:pPr>
                        <w:rPr>
                          <w:rFonts w:ascii="Arial Hebrew" w:hAnsi="Arial Hebrew" w:cs="Arial Hebrew"/>
                          <w:color w:val="FF0000"/>
                          <w:sz w:val="13"/>
                          <w:szCs w:val="13"/>
                          <w:lang w:val="en-US"/>
                        </w:rPr>
                      </w:pPr>
                      <w:r w:rsidRPr="002B7772">
                        <w:rPr>
                          <w:rFonts w:ascii="Arial Hebrew" w:hAnsi="Arial Hebrew" w:cs="Arial Hebrew" w:hint="cs"/>
                          <w:color w:val="FF0000"/>
                          <w:sz w:val="13"/>
                          <w:szCs w:val="13"/>
                          <w:lang w:val="en-US"/>
                        </w:rPr>
                        <w:t>(-2 to 0)</w:t>
                      </w:r>
                    </w:p>
                    <w:p w14:paraId="042F8027" w14:textId="72E0B9E3" w:rsidR="00D14057" w:rsidRPr="002B7772" w:rsidRDefault="00D14057" w:rsidP="0037668C">
                      <w:pPr>
                        <w:rPr>
                          <w:rFonts w:ascii="Arial Hebrew" w:hAnsi="Arial Hebrew" w:cs="Arial Hebrew"/>
                          <w:b/>
                          <w:bCs/>
                          <w:i/>
                          <w:iCs/>
                          <w:color w:val="501549" w:themeColor="accent5" w:themeShade="80"/>
                          <w:sz w:val="15"/>
                          <w:szCs w:val="15"/>
                          <w:lang w:val="en-US"/>
                        </w:rPr>
                      </w:pPr>
                      <w:r w:rsidRPr="002B7772">
                        <w:rPr>
                          <w:rFonts w:ascii="Arial Hebrew" w:hAnsi="Arial Hebrew" w:cs="Arial Hebrew" w:hint="cs"/>
                          <w:b/>
                          <w:bCs/>
                          <w:i/>
                          <w:iCs/>
                          <w:color w:val="501549" w:themeColor="accent5" w:themeShade="80"/>
                          <w:sz w:val="15"/>
                          <w:szCs w:val="15"/>
                          <w:lang w:val="en-US"/>
                        </w:rPr>
                        <w:t>worst of:</w:t>
                      </w:r>
                    </w:p>
                    <w:p w14:paraId="61AA3C53" w14:textId="229872E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5"/>
                          <w:szCs w:val="15"/>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political risk</w:t>
                      </w:r>
                    </w:p>
                    <w:p w14:paraId="5AD923A1" w14:textId="4D7CB4A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liquidity risk</w:t>
                      </w:r>
                    </w:p>
                    <w:p w14:paraId="5738AB68" w14:textId="2D875616"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banking risk</w:t>
                      </w:r>
                    </w:p>
                    <w:p w14:paraId="34149F68" w14:textId="3BFE4E07" w:rsidR="0037668C" w:rsidRPr="002B7772" w:rsidRDefault="0037668C" w:rsidP="0037668C">
                      <w:pPr>
                        <w:rPr>
                          <w:rFonts w:ascii="Arial Hebrew" w:hAnsi="Arial Hebrew" w:cs="Arial Hebrew"/>
                          <w:b/>
                          <w:bCs/>
                          <w:color w:val="A02B93" w:themeColor="accent5"/>
                          <w:sz w:val="14"/>
                          <w:szCs w:val="14"/>
                          <w:lang w:val="en-US"/>
                        </w:rPr>
                      </w:pPr>
                      <w:r w:rsidRPr="002B7772">
                        <w:rPr>
                          <w:rFonts w:ascii="Arial Hebrew" w:hAnsi="Arial Hebrew" w:cs="Arial Hebrew" w:hint="cs"/>
                          <w:b/>
                          <w:bCs/>
                          <w:color w:val="A02B93" w:themeColor="accent5"/>
                          <w:sz w:val="14"/>
                          <w:szCs w:val="14"/>
                          <w:lang w:val="en-US"/>
                        </w:rPr>
                        <w:t xml:space="preserve">  </w:t>
                      </w:r>
                      <w:r w:rsidR="00123887" w:rsidRPr="002B7772">
                        <w:rPr>
                          <w:rFonts w:ascii="Arial Hebrew" w:hAnsi="Arial Hebrew" w:cs="Arial Hebrew" w:hint="cs"/>
                          <w:b/>
                          <w:bCs/>
                          <w:color w:val="A02B93" w:themeColor="accent5"/>
                          <w:sz w:val="14"/>
                          <w:szCs w:val="14"/>
                          <w:lang w:val="en-US"/>
                        </w:rPr>
                        <w:t xml:space="preserve">- </w:t>
                      </w:r>
                      <w:r w:rsidR="007B68BA" w:rsidRPr="002B7772">
                        <w:rPr>
                          <w:rFonts w:ascii="Arial Hebrew" w:hAnsi="Arial Hebrew" w:cs="Arial Hebrew" w:hint="cs"/>
                          <w:b/>
                          <w:bCs/>
                          <w:color w:val="A02B93" w:themeColor="accent5"/>
                          <w:sz w:val="14"/>
                          <w:szCs w:val="14"/>
                          <w:lang w:val="en-US"/>
                        </w:rPr>
                        <w:t>external vulnerability risk</w:t>
                      </w:r>
                    </w:p>
                    <w:p w14:paraId="16341E78" w14:textId="77777777" w:rsidR="0037668C" w:rsidRPr="002B7772" w:rsidRDefault="0037668C" w:rsidP="0037668C">
                      <w:pPr>
                        <w:rPr>
                          <w:rFonts w:ascii="Arial Hebrew" w:hAnsi="Arial Hebrew" w:cs="Arial Hebrew"/>
                          <w:b/>
                          <w:bCs/>
                          <w:color w:val="D86DCB" w:themeColor="accent5" w:themeTint="99"/>
                          <w:sz w:val="14"/>
                          <w:szCs w:val="14"/>
                          <w:lang w:val="en-US"/>
                        </w:rPr>
                      </w:pPr>
                    </w:p>
                    <w:p w14:paraId="68819238"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DD36A20" w14:textId="77777777" w:rsidR="0037668C" w:rsidRPr="002B7772" w:rsidRDefault="0037668C" w:rsidP="0037668C">
                      <w:pPr>
                        <w:rPr>
                          <w:rFonts w:ascii="Arial Hebrew" w:hAnsi="Arial Hebrew" w:cs="Arial Hebrew"/>
                          <w:b/>
                          <w:bCs/>
                          <w:sz w:val="14"/>
                          <w:szCs w:val="14"/>
                          <w:lang w:val="en-US"/>
                        </w:rPr>
                      </w:pPr>
                      <w:r w:rsidRPr="002B7772">
                        <w:rPr>
                          <w:rFonts w:ascii="Arial Hebrew" w:hAnsi="Arial Hebrew" w:cs="Arial Hebrew" w:hint="cs"/>
                          <w:b/>
                          <w:bCs/>
                          <w:sz w:val="14"/>
                          <w:szCs w:val="14"/>
                          <w:lang w:val="en-US"/>
                        </w:rPr>
                        <w:t xml:space="preserve">  </w:t>
                      </w:r>
                    </w:p>
                    <w:p w14:paraId="429B2A29" w14:textId="77777777" w:rsidR="0037668C" w:rsidRPr="002B7772" w:rsidRDefault="0037668C" w:rsidP="0037668C">
                      <w:pPr>
                        <w:rPr>
                          <w:rFonts w:ascii="Arial Hebrew" w:hAnsi="Arial Hebrew" w:cs="Arial Hebrew"/>
                          <w:b/>
                          <w:bCs/>
                          <w:sz w:val="14"/>
                          <w:szCs w:val="14"/>
                          <w:lang w:val="en-US"/>
                        </w:rPr>
                      </w:pPr>
                    </w:p>
                  </w:txbxContent>
                </v:textbox>
              </v:shape>
            </w:pict>
          </mc:Fallback>
        </mc:AlternateContent>
      </w:r>
      <w:r w:rsidR="005818FC" w:rsidRPr="00147D0A">
        <w:rPr>
          <w:rFonts w:ascii="Arial Hebrew" w:hAnsi="Arial Hebrew" w:cs="Arial Hebrew" w:hint="cs"/>
          <w:noProof/>
        </w:rPr>
        <mc:AlternateContent>
          <mc:Choice Requires="wps">
            <w:drawing>
              <wp:anchor distT="0" distB="0" distL="114300" distR="114300" simplePos="0" relativeHeight="251657726" behindDoc="0" locked="0" layoutInCell="1" allowOverlap="1" wp14:anchorId="43031497" wp14:editId="69C9E648">
                <wp:simplePos x="0" y="0"/>
                <wp:positionH relativeFrom="column">
                  <wp:posOffset>1308735</wp:posOffset>
                </wp:positionH>
                <wp:positionV relativeFrom="paragraph">
                  <wp:posOffset>71755</wp:posOffset>
                </wp:positionV>
                <wp:extent cx="4415155" cy="2471420"/>
                <wp:effectExtent l="0" t="0" r="17145" b="17780"/>
                <wp:wrapNone/>
                <wp:docPr id="324667743" name="Text Box 4"/>
                <wp:cNvGraphicFramePr/>
                <a:graphic xmlns:a="http://schemas.openxmlformats.org/drawingml/2006/main">
                  <a:graphicData uri="http://schemas.microsoft.com/office/word/2010/wordprocessingShape">
                    <wps:wsp>
                      <wps:cNvSpPr txBox="1"/>
                      <wps:spPr>
                        <a:xfrm>
                          <a:off x="0" y="0"/>
                          <a:ext cx="4415155" cy="2471420"/>
                        </a:xfrm>
                        <a:prstGeom prst="rect">
                          <a:avLst/>
                        </a:prstGeom>
                        <a:solidFill>
                          <a:schemeClr val="tx2">
                            <a:lumMod val="10000"/>
                            <a:lumOff val="90000"/>
                          </a:schemeClr>
                        </a:solidFill>
                        <a:ln w="12700">
                          <a:solidFill>
                            <a:schemeClr val="tx1"/>
                          </a:solidFill>
                        </a:ln>
                      </wps:spPr>
                      <wps:txbx>
                        <w:txbxContent>
                          <w:p w14:paraId="6D793BB2" w14:textId="77777777" w:rsidR="00563377" w:rsidRPr="002B7772" w:rsidRDefault="00563377" w:rsidP="00563377">
                            <w:pPr>
                              <w:rPr>
                                <w:rFonts w:ascii="Arial Hebrew" w:hAnsi="Arial Hebrew" w:cs="Arial Hebrew"/>
                                <w:b/>
                                <w:bCs/>
                                <w:color w:val="000000" w:themeColor="text1"/>
                                <w:sz w:val="18"/>
                                <w:szCs w:val="18"/>
                                <w:lang w:val="en-US"/>
                              </w:rPr>
                            </w:pPr>
                          </w:p>
                          <w:p w14:paraId="51D03402" w14:textId="77777777" w:rsidR="00563377" w:rsidRPr="002B7772" w:rsidRDefault="00563377" w:rsidP="00563377">
                            <w:pPr>
                              <w:rPr>
                                <w:rFonts w:ascii="Arial Hebrew" w:hAnsi="Arial Hebrew" w:cs="Arial Hebrew"/>
                                <w:b/>
                                <w:bCs/>
                                <w:color w:val="000000" w:themeColor="text1"/>
                                <w:sz w:val="18"/>
                                <w:szCs w:val="18"/>
                                <w:lang w:val="en-US"/>
                              </w:rPr>
                            </w:pPr>
                          </w:p>
                          <w:p w14:paraId="20141DBD" w14:textId="77777777" w:rsidR="00563377" w:rsidRPr="002B7772" w:rsidRDefault="00563377" w:rsidP="00563377">
                            <w:pPr>
                              <w:rPr>
                                <w:rFonts w:ascii="Arial Hebrew" w:hAnsi="Arial Hebrew" w:cs="Arial Hebrew"/>
                                <w:b/>
                                <w:bCs/>
                                <w:color w:val="000000" w:themeColor="text1"/>
                                <w:sz w:val="18"/>
                                <w:szCs w:val="18"/>
                                <w:lang w:val="en-US"/>
                              </w:rPr>
                            </w:pPr>
                          </w:p>
                          <w:p w14:paraId="4080704E" w14:textId="77777777" w:rsidR="00563377" w:rsidRPr="002B7772" w:rsidRDefault="00563377" w:rsidP="00563377">
                            <w:pPr>
                              <w:rPr>
                                <w:rFonts w:ascii="Arial Hebrew" w:hAnsi="Arial Hebrew" w:cs="Arial Hebrew"/>
                                <w:b/>
                                <w:bCs/>
                                <w:color w:val="000000" w:themeColor="text1"/>
                                <w:sz w:val="18"/>
                                <w:szCs w:val="18"/>
                                <w:lang w:val="en-US"/>
                              </w:rPr>
                            </w:pPr>
                          </w:p>
                          <w:p w14:paraId="1C751F61" w14:textId="77777777" w:rsidR="00563377" w:rsidRPr="002B7772" w:rsidRDefault="00563377" w:rsidP="00563377">
                            <w:pPr>
                              <w:rPr>
                                <w:rFonts w:ascii="Arial Hebrew" w:hAnsi="Arial Hebrew" w:cs="Arial Hebrew"/>
                                <w:b/>
                                <w:bCs/>
                                <w:color w:val="000000" w:themeColor="text1"/>
                                <w:sz w:val="18"/>
                                <w:szCs w:val="18"/>
                                <w:lang w:val="en-US"/>
                              </w:rPr>
                            </w:pPr>
                          </w:p>
                          <w:p w14:paraId="71F26873" w14:textId="77777777" w:rsidR="00563377" w:rsidRPr="002B7772" w:rsidRDefault="00563377" w:rsidP="00563377">
                            <w:pPr>
                              <w:rPr>
                                <w:rFonts w:ascii="Arial Hebrew" w:hAnsi="Arial Hebrew" w:cs="Arial Hebrew"/>
                                <w:b/>
                                <w:bCs/>
                                <w:color w:val="000000" w:themeColor="text1"/>
                                <w:sz w:val="18"/>
                                <w:szCs w:val="18"/>
                                <w:lang w:val="en-US"/>
                              </w:rPr>
                            </w:pPr>
                          </w:p>
                          <w:p w14:paraId="750088E6" w14:textId="77777777" w:rsidR="00563377" w:rsidRPr="002B7772" w:rsidRDefault="00563377" w:rsidP="00563377">
                            <w:pPr>
                              <w:rPr>
                                <w:rFonts w:ascii="Arial Hebrew" w:hAnsi="Arial Hebrew" w:cs="Arial Hebrew"/>
                                <w:b/>
                                <w:bCs/>
                                <w:color w:val="000000" w:themeColor="text1"/>
                                <w:sz w:val="18"/>
                                <w:szCs w:val="18"/>
                                <w:lang w:val="en-US"/>
                              </w:rPr>
                            </w:pPr>
                          </w:p>
                          <w:p w14:paraId="417A6080" w14:textId="77777777" w:rsidR="00563377" w:rsidRPr="002B7772" w:rsidRDefault="00563377" w:rsidP="00563377">
                            <w:pPr>
                              <w:rPr>
                                <w:rFonts w:ascii="Arial Hebrew" w:hAnsi="Arial Hebrew" w:cs="Arial Hebrew"/>
                                <w:b/>
                                <w:bCs/>
                                <w:color w:val="000000" w:themeColor="text1"/>
                                <w:sz w:val="18"/>
                                <w:szCs w:val="18"/>
                                <w:lang w:val="en-US"/>
                              </w:rPr>
                            </w:pPr>
                          </w:p>
                          <w:p w14:paraId="167DDED4" w14:textId="77777777" w:rsidR="00563377" w:rsidRPr="002B7772" w:rsidRDefault="00563377" w:rsidP="00563377">
                            <w:pPr>
                              <w:rPr>
                                <w:rFonts w:ascii="Arial Hebrew" w:hAnsi="Arial Hebrew" w:cs="Arial Hebrew"/>
                                <w:b/>
                                <w:bCs/>
                                <w:color w:val="000000" w:themeColor="text1"/>
                                <w:sz w:val="18"/>
                                <w:szCs w:val="18"/>
                                <w:lang w:val="en-US"/>
                              </w:rPr>
                            </w:pPr>
                          </w:p>
                          <w:p w14:paraId="4B10021C" w14:textId="77777777" w:rsidR="00563377" w:rsidRPr="002B7772" w:rsidRDefault="00563377" w:rsidP="00563377">
                            <w:pPr>
                              <w:rPr>
                                <w:rFonts w:ascii="Arial Hebrew" w:hAnsi="Arial Hebrew" w:cs="Arial Hebrew"/>
                                <w:b/>
                                <w:bCs/>
                                <w:color w:val="000000" w:themeColor="text1"/>
                                <w:sz w:val="18"/>
                                <w:szCs w:val="18"/>
                                <w:lang w:val="en-US"/>
                              </w:rPr>
                            </w:pPr>
                          </w:p>
                          <w:p w14:paraId="38262659" w14:textId="77777777" w:rsidR="00563377" w:rsidRPr="002B7772" w:rsidRDefault="00563377" w:rsidP="00563377">
                            <w:pPr>
                              <w:rPr>
                                <w:rFonts w:ascii="Arial Hebrew" w:hAnsi="Arial Hebrew" w:cs="Arial Hebrew"/>
                                <w:b/>
                                <w:bCs/>
                                <w:color w:val="000000" w:themeColor="text1"/>
                                <w:sz w:val="18"/>
                                <w:szCs w:val="18"/>
                                <w:lang w:val="en-US"/>
                              </w:rPr>
                            </w:pPr>
                          </w:p>
                          <w:p w14:paraId="6EDB851F" w14:textId="77777777" w:rsidR="00563377" w:rsidRPr="002B7772" w:rsidRDefault="00563377" w:rsidP="00563377">
                            <w:pPr>
                              <w:rPr>
                                <w:rFonts w:ascii="Arial Hebrew" w:hAnsi="Arial Hebrew" w:cs="Arial Hebrew"/>
                                <w:b/>
                                <w:bCs/>
                                <w:color w:val="000000" w:themeColor="text1"/>
                                <w:sz w:val="18"/>
                                <w:szCs w:val="18"/>
                                <w:lang w:val="en-US"/>
                              </w:rPr>
                            </w:pPr>
                          </w:p>
                          <w:p w14:paraId="648990E0" w14:textId="77777777" w:rsidR="00563377" w:rsidRPr="002B7772" w:rsidRDefault="00563377" w:rsidP="00563377">
                            <w:pPr>
                              <w:rPr>
                                <w:rFonts w:ascii="Arial Hebrew" w:hAnsi="Arial Hebrew" w:cs="Arial Hebrew"/>
                                <w:b/>
                                <w:bCs/>
                                <w:color w:val="000000" w:themeColor="text1"/>
                                <w:sz w:val="18"/>
                                <w:szCs w:val="18"/>
                                <w:lang w:val="en-US"/>
                              </w:rPr>
                            </w:pPr>
                          </w:p>
                          <w:p w14:paraId="4D2AE470" w14:textId="77777777" w:rsidR="001A1BC5" w:rsidRPr="002B7772" w:rsidRDefault="001A1BC5" w:rsidP="001A1BC5">
                            <w:pPr>
                              <w:rPr>
                                <w:rFonts w:ascii="Arial Hebrew" w:hAnsi="Arial Hebrew" w:cs="Arial Hebrew"/>
                                <w:b/>
                                <w:bCs/>
                                <w:color w:val="000000" w:themeColor="text1"/>
                                <w:sz w:val="18"/>
                                <w:szCs w:val="18"/>
                                <w:lang w:val="en-US"/>
                              </w:rPr>
                            </w:pPr>
                          </w:p>
                          <w:p w14:paraId="16A75961" w14:textId="29F59391" w:rsidR="00563377" w:rsidRPr="002B7772" w:rsidRDefault="00563377" w:rsidP="001A1BC5">
                            <w:pPr>
                              <w:spacing w:line="360" w:lineRule="auto"/>
                              <w:rPr>
                                <w:rFonts w:ascii="Arial Hebrew" w:hAnsi="Arial Hebrew" w:cs="Arial Hebrew"/>
                                <w:b/>
                                <w:bCs/>
                                <w:color w:val="000000" w:themeColor="text1"/>
                                <w:sz w:val="18"/>
                                <w:szCs w:val="18"/>
                                <w:lang w:val="en-US"/>
                              </w:rPr>
                            </w:pPr>
                            <w:r w:rsidRPr="002B7772">
                              <w:rPr>
                                <w:rFonts w:ascii="Arial Hebrew" w:hAnsi="Arial Hebrew" w:cs="Arial Hebrew" w:hint="cs"/>
                                <w:b/>
                                <w:bCs/>
                                <w:color w:val="000000" w:themeColor="text1"/>
                                <w:sz w:val="18"/>
                                <w:szCs w:val="18"/>
                                <w:lang w:val="en-US"/>
                              </w:rPr>
                              <w:t>Government Financial Strength</w:t>
                            </w:r>
                          </w:p>
                          <w:p w14:paraId="00476040" w14:textId="77777777" w:rsid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Dynamic weights ranging from </w:t>
                            </w:r>
                            <w:r w:rsidRPr="002B7772">
                              <w:rPr>
                                <w:rFonts w:ascii="Arial Hebrew" w:hAnsi="Arial Hebrew" w:cs="Arial Hebrew" w:hint="cs"/>
                                <w:b/>
                                <w:bCs/>
                                <w:i/>
                                <w:iCs/>
                                <w:color w:val="000000" w:themeColor="text1"/>
                                <w:sz w:val="15"/>
                                <w:szCs w:val="15"/>
                                <w:lang w:val="en-US"/>
                              </w:rPr>
                              <w:t>25:75</w:t>
                            </w:r>
                            <w:r w:rsidRPr="002B7772">
                              <w:rPr>
                                <w:rFonts w:ascii="Arial Hebrew" w:hAnsi="Arial Hebrew" w:cs="Arial Hebrew" w:hint="cs"/>
                                <w:i/>
                                <w:iCs/>
                                <w:color w:val="000000" w:themeColor="text1"/>
                                <w:sz w:val="15"/>
                                <w:szCs w:val="15"/>
                                <w:lang w:val="en-US"/>
                              </w:rPr>
                              <w:t xml:space="preserve"> to </w:t>
                            </w:r>
                            <w:r w:rsidRPr="002B7772">
                              <w:rPr>
                                <w:rFonts w:ascii="Arial Hebrew" w:hAnsi="Arial Hebrew" w:cs="Arial Hebrew" w:hint="cs"/>
                                <w:b/>
                                <w:bCs/>
                                <w:i/>
                                <w:iCs/>
                                <w:color w:val="000000" w:themeColor="text1"/>
                                <w:sz w:val="15"/>
                                <w:szCs w:val="15"/>
                                <w:lang w:val="en-US"/>
                              </w:rPr>
                              <w:t>50:50</w:t>
                            </w:r>
                            <w:r w:rsidRPr="002B7772">
                              <w:rPr>
                                <w:rFonts w:ascii="Arial Hebrew" w:hAnsi="Arial Hebrew" w:cs="Arial Hebrew" w:hint="cs"/>
                                <w:i/>
                                <w:iCs/>
                                <w:color w:val="000000" w:themeColor="text1"/>
                                <w:sz w:val="15"/>
                                <w:szCs w:val="15"/>
                                <w:lang w:val="en-US"/>
                              </w:rPr>
                              <w:t xml:space="preserve"> </w:t>
                            </w:r>
                          </w:p>
                          <w:p w14:paraId="3668F81E" w14:textId="0553F0BE" w:rsidR="00563377" w:rsidRP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for </w:t>
                            </w:r>
                            <w:r w:rsidRPr="002B7772">
                              <w:rPr>
                                <w:rFonts w:ascii="Arial Hebrew" w:hAnsi="Arial Hebrew" w:cs="Arial Hebrew" w:hint="cs"/>
                                <w:b/>
                                <w:bCs/>
                                <w:i/>
                                <w:iCs/>
                                <w:color w:val="000000" w:themeColor="text1"/>
                                <w:sz w:val="15"/>
                                <w:szCs w:val="15"/>
                                <w:lang w:val="en-US"/>
                              </w:rPr>
                              <w:t>Fiscal Health : Economic Resiliency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1497" id="_x0000_s1027" type="#_x0000_t202" style="position:absolute;left:0;text-align:left;margin-left:103.05pt;margin-top:5.65pt;width:347.65pt;height:194.6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" fillcolor="#dceaf7 [351]" strokecolor="black [3213]" strokeweight="1pt">
                <v:textbox>
                  <w:txbxContent>
                    <w:p w14:paraId="6D793BB2" w14:textId="77777777" w:rsidR="00563377" w:rsidRPr="002B7772" w:rsidRDefault="00563377" w:rsidP="00563377">
                      <w:pPr>
                        <w:rPr>
                          <w:rFonts w:ascii="Arial Hebrew" w:hAnsi="Arial Hebrew" w:cs="Arial Hebrew"/>
                          <w:b/>
                          <w:bCs/>
                          <w:color w:val="000000" w:themeColor="text1"/>
                          <w:sz w:val="18"/>
                          <w:szCs w:val="18"/>
                          <w:lang w:val="en-US"/>
                        </w:rPr>
                      </w:pPr>
                    </w:p>
                    <w:p w14:paraId="51D03402" w14:textId="77777777" w:rsidR="00563377" w:rsidRPr="002B7772" w:rsidRDefault="00563377" w:rsidP="00563377">
                      <w:pPr>
                        <w:rPr>
                          <w:rFonts w:ascii="Arial Hebrew" w:hAnsi="Arial Hebrew" w:cs="Arial Hebrew"/>
                          <w:b/>
                          <w:bCs/>
                          <w:color w:val="000000" w:themeColor="text1"/>
                          <w:sz w:val="18"/>
                          <w:szCs w:val="18"/>
                          <w:lang w:val="en-US"/>
                        </w:rPr>
                      </w:pPr>
                    </w:p>
                    <w:p w14:paraId="20141DBD" w14:textId="77777777" w:rsidR="00563377" w:rsidRPr="002B7772" w:rsidRDefault="00563377" w:rsidP="00563377">
                      <w:pPr>
                        <w:rPr>
                          <w:rFonts w:ascii="Arial Hebrew" w:hAnsi="Arial Hebrew" w:cs="Arial Hebrew"/>
                          <w:b/>
                          <w:bCs/>
                          <w:color w:val="000000" w:themeColor="text1"/>
                          <w:sz w:val="18"/>
                          <w:szCs w:val="18"/>
                          <w:lang w:val="en-US"/>
                        </w:rPr>
                      </w:pPr>
                    </w:p>
                    <w:p w14:paraId="4080704E" w14:textId="77777777" w:rsidR="00563377" w:rsidRPr="002B7772" w:rsidRDefault="00563377" w:rsidP="00563377">
                      <w:pPr>
                        <w:rPr>
                          <w:rFonts w:ascii="Arial Hebrew" w:hAnsi="Arial Hebrew" w:cs="Arial Hebrew"/>
                          <w:b/>
                          <w:bCs/>
                          <w:color w:val="000000" w:themeColor="text1"/>
                          <w:sz w:val="18"/>
                          <w:szCs w:val="18"/>
                          <w:lang w:val="en-US"/>
                        </w:rPr>
                      </w:pPr>
                    </w:p>
                    <w:p w14:paraId="1C751F61" w14:textId="77777777" w:rsidR="00563377" w:rsidRPr="002B7772" w:rsidRDefault="00563377" w:rsidP="00563377">
                      <w:pPr>
                        <w:rPr>
                          <w:rFonts w:ascii="Arial Hebrew" w:hAnsi="Arial Hebrew" w:cs="Arial Hebrew"/>
                          <w:b/>
                          <w:bCs/>
                          <w:color w:val="000000" w:themeColor="text1"/>
                          <w:sz w:val="18"/>
                          <w:szCs w:val="18"/>
                          <w:lang w:val="en-US"/>
                        </w:rPr>
                      </w:pPr>
                    </w:p>
                    <w:p w14:paraId="71F26873" w14:textId="77777777" w:rsidR="00563377" w:rsidRPr="002B7772" w:rsidRDefault="00563377" w:rsidP="00563377">
                      <w:pPr>
                        <w:rPr>
                          <w:rFonts w:ascii="Arial Hebrew" w:hAnsi="Arial Hebrew" w:cs="Arial Hebrew"/>
                          <w:b/>
                          <w:bCs/>
                          <w:color w:val="000000" w:themeColor="text1"/>
                          <w:sz w:val="18"/>
                          <w:szCs w:val="18"/>
                          <w:lang w:val="en-US"/>
                        </w:rPr>
                      </w:pPr>
                    </w:p>
                    <w:p w14:paraId="750088E6" w14:textId="77777777" w:rsidR="00563377" w:rsidRPr="002B7772" w:rsidRDefault="00563377" w:rsidP="00563377">
                      <w:pPr>
                        <w:rPr>
                          <w:rFonts w:ascii="Arial Hebrew" w:hAnsi="Arial Hebrew" w:cs="Arial Hebrew"/>
                          <w:b/>
                          <w:bCs/>
                          <w:color w:val="000000" w:themeColor="text1"/>
                          <w:sz w:val="18"/>
                          <w:szCs w:val="18"/>
                          <w:lang w:val="en-US"/>
                        </w:rPr>
                      </w:pPr>
                    </w:p>
                    <w:p w14:paraId="417A6080" w14:textId="77777777" w:rsidR="00563377" w:rsidRPr="002B7772" w:rsidRDefault="00563377" w:rsidP="00563377">
                      <w:pPr>
                        <w:rPr>
                          <w:rFonts w:ascii="Arial Hebrew" w:hAnsi="Arial Hebrew" w:cs="Arial Hebrew"/>
                          <w:b/>
                          <w:bCs/>
                          <w:color w:val="000000" w:themeColor="text1"/>
                          <w:sz w:val="18"/>
                          <w:szCs w:val="18"/>
                          <w:lang w:val="en-US"/>
                        </w:rPr>
                      </w:pPr>
                    </w:p>
                    <w:p w14:paraId="167DDED4" w14:textId="77777777" w:rsidR="00563377" w:rsidRPr="002B7772" w:rsidRDefault="00563377" w:rsidP="00563377">
                      <w:pPr>
                        <w:rPr>
                          <w:rFonts w:ascii="Arial Hebrew" w:hAnsi="Arial Hebrew" w:cs="Arial Hebrew"/>
                          <w:b/>
                          <w:bCs/>
                          <w:color w:val="000000" w:themeColor="text1"/>
                          <w:sz w:val="18"/>
                          <w:szCs w:val="18"/>
                          <w:lang w:val="en-US"/>
                        </w:rPr>
                      </w:pPr>
                    </w:p>
                    <w:p w14:paraId="4B10021C" w14:textId="77777777" w:rsidR="00563377" w:rsidRPr="002B7772" w:rsidRDefault="00563377" w:rsidP="00563377">
                      <w:pPr>
                        <w:rPr>
                          <w:rFonts w:ascii="Arial Hebrew" w:hAnsi="Arial Hebrew" w:cs="Arial Hebrew"/>
                          <w:b/>
                          <w:bCs/>
                          <w:color w:val="000000" w:themeColor="text1"/>
                          <w:sz w:val="18"/>
                          <w:szCs w:val="18"/>
                          <w:lang w:val="en-US"/>
                        </w:rPr>
                      </w:pPr>
                    </w:p>
                    <w:p w14:paraId="38262659" w14:textId="77777777" w:rsidR="00563377" w:rsidRPr="002B7772" w:rsidRDefault="00563377" w:rsidP="00563377">
                      <w:pPr>
                        <w:rPr>
                          <w:rFonts w:ascii="Arial Hebrew" w:hAnsi="Arial Hebrew" w:cs="Arial Hebrew"/>
                          <w:b/>
                          <w:bCs/>
                          <w:color w:val="000000" w:themeColor="text1"/>
                          <w:sz w:val="18"/>
                          <w:szCs w:val="18"/>
                          <w:lang w:val="en-US"/>
                        </w:rPr>
                      </w:pPr>
                    </w:p>
                    <w:p w14:paraId="6EDB851F" w14:textId="77777777" w:rsidR="00563377" w:rsidRPr="002B7772" w:rsidRDefault="00563377" w:rsidP="00563377">
                      <w:pPr>
                        <w:rPr>
                          <w:rFonts w:ascii="Arial Hebrew" w:hAnsi="Arial Hebrew" w:cs="Arial Hebrew"/>
                          <w:b/>
                          <w:bCs/>
                          <w:color w:val="000000" w:themeColor="text1"/>
                          <w:sz w:val="18"/>
                          <w:szCs w:val="18"/>
                          <w:lang w:val="en-US"/>
                        </w:rPr>
                      </w:pPr>
                    </w:p>
                    <w:p w14:paraId="648990E0" w14:textId="77777777" w:rsidR="00563377" w:rsidRPr="002B7772" w:rsidRDefault="00563377" w:rsidP="00563377">
                      <w:pPr>
                        <w:rPr>
                          <w:rFonts w:ascii="Arial Hebrew" w:hAnsi="Arial Hebrew" w:cs="Arial Hebrew"/>
                          <w:b/>
                          <w:bCs/>
                          <w:color w:val="000000" w:themeColor="text1"/>
                          <w:sz w:val="18"/>
                          <w:szCs w:val="18"/>
                          <w:lang w:val="en-US"/>
                        </w:rPr>
                      </w:pPr>
                    </w:p>
                    <w:p w14:paraId="4D2AE470" w14:textId="77777777" w:rsidR="001A1BC5" w:rsidRPr="002B7772" w:rsidRDefault="001A1BC5" w:rsidP="001A1BC5">
                      <w:pPr>
                        <w:rPr>
                          <w:rFonts w:ascii="Arial Hebrew" w:hAnsi="Arial Hebrew" w:cs="Arial Hebrew"/>
                          <w:b/>
                          <w:bCs/>
                          <w:color w:val="000000" w:themeColor="text1"/>
                          <w:sz w:val="18"/>
                          <w:szCs w:val="18"/>
                          <w:lang w:val="en-US"/>
                        </w:rPr>
                      </w:pPr>
                    </w:p>
                    <w:p w14:paraId="16A75961" w14:textId="29F59391" w:rsidR="00563377" w:rsidRPr="002B7772" w:rsidRDefault="00563377" w:rsidP="001A1BC5">
                      <w:pPr>
                        <w:spacing w:line="360" w:lineRule="auto"/>
                        <w:rPr>
                          <w:rFonts w:ascii="Arial Hebrew" w:hAnsi="Arial Hebrew" w:cs="Arial Hebrew"/>
                          <w:b/>
                          <w:bCs/>
                          <w:color w:val="000000" w:themeColor="text1"/>
                          <w:sz w:val="18"/>
                          <w:szCs w:val="18"/>
                          <w:lang w:val="en-US"/>
                        </w:rPr>
                      </w:pPr>
                      <w:r w:rsidRPr="002B7772">
                        <w:rPr>
                          <w:rFonts w:ascii="Arial Hebrew" w:hAnsi="Arial Hebrew" w:cs="Arial Hebrew" w:hint="cs"/>
                          <w:b/>
                          <w:bCs/>
                          <w:color w:val="000000" w:themeColor="text1"/>
                          <w:sz w:val="18"/>
                          <w:szCs w:val="18"/>
                          <w:lang w:val="en-US"/>
                        </w:rPr>
                        <w:t>Government Financial Strength</w:t>
                      </w:r>
                    </w:p>
                    <w:p w14:paraId="00476040" w14:textId="77777777" w:rsid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Dynamic weights ranging from </w:t>
                      </w:r>
                      <w:r w:rsidRPr="002B7772">
                        <w:rPr>
                          <w:rFonts w:ascii="Arial Hebrew" w:hAnsi="Arial Hebrew" w:cs="Arial Hebrew" w:hint="cs"/>
                          <w:b/>
                          <w:bCs/>
                          <w:i/>
                          <w:iCs/>
                          <w:color w:val="000000" w:themeColor="text1"/>
                          <w:sz w:val="15"/>
                          <w:szCs w:val="15"/>
                          <w:lang w:val="en-US"/>
                        </w:rPr>
                        <w:t>25:75</w:t>
                      </w:r>
                      <w:r w:rsidRPr="002B7772">
                        <w:rPr>
                          <w:rFonts w:ascii="Arial Hebrew" w:hAnsi="Arial Hebrew" w:cs="Arial Hebrew" w:hint="cs"/>
                          <w:i/>
                          <w:iCs/>
                          <w:color w:val="000000" w:themeColor="text1"/>
                          <w:sz w:val="15"/>
                          <w:szCs w:val="15"/>
                          <w:lang w:val="en-US"/>
                        </w:rPr>
                        <w:t xml:space="preserve"> to </w:t>
                      </w:r>
                      <w:r w:rsidRPr="002B7772">
                        <w:rPr>
                          <w:rFonts w:ascii="Arial Hebrew" w:hAnsi="Arial Hebrew" w:cs="Arial Hebrew" w:hint="cs"/>
                          <w:b/>
                          <w:bCs/>
                          <w:i/>
                          <w:iCs/>
                          <w:color w:val="000000" w:themeColor="text1"/>
                          <w:sz w:val="15"/>
                          <w:szCs w:val="15"/>
                          <w:lang w:val="en-US"/>
                        </w:rPr>
                        <w:t>50:50</w:t>
                      </w:r>
                      <w:r w:rsidRPr="002B7772">
                        <w:rPr>
                          <w:rFonts w:ascii="Arial Hebrew" w:hAnsi="Arial Hebrew" w:cs="Arial Hebrew" w:hint="cs"/>
                          <w:i/>
                          <w:iCs/>
                          <w:color w:val="000000" w:themeColor="text1"/>
                          <w:sz w:val="15"/>
                          <w:szCs w:val="15"/>
                          <w:lang w:val="en-US"/>
                        </w:rPr>
                        <w:t xml:space="preserve"> </w:t>
                      </w:r>
                    </w:p>
                    <w:p w14:paraId="3668F81E" w14:textId="0553F0BE" w:rsidR="00563377" w:rsidRPr="002B7772" w:rsidRDefault="00563377" w:rsidP="00563377">
                      <w:pPr>
                        <w:rPr>
                          <w:rFonts w:ascii="Arial Hebrew" w:hAnsi="Arial Hebrew" w:cs="Arial Hebrew"/>
                          <w:i/>
                          <w:iCs/>
                          <w:color w:val="000000" w:themeColor="text1"/>
                          <w:sz w:val="15"/>
                          <w:szCs w:val="15"/>
                          <w:lang w:val="en-US"/>
                        </w:rPr>
                      </w:pPr>
                      <w:r w:rsidRPr="002B7772">
                        <w:rPr>
                          <w:rFonts w:ascii="Arial Hebrew" w:hAnsi="Arial Hebrew" w:cs="Arial Hebrew" w:hint="cs"/>
                          <w:i/>
                          <w:iCs/>
                          <w:color w:val="000000" w:themeColor="text1"/>
                          <w:sz w:val="15"/>
                          <w:szCs w:val="15"/>
                          <w:lang w:val="en-US"/>
                        </w:rPr>
                        <w:t xml:space="preserve">for </w:t>
                      </w:r>
                      <w:r w:rsidRPr="002B7772">
                        <w:rPr>
                          <w:rFonts w:ascii="Arial Hebrew" w:hAnsi="Arial Hebrew" w:cs="Arial Hebrew" w:hint="cs"/>
                          <w:b/>
                          <w:bCs/>
                          <w:i/>
                          <w:iCs/>
                          <w:color w:val="000000" w:themeColor="text1"/>
                          <w:sz w:val="15"/>
                          <w:szCs w:val="15"/>
                          <w:lang w:val="en-US"/>
                        </w:rPr>
                        <w:t xml:space="preserve">Fiscal </w:t>
                      </w:r>
                      <w:proofErr w:type="gramStart"/>
                      <w:r w:rsidRPr="002B7772">
                        <w:rPr>
                          <w:rFonts w:ascii="Arial Hebrew" w:hAnsi="Arial Hebrew" w:cs="Arial Hebrew" w:hint="cs"/>
                          <w:b/>
                          <w:bCs/>
                          <w:i/>
                          <w:iCs/>
                          <w:color w:val="000000" w:themeColor="text1"/>
                          <w:sz w:val="15"/>
                          <w:szCs w:val="15"/>
                          <w:lang w:val="en-US"/>
                        </w:rPr>
                        <w:t>Health :</w:t>
                      </w:r>
                      <w:proofErr w:type="gramEnd"/>
                      <w:r w:rsidRPr="002B7772">
                        <w:rPr>
                          <w:rFonts w:ascii="Arial Hebrew" w:hAnsi="Arial Hebrew" w:cs="Arial Hebrew" w:hint="cs"/>
                          <w:b/>
                          <w:bCs/>
                          <w:i/>
                          <w:iCs/>
                          <w:color w:val="000000" w:themeColor="text1"/>
                          <w:sz w:val="15"/>
                          <w:szCs w:val="15"/>
                          <w:lang w:val="en-US"/>
                        </w:rPr>
                        <w:t xml:space="preserve"> Economic Resiliency</w:t>
                      </w:r>
                    </w:p>
                  </w:txbxContent>
                </v:textbox>
              </v:shape>
            </w:pict>
          </mc:Fallback>
        </mc:AlternateContent>
      </w:r>
    </w:p>
    <w:p w14:paraId="6633B397" w14:textId="78EA7DDA" w:rsidR="00C75730" w:rsidRPr="00147D0A" w:rsidRDefault="005E1771" w:rsidP="00622529">
      <w:pPr>
        <w:spacing w:line="360" w:lineRule="auto"/>
        <w:ind w:firstLine="720"/>
        <w:jc w:val="center"/>
        <w:rPr>
          <w:rFonts w:ascii="Arial Hebrew" w:hAnsi="Arial Hebrew" w:cs="Arial Hebrew"/>
          <w:sz w:val="20"/>
          <w:szCs w:val="20"/>
        </w:rPr>
      </w:pPr>
      <w:r w:rsidRPr="00147D0A">
        <w:rPr>
          <w:rFonts w:ascii="Arial Hebrew" w:hAnsi="Arial Hebrew" w:cs="Arial Hebrew" w:hint="cs"/>
          <w:noProof/>
        </w:rPr>
        <w:drawing>
          <wp:anchor distT="0" distB="0" distL="114300" distR="114300" simplePos="0" relativeHeight="251721728" behindDoc="0" locked="0" layoutInCell="1" allowOverlap="1" wp14:anchorId="385F44B7" wp14:editId="238D74C6">
            <wp:simplePos x="0" y="0"/>
            <wp:positionH relativeFrom="column">
              <wp:posOffset>1903095</wp:posOffset>
            </wp:positionH>
            <wp:positionV relativeFrom="paragraph">
              <wp:posOffset>9500</wp:posOffset>
            </wp:positionV>
            <wp:extent cx="2471420" cy="1946275"/>
            <wp:effectExtent l="0" t="0" r="0"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2B7772" w:rsidRPr="00147D0A">
        <w:rPr>
          <w:rFonts w:ascii="Arial Hebrew" w:hAnsi="Arial Hebrew" w:cs="Arial Hebrew" w:hint="cs"/>
          <w:noProof/>
        </w:rPr>
        <mc:AlternateContent>
          <mc:Choice Requires="wps">
            <w:drawing>
              <wp:anchor distT="0" distB="0" distL="114300" distR="114300" simplePos="0" relativeHeight="251658239" behindDoc="0" locked="0" layoutInCell="1" allowOverlap="1" wp14:anchorId="60BD1A62" wp14:editId="56EB0197">
                <wp:simplePos x="0" y="0"/>
                <wp:positionH relativeFrom="column">
                  <wp:posOffset>3956364</wp:posOffset>
                </wp:positionH>
                <wp:positionV relativeFrom="paragraph">
                  <wp:posOffset>16900</wp:posOffset>
                </wp:positionV>
                <wp:extent cx="1716933" cy="2362835"/>
                <wp:effectExtent l="0" t="0" r="10795" b="12065"/>
                <wp:wrapNone/>
                <wp:docPr id="700571501" name="Text Box 4"/>
                <wp:cNvGraphicFramePr/>
                <a:graphic xmlns:a="http://schemas.openxmlformats.org/drawingml/2006/main">
                  <a:graphicData uri="http://schemas.microsoft.com/office/word/2010/wordprocessingShape">
                    <wps:wsp>
                      <wps:cNvSpPr txBox="1"/>
                      <wps:spPr>
                        <a:xfrm>
                          <a:off x="0" y="0"/>
                          <a:ext cx="1716933" cy="2362835"/>
                        </a:xfrm>
                        <a:prstGeom prst="rect">
                          <a:avLst/>
                        </a:prstGeom>
                        <a:solidFill>
                          <a:srgbClr val="F7F7F7"/>
                        </a:solidFill>
                        <a:ln w="9525">
                          <a:solidFill>
                            <a:schemeClr val="tx1"/>
                          </a:solidFill>
                        </a:ln>
                      </wps:spPr>
                      <wps:txbx>
                        <w:txbxContent>
                          <w:p w14:paraId="70B1DED6" w14:textId="5DE6AB6F" w:rsidR="0037668C" w:rsidRPr="002B7772" w:rsidRDefault="0037668C" w:rsidP="0037668C">
                            <w:pPr>
                              <w:rPr>
                                <w:rFonts w:ascii="Arial Hebrew" w:hAnsi="Arial Hebrew" w:cs="Arial Hebrew"/>
                                <w:b/>
                                <w:bCs/>
                                <w:color w:val="0C3512" w:themeColor="accent3" w:themeShade="80"/>
                                <w:sz w:val="16"/>
                                <w:szCs w:val="16"/>
                                <w:lang w:val="en-US"/>
                              </w:rPr>
                            </w:pPr>
                            <w:r w:rsidRPr="002B7772">
                              <w:rPr>
                                <w:rFonts w:ascii="Arial Hebrew" w:hAnsi="Arial Hebrew" w:cs="Arial Hebrew" w:hint="cs"/>
                                <w:b/>
                                <w:bCs/>
                                <w:color w:val="0C3512" w:themeColor="accent3" w:themeShade="80"/>
                                <w:sz w:val="18"/>
                                <w:szCs w:val="18"/>
                                <w:lang w:val="en-US"/>
                              </w:rPr>
                              <w:t>Economic Resiliency</w:t>
                            </w:r>
                          </w:p>
                          <w:p w14:paraId="11E1B01A" w14:textId="1023BA55" w:rsidR="0037668C" w:rsidRPr="002B7772" w:rsidRDefault="0037668C" w:rsidP="0037668C">
                            <w:pPr>
                              <w:rPr>
                                <w:rFonts w:ascii="Arial Hebrew" w:hAnsi="Arial Hebrew" w:cs="Arial Hebrew"/>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1A62" id="_x0000_s1028" type="#_x0000_t202" style="position:absolute;left:0;text-align:left;margin-left:311.5pt;margin-top:1.35pt;width:135.2pt;height:186.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" fillcolor="#f7f7f7" strokecolor="black [3213]">
                <v:textbox>
                  <w:txbxContent>
                    <w:p w14:paraId="70B1DED6" w14:textId="5DE6AB6F" w:rsidR="0037668C" w:rsidRPr="002B7772" w:rsidRDefault="0037668C" w:rsidP="0037668C">
                      <w:pPr>
                        <w:rPr>
                          <w:rFonts w:ascii="Arial Hebrew" w:hAnsi="Arial Hebrew" w:cs="Arial Hebrew"/>
                          <w:b/>
                          <w:bCs/>
                          <w:color w:val="0C3512" w:themeColor="accent3" w:themeShade="80"/>
                          <w:sz w:val="16"/>
                          <w:szCs w:val="16"/>
                          <w:lang w:val="en-US"/>
                        </w:rPr>
                      </w:pPr>
                      <w:r w:rsidRPr="002B7772">
                        <w:rPr>
                          <w:rFonts w:ascii="Arial Hebrew" w:hAnsi="Arial Hebrew" w:cs="Arial Hebrew" w:hint="cs"/>
                          <w:b/>
                          <w:bCs/>
                          <w:color w:val="0C3512" w:themeColor="accent3" w:themeShade="80"/>
                          <w:sz w:val="18"/>
                          <w:szCs w:val="18"/>
                          <w:lang w:val="en-US"/>
                        </w:rPr>
                        <w:t>Economic Resiliency</w:t>
                      </w:r>
                    </w:p>
                    <w:p w14:paraId="11E1B01A" w14:textId="1023BA55" w:rsidR="0037668C" w:rsidRPr="002B7772" w:rsidRDefault="0037668C" w:rsidP="0037668C">
                      <w:pPr>
                        <w:rPr>
                          <w:rFonts w:ascii="Arial Hebrew" w:hAnsi="Arial Hebrew" w:cs="Arial Hebrew"/>
                          <w:b/>
                          <w:bCs/>
                          <w:color w:val="4EA72E" w:themeColor="accent6"/>
                          <w:sz w:val="16"/>
                          <w:szCs w:val="16"/>
                          <w:lang w:val="en-US"/>
                        </w:rPr>
                      </w:pPr>
                    </w:p>
                  </w:txbxContent>
                </v:textbox>
              </v:shape>
            </w:pict>
          </mc:Fallback>
        </mc:AlternateContent>
      </w:r>
      <w:r w:rsidR="00507994" w:rsidRPr="00147D0A">
        <w:rPr>
          <w:rFonts w:ascii="Arial Hebrew" w:hAnsi="Arial Hebrew" w:cs="Arial Hebrew" w:hint="cs"/>
          <w:noProof/>
        </w:rPr>
        <mc:AlternateContent>
          <mc:Choice Requires="wps">
            <w:drawing>
              <wp:anchor distT="0" distB="0" distL="114300" distR="114300" simplePos="0" relativeHeight="251660287" behindDoc="0" locked="0" layoutInCell="1" allowOverlap="1" wp14:anchorId="57AE0CF9" wp14:editId="04EFF018">
                <wp:simplePos x="0" y="0"/>
                <wp:positionH relativeFrom="column">
                  <wp:posOffset>1358020</wp:posOffset>
                </wp:positionH>
                <wp:positionV relativeFrom="paragraph">
                  <wp:posOffset>7846</wp:posOffset>
                </wp:positionV>
                <wp:extent cx="1421130" cy="796705"/>
                <wp:effectExtent l="0" t="0" r="13970" b="16510"/>
                <wp:wrapNone/>
                <wp:docPr id="213641860" name="Text Box 4"/>
                <wp:cNvGraphicFramePr/>
                <a:graphic xmlns:a="http://schemas.openxmlformats.org/drawingml/2006/main">
                  <a:graphicData uri="http://schemas.microsoft.com/office/word/2010/wordprocessingShape">
                    <wps:wsp>
                      <wps:cNvSpPr txBox="1"/>
                      <wps:spPr>
                        <a:xfrm>
                          <a:off x="0" y="0"/>
                          <a:ext cx="1421130" cy="796705"/>
                        </a:xfrm>
                        <a:prstGeom prst="rect">
                          <a:avLst/>
                        </a:prstGeom>
                        <a:solidFill>
                          <a:srgbClr val="F7F7F7"/>
                        </a:solidFill>
                        <a:ln w="9525">
                          <a:solidFill>
                            <a:schemeClr val="tx1"/>
                          </a:solidFill>
                        </a:ln>
                      </wps:spPr>
                      <wps:txbx>
                        <w:txbxContent>
                          <w:p w14:paraId="22F8E5C2" w14:textId="6EFA4FCB" w:rsidR="00CC5D1E" w:rsidRPr="002B7772" w:rsidRDefault="00A666DA" w:rsidP="003A772C">
                            <w:pPr>
                              <w:spacing w:line="276" w:lineRule="auto"/>
                              <w:rPr>
                                <w:rFonts w:ascii="Arial Hebrew" w:hAnsi="Arial Hebrew" w:cs="Arial Hebrew"/>
                                <w:b/>
                                <w:bCs/>
                                <w:color w:val="80340D" w:themeColor="accent2" w:themeShade="80"/>
                                <w:sz w:val="16"/>
                                <w:szCs w:val="16"/>
                                <w:lang w:val="en-US"/>
                              </w:rPr>
                            </w:pPr>
                            <w:r w:rsidRPr="002B7772">
                              <w:rPr>
                                <w:rFonts w:ascii="Arial Hebrew" w:hAnsi="Arial Hebrew" w:cs="Arial Hebrew" w:hint="cs"/>
                                <w:b/>
                                <w:bCs/>
                                <w:color w:val="80340D" w:themeColor="accent2" w:themeShade="80"/>
                                <w:sz w:val="16"/>
                                <w:szCs w:val="16"/>
                                <w:lang w:val="en-US"/>
                              </w:rPr>
                              <w:t>Fiscal Health</w:t>
                            </w:r>
                            <w:r w:rsidR="00CC5D1E" w:rsidRPr="002B7772">
                              <w:rPr>
                                <w:rFonts w:ascii="Arial Hebrew" w:hAnsi="Arial Hebrew" w:cs="Arial Hebrew" w:hint="cs"/>
                                <w:b/>
                                <w:bCs/>
                                <w:color w:val="80340D" w:themeColor="accent2" w:themeShade="80"/>
                                <w:sz w:val="16"/>
                                <w:szCs w:val="16"/>
                                <w:lang w:val="en-US"/>
                              </w:rPr>
                              <w:t xml:space="preserve">        </w:t>
                            </w:r>
                          </w:p>
                          <w:p w14:paraId="473C94D3" w14:textId="14D61F63" w:rsidR="00CC5D1E"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F1A983" w:themeColor="accent2" w:themeTint="99"/>
                                <w:sz w:val="16"/>
                                <w:szCs w:val="16"/>
                                <w:lang w:val="en-US"/>
                              </w:rPr>
                              <w:t xml:space="preserve"> </w:t>
                            </w:r>
                            <w:r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5A7432" w:rsidRPr="002B7772">
                              <w:rPr>
                                <w:rFonts w:ascii="Arial Hebrew" w:hAnsi="Arial Hebrew" w:cs="Arial Hebrew" w:hint="cs"/>
                                <w:i/>
                                <w:iCs/>
                                <w:color w:val="80340D" w:themeColor="accent2" w:themeShade="80"/>
                                <w:sz w:val="14"/>
                                <w:szCs w:val="14"/>
                                <w:lang w:val="en-US"/>
                              </w:rPr>
                              <w:t>25%</w:t>
                            </w:r>
                          </w:p>
                          <w:p w14:paraId="688D1B7D" w14:textId="1E7E2551"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CC5D1E"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gdp</w:t>
                            </w:r>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08D5AC26" w14:textId="24E373B6"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 </w:t>
                            </w:r>
                            <w:r w:rsidR="00622529" w:rsidRPr="002B7772">
                              <w:rPr>
                                <w:rFonts w:ascii="Arial Hebrew" w:hAnsi="Arial Hebrew" w:cs="Arial Hebrew" w:hint="cs"/>
                                <w:b/>
                                <w:bCs/>
                                <w:color w:val="E97132" w:themeColor="accent2"/>
                                <w:sz w:val="14"/>
                                <w:szCs w:val="14"/>
                                <w:lang w:val="en-US"/>
                              </w:rPr>
                              <w:t>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24E058CE" w14:textId="1ACA2E79"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 xml:space="preserve"> 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gdp</w:t>
                            </w:r>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5AFFDD79" w14:textId="77777777" w:rsidR="00622529" w:rsidRPr="002B7772" w:rsidRDefault="00622529" w:rsidP="003A772C">
                            <w:pPr>
                              <w:spacing w:line="276" w:lineRule="auto"/>
                              <w:rPr>
                                <w:rFonts w:ascii="Arial Hebrew" w:hAnsi="Arial Hebrew" w:cs="Arial Hebrew"/>
                                <w:b/>
                                <w:bCs/>
                                <w:color w:val="E97132" w:themeColor="accent2"/>
                                <w:sz w:val="16"/>
                                <w:szCs w:val="16"/>
                                <w:lang w:val="en-US"/>
                              </w:rPr>
                            </w:pPr>
                          </w:p>
                          <w:p w14:paraId="256B529B" w14:textId="7DC0F699"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214CC19A" w14:textId="754F5436"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5B5B086B" w14:textId="77777777" w:rsidR="00622529" w:rsidRPr="002B7772" w:rsidRDefault="00622529" w:rsidP="003A772C">
                            <w:pPr>
                              <w:spacing w:line="276" w:lineRule="auto"/>
                              <w:rPr>
                                <w:rFonts w:ascii="Arial Hebrew" w:hAnsi="Arial Hebrew" w:cs="Arial Hebrew"/>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0CF9" id="_x0000_s1029" type="#_x0000_t202" style="position:absolute;left:0;text-align:left;margin-left:106.95pt;margin-top:.6pt;width:111.9pt;height:62.7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" fillcolor="#f7f7f7" strokecolor="black [3213]">
                <v:textbox>
                  <w:txbxContent>
                    <w:p w14:paraId="22F8E5C2" w14:textId="6EFA4FCB" w:rsidR="00CC5D1E" w:rsidRPr="002B7772" w:rsidRDefault="00A666DA" w:rsidP="003A772C">
                      <w:pPr>
                        <w:spacing w:line="276" w:lineRule="auto"/>
                        <w:rPr>
                          <w:rFonts w:ascii="Arial Hebrew" w:hAnsi="Arial Hebrew" w:cs="Arial Hebrew"/>
                          <w:b/>
                          <w:bCs/>
                          <w:color w:val="80340D" w:themeColor="accent2" w:themeShade="80"/>
                          <w:sz w:val="16"/>
                          <w:szCs w:val="16"/>
                          <w:lang w:val="en-US"/>
                        </w:rPr>
                      </w:pPr>
                      <w:r w:rsidRPr="002B7772">
                        <w:rPr>
                          <w:rFonts w:ascii="Arial Hebrew" w:hAnsi="Arial Hebrew" w:cs="Arial Hebrew" w:hint="cs"/>
                          <w:b/>
                          <w:bCs/>
                          <w:color w:val="80340D" w:themeColor="accent2" w:themeShade="80"/>
                          <w:sz w:val="16"/>
                          <w:szCs w:val="16"/>
                          <w:lang w:val="en-US"/>
                        </w:rPr>
                        <w:t>Fiscal Health</w:t>
                      </w:r>
                      <w:r w:rsidR="00CC5D1E" w:rsidRPr="002B7772">
                        <w:rPr>
                          <w:rFonts w:ascii="Arial Hebrew" w:hAnsi="Arial Hebrew" w:cs="Arial Hebrew" w:hint="cs"/>
                          <w:b/>
                          <w:bCs/>
                          <w:color w:val="80340D" w:themeColor="accent2" w:themeShade="80"/>
                          <w:sz w:val="16"/>
                          <w:szCs w:val="16"/>
                          <w:lang w:val="en-US"/>
                        </w:rPr>
                        <w:t xml:space="preserve">        </w:t>
                      </w:r>
                    </w:p>
                    <w:p w14:paraId="473C94D3" w14:textId="14D61F63" w:rsidR="00CC5D1E"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F1A983" w:themeColor="accent2" w:themeTint="99"/>
                          <w:sz w:val="16"/>
                          <w:szCs w:val="16"/>
                          <w:lang w:val="en-US"/>
                        </w:rPr>
                        <w:t xml:space="preserve"> </w:t>
                      </w:r>
                      <w:r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A666DA"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5A7432" w:rsidRPr="002B7772">
                        <w:rPr>
                          <w:rFonts w:ascii="Arial Hebrew" w:hAnsi="Arial Hebrew" w:cs="Arial Hebrew" w:hint="cs"/>
                          <w:i/>
                          <w:iCs/>
                          <w:color w:val="80340D" w:themeColor="accent2" w:themeShade="80"/>
                          <w:sz w:val="14"/>
                          <w:szCs w:val="14"/>
                          <w:lang w:val="en-US"/>
                        </w:rPr>
                        <w:t>25%</w:t>
                      </w:r>
                    </w:p>
                    <w:p w14:paraId="688D1B7D" w14:textId="1E7E2551"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CC5D1E"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interest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proofErr w:type="spellStart"/>
                      <w:r w:rsidR="00622529" w:rsidRPr="002B7772">
                        <w:rPr>
                          <w:rFonts w:ascii="Arial Hebrew" w:hAnsi="Arial Hebrew" w:cs="Arial Hebrew" w:hint="cs"/>
                          <w:b/>
                          <w:bCs/>
                          <w:color w:val="E97132" w:themeColor="accent2"/>
                          <w:sz w:val="14"/>
                          <w:szCs w:val="14"/>
                          <w:lang w:val="en-US"/>
                        </w:rPr>
                        <w:t>gdp</w:t>
                      </w:r>
                      <w:proofErr w:type="spellEnd"/>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08D5AC26" w14:textId="24E373B6"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 </w:t>
                      </w:r>
                      <w:r w:rsidR="00622529" w:rsidRPr="002B7772">
                        <w:rPr>
                          <w:rFonts w:ascii="Arial Hebrew" w:hAnsi="Arial Hebrew" w:cs="Arial Hebrew" w:hint="cs"/>
                          <w:b/>
                          <w:bCs/>
                          <w:color w:val="E97132" w:themeColor="accent2"/>
                          <w:sz w:val="14"/>
                          <w:szCs w:val="14"/>
                          <w:lang w:val="en-US"/>
                        </w:rPr>
                        <w:t>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revenue</w:t>
                      </w:r>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24E058CE" w14:textId="1ACA2E79" w:rsidR="00622529" w:rsidRPr="002B7772" w:rsidRDefault="00180F9C" w:rsidP="003A772C">
                      <w:pPr>
                        <w:spacing w:line="276" w:lineRule="auto"/>
                        <w:rPr>
                          <w:rFonts w:ascii="Arial Hebrew" w:hAnsi="Arial Hebrew" w:cs="Arial Hebrew"/>
                          <w:b/>
                          <w:bCs/>
                          <w:color w:val="E97132" w:themeColor="accent2"/>
                          <w:sz w:val="14"/>
                          <w:szCs w:val="14"/>
                          <w:lang w:val="en-US"/>
                        </w:rPr>
                      </w:pPr>
                      <w:r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 xml:space="preserve"> debt</w:t>
                      </w:r>
                      <w:r w:rsidR="005A2C32" w:rsidRPr="002B7772">
                        <w:rPr>
                          <w:rFonts w:ascii="Arial Hebrew" w:hAnsi="Arial Hebrew" w:cs="Arial Hebrew" w:hint="cs"/>
                          <w:b/>
                          <w:bCs/>
                          <w:color w:val="E97132" w:themeColor="accent2"/>
                          <w:sz w:val="14"/>
                          <w:szCs w:val="14"/>
                          <w:lang w:val="en-US"/>
                        </w:rPr>
                        <w:t xml:space="preserve"> </w:t>
                      </w:r>
                      <w:r w:rsidR="00622529" w:rsidRPr="002B7772">
                        <w:rPr>
                          <w:rFonts w:ascii="Arial Hebrew" w:hAnsi="Arial Hebrew" w:cs="Arial Hebrew" w:hint="cs"/>
                          <w:b/>
                          <w:bCs/>
                          <w:color w:val="E97132" w:themeColor="accent2"/>
                          <w:sz w:val="14"/>
                          <w:szCs w:val="14"/>
                          <w:lang w:val="en-US"/>
                        </w:rPr>
                        <w:t>/</w:t>
                      </w:r>
                      <w:r w:rsidR="005A2C32" w:rsidRPr="002B7772">
                        <w:rPr>
                          <w:rFonts w:ascii="Arial Hebrew" w:hAnsi="Arial Hebrew" w:cs="Arial Hebrew" w:hint="cs"/>
                          <w:b/>
                          <w:bCs/>
                          <w:color w:val="E97132" w:themeColor="accent2"/>
                          <w:sz w:val="14"/>
                          <w:szCs w:val="14"/>
                          <w:lang w:val="en-US"/>
                        </w:rPr>
                        <w:t xml:space="preserve"> </w:t>
                      </w:r>
                      <w:proofErr w:type="spellStart"/>
                      <w:r w:rsidR="00622529" w:rsidRPr="002B7772">
                        <w:rPr>
                          <w:rFonts w:ascii="Arial Hebrew" w:hAnsi="Arial Hebrew" w:cs="Arial Hebrew" w:hint="cs"/>
                          <w:b/>
                          <w:bCs/>
                          <w:color w:val="E97132" w:themeColor="accent2"/>
                          <w:sz w:val="14"/>
                          <w:szCs w:val="14"/>
                          <w:lang w:val="en-US"/>
                        </w:rPr>
                        <w:t>gdp</w:t>
                      </w:r>
                      <w:proofErr w:type="spellEnd"/>
                      <w:r w:rsidR="005A7432" w:rsidRPr="002B7772">
                        <w:rPr>
                          <w:rFonts w:ascii="Arial Hebrew" w:hAnsi="Arial Hebrew" w:cs="Arial Hebrew" w:hint="cs"/>
                          <w:b/>
                          <w:bCs/>
                          <w:color w:val="E97132" w:themeColor="accent2"/>
                          <w:sz w:val="14"/>
                          <w:szCs w:val="14"/>
                          <w:lang w:val="en-US"/>
                        </w:rPr>
                        <w:t xml:space="preserve"> </w:t>
                      </w:r>
                      <w:r w:rsidR="003A772C" w:rsidRPr="002B7772">
                        <w:rPr>
                          <w:rFonts w:ascii="Arial Hebrew" w:hAnsi="Arial Hebrew" w:cs="Arial Hebrew" w:hint="cs"/>
                          <w:i/>
                          <w:iCs/>
                          <w:color w:val="80340D" w:themeColor="accent2" w:themeShade="80"/>
                          <w:sz w:val="14"/>
                          <w:szCs w:val="14"/>
                          <w:lang w:val="en-US"/>
                        </w:rPr>
                        <w:t>25%</w:t>
                      </w:r>
                    </w:p>
                    <w:p w14:paraId="5AFFDD79" w14:textId="77777777" w:rsidR="00622529" w:rsidRPr="002B7772" w:rsidRDefault="00622529" w:rsidP="003A772C">
                      <w:pPr>
                        <w:spacing w:line="276" w:lineRule="auto"/>
                        <w:rPr>
                          <w:rFonts w:ascii="Arial Hebrew" w:hAnsi="Arial Hebrew" w:cs="Arial Hebrew"/>
                          <w:b/>
                          <w:bCs/>
                          <w:color w:val="E97132" w:themeColor="accent2"/>
                          <w:sz w:val="16"/>
                          <w:szCs w:val="16"/>
                          <w:lang w:val="en-US"/>
                        </w:rPr>
                      </w:pPr>
                    </w:p>
                    <w:p w14:paraId="256B529B" w14:textId="7DC0F699"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214CC19A" w14:textId="754F5436" w:rsidR="00622529" w:rsidRPr="002B7772" w:rsidRDefault="00622529" w:rsidP="003A772C">
                      <w:pPr>
                        <w:spacing w:line="276" w:lineRule="auto"/>
                        <w:rPr>
                          <w:rFonts w:ascii="Arial Hebrew" w:hAnsi="Arial Hebrew" w:cs="Arial Hebrew"/>
                          <w:b/>
                          <w:bCs/>
                          <w:sz w:val="16"/>
                          <w:szCs w:val="16"/>
                          <w:lang w:val="en-US"/>
                        </w:rPr>
                      </w:pPr>
                      <w:r w:rsidRPr="002B7772">
                        <w:rPr>
                          <w:rFonts w:ascii="Arial Hebrew" w:hAnsi="Arial Hebrew" w:cs="Arial Hebrew" w:hint="cs"/>
                          <w:b/>
                          <w:bCs/>
                          <w:sz w:val="16"/>
                          <w:szCs w:val="16"/>
                          <w:lang w:val="en-US"/>
                        </w:rPr>
                        <w:t xml:space="preserve">  </w:t>
                      </w:r>
                    </w:p>
                    <w:p w14:paraId="5B5B086B" w14:textId="77777777" w:rsidR="00622529" w:rsidRPr="002B7772" w:rsidRDefault="00622529" w:rsidP="003A772C">
                      <w:pPr>
                        <w:spacing w:line="276" w:lineRule="auto"/>
                        <w:rPr>
                          <w:rFonts w:ascii="Arial Hebrew" w:hAnsi="Arial Hebrew" w:cs="Arial Hebrew"/>
                          <w:b/>
                          <w:bCs/>
                          <w:sz w:val="16"/>
                          <w:szCs w:val="16"/>
                          <w:lang w:val="en-US"/>
                        </w:rPr>
                      </w:pPr>
                    </w:p>
                  </w:txbxContent>
                </v:textbox>
              </v:shape>
            </w:pict>
          </mc:Fallback>
        </mc:AlternateContent>
      </w:r>
      <w:r w:rsidR="00113D50" w:rsidRPr="00147D0A">
        <w:rPr>
          <w:rFonts w:ascii="Arial Hebrew" w:hAnsi="Arial Hebrew" w:cs="Arial Hebrew" w:hint="cs"/>
          <w:noProof/>
        </w:rPr>
        <w:t xml:space="preserve"> </w:t>
      </w:r>
    </w:p>
    <w:p w14:paraId="16713190" w14:textId="7FFC6C64" w:rsidR="00563377" w:rsidRPr="00147D0A" w:rsidRDefault="00507994" w:rsidP="00CC5D1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61312" behindDoc="0" locked="0" layoutInCell="1" allowOverlap="1" wp14:anchorId="132D28B5" wp14:editId="0E322C8B">
                <wp:simplePos x="0" y="0"/>
                <wp:positionH relativeFrom="column">
                  <wp:posOffset>4008730</wp:posOffset>
                </wp:positionH>
                <wp:positionV relativeFrom="paragraph">
                  <wp:posOffset>62255</wp:posOffset>
                </wp:positionV>
                <wp:extent cx="1606443" cy="751637"/>
                <wp:effectExtent l="0" t="0" r="6985" b="10795"/>
                <wp:wrapNone/>
                <wp:docPr id="802055665" name="Text Box 4"/>
                <wp:cNvGraphicFramePr/>
                <a:graphic xmlns:a="http://schemas.openxmlformats.org/drawingml/2006/main">
                  <a:graphicData uri="http://schemas.microsoft.com/office/word/2010/wordprocessingShape">
                    <wps:wsp>
                      <wps:cNvSpPr txBox="1"/>
                      <wps:spPr>
                        <a:xfrm>
                          <a:off x="0" y="0"/>
                          <a:ext cx="1606443" cy="751637"/>
                        </a:xfrm>
                        <a:prstGeom prst="rect">
                          <a:avLst/>
                        </a:prstGeom>
                        <a:solidFill>
                          <a:schemeClr val="bg1"/>
                        </a:solidFill>
                        <a:ln w="3175">
                          <a:solidFill>
                            <a:schemeClr val="tx1"/>
                          </a:solidFill>
                        </a:ln>
                      </wps:spPr>
                      <wps:txbx>
                        <w:txbxContent>
                          <w:p w14:paraId="27BEB9F7" w14:textId="2FE447AB" w:rsidR="00180F9C" w:rsidRPr="002B7772" w:rsidRDefault="00A666DA" w:rsidP="003A772C">
                            <w:pPr>
                              <w:spacing w:line="276" w:lineRule="auto"/>
                              <w:rPr>
                                <w:rFonts w:ascii="Arial Hebrew" w:hAnsi="Arial Hebrew" w:cs="Arial Hebrew"/>
                                <w:b/>
                                <w:bCs/>
                                <w:color w:val="275317" w:themeColor="accent6" w:themeShade="80"/>
                                <w:sz w:val="16"/>
                                <w:szCs w:val="16"/>
                                <w:lang w:val="en-US"/>
                              </w:rPr>
                            </w:pPr>
                            <w:r w:rsidRPr="002B7772">
                              <w:rPr>
                                <w:rFonts w:ascii="Arial Hebrew" w:hAnsi="Arial Hebrew" w:cs="Arial Hebrew" w:hint="cs"/>
                                <w:b/>
                                <w:bCs/>
                                <w:color w:val="275317" w:themeColor="accent6" w:themeShade="80"/>
                                <w:sz w:val="16"/>
                                <w:szCs w:val="16"/>
                                <w:lang w:val="en-US"/>
                              </w:rPr>
                              <w:t>Economic Strength</w:t>
                            </w:r>
                            <w:r w:rsidR="00507994" w:rsidRPr="002B7772">
                              <w:rPr>
                                <w:rFonts w:ascii="Arial Hebrew" w:hAnsi="Arial Hebrew" w:cs="Arial Hebrew" w:hint="cs"/>
                                <w:b/>
                                <w:bCs/>
                                <w:color w:val="275317" w:themeColor="accent6" w:themeShade="80"/>
                                <w:sz w:val="16"/>
                                <w:szCs w:val="16"/>
                                <w:lang w:val="en-US"/>
                              </w:rPr>
                              <w:t xml:space="preserve"> (50%)</w:t>
                            </w:r>
                          </w:p>
                          <w:p w14:paraId="6A37393A" w14:textId="71F357C1" w:rsidR="00A666DA" w:rsidRPr="002B7772" w:rsidRDefault="00180F9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6"/>
                                <w:szCs w:val="16"/>
                                <w:lang w:val="en-US"/>
                              </w:rPr>
                              <w:t xml:space="preserve">  </w:t>
                            </w:r>
                            <w:r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scale</w:t>
                            </w:r>
                            <w:r w:rsidR="002B7772">
                              <w:rPr>
                                <w:rFonts w:ascii="Arial Hebrew" w:hAnsi="Arial Hebrew" w:cs="Arial Hebrew"/>
                                <w:b/>
                                <w:bCs/>
                                <w:color w:val="4EA72E" w:themeColor="accent6"/>
                                <w:sz w:val="14"/>
                                <w:szCs w:val="14"/>
                                <w:lang w:val="en-US"/>
                              </w:rPr>
                              <w:t xml:space="preserve"> (</w:t>
                            </w:r>
                            <w:r w:rsidR="00CD3C50">
                              <w:rPr>
                                <w:rFonts w:ascii="Cambria" w:hAnsi="Cambria" w:cs="Arial Hebrew"/>
                                <w:b/>
                                <w:bCs/>
                                <w:color w:val="4EA72E" w:themeColor="accent6"/>
                                <w:sz w:val="14"/>
                                <w:szCs w:val="14"/>
                                <w:lang w:val="en-US"/>
                              </w:rPr>
                              <w:t>GDP</w:t>
                            </w:r>
                            <w:r w:rsidR="002B7772">
                              <w:rPr>
                                <w:rFonts w:ascii="Cambria" w:hAnsi="Cambria" w:cs="Arial Hebrew"/>
                                <w:b/>
                                <w:bCs/>
                                <w:color w:val="4EA72E" w:themeColor="accent6"/>
                                <w:sz w:val="14"/>
                                <w:szCs w:val="14"/>
                                <w:lang w:val="en-US"/>
                              </w:rPr>
                              <w:t>)</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35%</w:t>
                            </w:r>
                          </w:p>
                          <w:p w14:paraId="639B6812" w14:textId="5A3C22EF"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growth</w:t>
                            </w:r>
                            <w:r w:rsidR="0021681E" w:rsidRPr="002B7772">
                              <w:rPr>
                                <w:rFonts w:ascii="Arial Hebrew" w:hAnsi="Arial Hebrew" w:cs="Arial Hebrew" w:hint="cs"/>
                                <w:b/>
                                <w:bCs/>
                                <w:color w:val="4EA72E" w:themeColor="accent6"/>
                                <w:sz w:val="14"/>
                                <w:szCs w:val="14"/>
                                <w:lang w:val="en-US"/>
                              </w:rPr>
                              <w:t xml:space="preserve"> rate</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30%</w:t>
                            </w:r>
                          </w:p>
                          <w:p w14:paraId="723939A6" w14:textId="1EFC32BB" w:rsidR="003A772C" w:rsidRPr="002B7772" w:rsidRDefault="003A772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 income level </w:t>
                            </w:r>
                            <w:r w:rsidRPr="002B7772">
                              <w:rPr>
                                <w:rFonts w:ascii="Arial Hebrew" w:hAnsi="Arial Hebrew" w:cs="Arial Hebrew" w:hint="cs"/>
                                <w:i/>
                                <w:iCs/>
                                <w:color w:val="275317" w:themeColor="accent6" w:themeShade="80"/>
                                <w:sz w:val="14"/>
                                <w:szCs w:val="14"/>
                                <w:lang w:val="en-US"/>
                              </w:rPr>
                              <w:t>25%</w:t>
                            </w:r>
                          </w:p>
                          <w:p w14:paraId="5BF459FF" w14:textId="108C3C2D"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volatility</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8B5" id="_x0000_s1030" type="#_x0000_t202" style="position:absolute;left:0;text-align:left;margin-left:315.65pt;margin-top:4.9pt;width:126.5pt;height:5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" fillcolor="white [3212]" strokecolor="black [3213]" strokeweight=".25pt">
                <v:textbox>
                  <w:txbxContent>
                    <w:p w14:paraId="27BEB9F7" w14:textId="2FE447AB" w:rsidR="00180F9C" w:rsidRPr="002B7772" w:rsidRDefault="00A666DA" w:rsidP="003A772C">
                      <w:pPr>
                        <w:spacing w:line="276" w:lineRule="auto"/>
                        <w:rPr>
                          <w:rFonts w:ascii="Arial Hebrew" w:hAnsi="Arial Hebrew" w:cs="Arial Hebrew"/>
                          <w:b/>
                          <w:bCs/>
                          <w:color w:val="275317" w:themeColor="accent6" w:themeShade="80"/>
                          <w:sz w:val="16"/>
                          <w:szCs w:val="16"/>
                          <w:lang w:val="en-US"/>
                        </w:rPr>
                      </w:pPr>
                      <w:r w:rsidRPr="002B7772">
                        <w:rPr>
                          <w:rFonts w:ascii="Arial Hebrew" w:hAnsi="Arial Hebrew" w:cs="Arial Hebrew" w:hint="cs"/>
                          <w:b/>
                          <w:bCs/>
                          <w:color w:val="275317" w:themeColor="accent6" w:themeShade="80"/>
                          <w:sz w:val="16"/>
                          <w:szCs w:val="16"/>
                          <w:lang w:val="en-US"/>
                        </w:rPr>
                        <w:t>Economic Strength</w:t>
                      </w:r>
                      <w:r w:rsidR="00507994" w:rsidRPr="002B7772">
                        <w:rPr>
                          <w:rFonts w:ascii="Arial Hebrew" w:hAnsi="Arial Hebrew" w:cs="Arial Hebrew" w:hint="cs"/>
                          <w:b/>
                          <w:bCs/>
                          <w:color w:val="275317" w:themeColor="accent6" w:themeShade="80"/>
                          <w:sz w:val="16"/>
                          <w:szCs w:val="16"/>
                          <w:lang w:val="en-US"/>
                        </w:rPr>
                        <w:t xml:space="preserve"> (50%)</w:t>
                      </w:r>
                    </w:p>
                    <w:p w14:paraId="6A37393A" w14:textId="71F357C1" w:rsidR="00A666DA" w:rsidRPr="002B7772" w:rsidRDefault="00180F9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6"/>
                          <w:szCs w:val="16"/>
                          <w:lang w:val="en-US"/>
                        </w:rPr>
                        <w:t xml:space="preserve">  </w:t>
                      </w:r>
                      <w:r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scale</w:t>
                      </w:r>
                      <w:r w:rsidR="002B7772">
                        <w:rPr>
                          <w:rFonts w:ascii="Arial Hebrew" w:hAnsi="Arial Hebrew" w:cs="Arial Hebrew"/>
                          <w:b/>
                          <w:bCs/>
                          <w:color w:val="4EA72E" w:themeColor="accent6"/>
                          <w:sz w:val="14"/>
                          <w:szCs w:val="14"/>
                          <w:lang w:val="en-US"/>
                        </w:rPr>
                        <w:t xml:space="preserve"> (</w:t>
                      </w:r>
                      <w:r w:rsidR="00CD3C50">
                        <w:rPr>
                          <w:rFonts w:ascii="Cambria" w:hAnsi="Cambria" w:cs="Arial Hebrew"/>
                          <w:b/>
                          <w:bCs/>
                          <w:color w:val="4EA72E" w:themeColor="accent6"/>
                          <w:sz w:val="14"/>
                          <w:szCs w:val="14"/>
                          <w:lang w:val="en-US"/>
                        </w:rPr>
                        <w:t>GDP</w:t>
                      </w:r>
                      <w:r w:rsidR="002B7772">
                        <w:rPr>
                          <w:rFonts w:ascii="Cambria" w:hAnsi="Cambria" w:cs="Arial Hebrew"/>
                          <w:b/>
                          <w:bCs/>
                          <w:color w:val="4EA72E" w:themeColor="accent6"/>
                          <w:sz w:val="14"/>
                          <w:szCs w:val="14"/>
                          <w:lang w:val="en-US"/>
                        </w:rPr>
                        <w:t>)</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35%</w:t>
                      </w:r>
                    </w:p>
                    <w:p w14:paraId="639B6812" w14:textId="5A3C22EF"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growth</w:t>
                      </w:r>
                      <w:r w:rsidR="0021681E" w:rsidRPr="002B7772">
                        <w:rPr>
                          <w:rFonts w:ascii="Arial Hebrew" w:hAnsi="Arial Hebrew" w:cs="Arial Hebrew" w:hint="cs"/>
                          <w:b/>
                          <w:bCs/>
                          <w:color w:val="4EA72E" w:themeColor="accent6"/>
                          <w:sz w:val="14"/>
                          <w:szCs w:val="14"/>
                          <w:lang w:val="en-US"/>
                        </w:rPr>
                        <w:t xml:space="preserve"> rate</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30%</w:t>
                      </w:r>
                    </w:p>
                    <w:p w14:paraId="723939A6" w14:textId="1EFC32BB" w:rsidR="003A772C" w:rsidRPr="002B7772" w:rsidRDefault="003A772C"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 income level </w:t>
                      </w:r>
                      <w:r w:rsidRPr="002B7772">
                        <w:rPr>
                          <w:rFonts w:ascii="Arial Hebrew" w:hAnsi="Arial Hebrew" w:cs="Arial Hebrew" w:hint="cs"/>
                          <w:i/>
                          <w:iCs/>
                          <w:color w:val="275317" w:themeColor="accent6" w:themeShade="80"/>
                          <w:sz w:val="14"/>
                          <w:szCs w:val="14"/>
                          <w:lang w:val="en-US"/>
                        </w:rPr>
                        <w:t>25%</w:t>
                      </w:r>
                    </w:p>
                    <w:p w14:paraId="5BF459FF" w14:textId="108C3C2D" w:rsidR="00A666DA" w:rsidRPr="002B7772" w:rsidRDefault="00A666DA" w:rsidP="003A772C">
                      <w:pPr>
                        <w:spacing w:line="276" w:lineRule="auto"/>
                        <w:rPr>
                          <w:rFonts w:ascii="Arial Hebrew" w:hAnsi="Arial Hebrew" w:cs="Arial Hebrew"/>
                          <w:b/>
                          <w:bCs/>
                          <w:color w:val="4EA72E" w:themeColor="accent6"/>
                          <w:sz w:val="14"/>
                          <w:szCs w:val="14"/>
                          <w:lang w:val="en-US"/>
                        </w:rPr>
                      </w:pPr>
                      <w:r w:rsidRPr="002B7772">
                        <w:rPr>
                          <w:rFonts w:ascii="Arial Hebrew" w:hAnsi="Arial Hebrew" w:cs="Arial Hebrew" w:hint="cs"/>
                          <w:b/>
                          <w:bCs/>
                          <w:color w:val="4EA72E" w:themeColor="accent6"/>
                          <w:sz w:val="14"/>
                          <w:szCs w:val="14"/>
                          <w:lang w:val="en-US"/>
                        </w:rPr>
                        <w:t xml:space="preserve">  </w:t>
                      </w:r>
                      <w:r w:rsidR="00180F9C" w:rsidRPr="002B7772">
                        <w:rPr>
                          <w:rFonts w:ascii="Arial Hebrew" w:hAnsi="Arial Hebrew" w:cs="Arial Hebrew" w:hint="cs"/>
                          <w:b/>
                          <w:bCs/>
                          <w:color w:val="4EA72E" w:themeColor="accent6"/>
                          <w:sz w:val="14"/>
                          <w:szCs w:val="14"/>
                          <w:lang w:val="en-US"/>
                        </w:rPr>
                        <w:t xml:space="preserve">- </w:t>
                      </w:r>
                      <w:r w:rsidR="00622529" w:rsidRPr="002B7772">
                        <w:rPr>
                          <w:rFonts w:ascii="Arial Hebrew" w:hAnsi="Arial Hebrew" w:cs="Arial Hebrew" w:hint="cs"/>
                          <w:b/>
                          <w:bCs/>
                          <w:color w:val="4EA72E" w:themeColor="accent6"/>
                          <w:sz w:val="14"/>
                          <w:szCs w:val="14"/>
                          <w:lang w:val="en-US"/>
                        </w:rPr>
                        <w:t>volatility</w:t>
                      </w:r>
                      <w:r w:rsidR="003A772C" w:rsidRPr="002B7772">
                        <w:rPr>
                          <w:rFonts w:ascii="Arial Hebrew" w:hAnsi="Arial Hebrew" w:cs="Arial Hebrew" w:hint="cs"/>
                          <w:b/>
                          <w:bCs/>
                          <w:color w:val="4EA72E" w:themeColor="accent6"/>
                          <w:sz w:val="14"/>
                          <w:szCs w:val="14"/>
                          <w:lang w:val="en-US"/>
                        </w:rPr>
                        <w:t xml:space="preserve"> </w:t>
                      </w:r>
                      <w:r w:rsidR="003A772C" w:rsidRPr="002B7772">
                        <w:rPr>
                          <w:rFonts w:ascii="Arial Hebrew" w:hAnsi="Arial Hebrew" w:cs="Arial Hebrew" w:hint="cs"/>
                          <w:i/>
                          <w:iCs/>
                          <w:color w:val="275317" w:themeColor="accent6" w:themeShade="80"/>
                          <w:sz w:val="14"/>
                          <w:szCs w:val="14"/>
                          <w:lang w:val="en-US"/>
                        </w:rPr>
                        <w:t>10%</w:t>
                      </w:r>
                    </w:p>
                  </w:txbxContent>
                </v:textbox>
              </v:shape>
            </w:pict>
          </mc:Fallback>
        </mc:AlternateContent>
      </w:r>
      <w:r w:rsidR="005A2C32" w:rsidRPr="00147D0A">
        <w:rPr>
          <w:rFonts w:ascii="Arial Hebrew" w:hAnsi="Arial Hebrew" w:cs="Arial Hebrew" w:hint="cs"/>
          <w:noProof/>
        </w:rPr>
        <mc:AlternateContent>
          <mc:Choice Requires="wps">
            <w:drawing>
              <wp:anchor distT="0" distB="0" distL="114300" distR="114300" simplePos="0" relativeHeight="251670528" behindDoc="0" locked="0" layoutInCell="1" allowOverlap="1" wp14:anchorId="0CEDB7B5" wp14:editId="50119612">
                <wp:simplePos x="0" y="0"/>
                <wp:positionH relativeFrom="column">
                  <wp:posOffset>1135282</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204D8" id="_x0000_t32" coordsize="21600,21600" o:spt="32" o:oned="t" path="m,l21600,21600e" filled="f">
                <v:path arrowok="t" fillok="f" o:connecttype="none"/>
                <o:lock v:ext="edit" shapetype="t"/>
              </v:shapetype>
              <v:shape id="Straight Arrow Connector 5" o:spid="_x0000_s1026" type="#_x0000_t32" style="position:absolute;margin-left:89.4pt;margin-top:5.1pt;width:1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" strokecolor="black [3213]" strokeweight="1.25pt">
                <v:stroke endarrow="block" joinstyle="miter"/>
              </v:shape>
            </w:pict>
          </mc:Fallback>
        </mc:AlternateContent>
      </w:r>
    </w:p>
    <w:p w14:paraId="4DD0688F" w14:textId="77777777" w:rsidR="00563377" w:rsidRPr="00147D0A" w:rsidRDefault="00563377" w:rsidP="00CC5D1E">
      <w:pPr>
        <w:spacing w:line="360" w:lineRule="auto"/>
        <w:ind w:firstLine="360"/>
        <w:jc w:val="both"/>
        <w:rPr>
          <w:rFonts w:ascii="Arial Hebrew" w:hAnsi="Arial Hebrew" w:cs="Arial Hebrew"/>
          <w:sz w:val="20"/>
          <w:szCs w:val="20"/>
        </w:rPr>
      </w:pPr>
    </w:p>
    <w:p w14:paraId="79743EE4" w14:textId="3FA5F222" w:rsidR="00563377" w:rsidRPr="00147D0A" w:rsidRDefault="00563377" w:rsidP="00CC5D1E">
      <w:pPr>
        <w:spacing w:line="360" w:lineRule="auto"/>
        <w:ind w:firstLine="360"/>
        <w:jc w:val="both"/>
        <w:rPr>
          <w:rFonts w:ascii="Arial Hebrew" w:hAnsi="Arial Hebrew" w:cs="Arial Hebrew"/>
          <w:sz w:val="20"/>
          <w:szCs w:val="20"/>
        </w:rPr>
      </w:pPr>
    </w:p>
    <w:p w14:paraId="6B8C126D" w14:textId="341FD8D7" w:rsidR="00563377" w:rsidRPr="00147D0A" w:rsidRDefault="00563377" w:rsidP="00CC5D1E">
      <w:pPr>
        <w:spacing w:line="360" w:lineRule="auto"/>
        <w:ind w:firstLine="360"/>
        <w:jc w:val="both"/>
        <w:rPr>
          <w:rFonts w:ascii="Arial Hebrew" w:hAnsi="Arial Hebrew" w:cs="Arial Hebrew"/>
          <w:sz w:val="20"/>
          <w:szCs w:val="20"/>
        </w:rPr>
      </w:pPr>
    </w:p>
    <w:p w14:paraId="0FBA0816" w14:textId="492FAFCF" w:rsidR="00120C8E" w:rsidRPr="00147D0A" w:rsidRDefault="00507994" w:rsidP="00CC5D1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63360" behindDoc="0" locked="0" layoutInCell="1" allowOverlap="1" wp14:anchorId="7C1388F0" wp14:editId="7DDB1B7D">
                <wp:simplePos x="0" y="0"/>
                <wp:positionH relativeFrom="column">
                  <wp:posOffset>4019387</wp:posOffset>
                </wp:positionH>
                <wp:positionV relativeFrom="paragraph">
                  <wp:posOffset>52705</wp:posOffset>
                </wp:positionV>
                <wp:extent cx="1596987" cy="1251585"/>
                <wp:effectExtent l="0" t="0" r="16510" b="18415"/>
                <wp:wrapNone/>
                <wp:docPr id="1888815151" name="Text Box 4"/>
                <wp:cNvGraphicFramePr/>
                <a:graphic xmlns:a="http://schemas.openxmlformats.org/drawingml/2006/main">
                  <a:graphicData uri="http://schemas.microsoft.com/office/word/2010/wordprocessingShape">
                    <wps:wsp>
                      <wps:cNvSpPr txBox="1"/>
                      <wps:spPr>
                        <a:xfrm>
                          <a:off x="0" y="0"/>
                          <a:ext cx="1596987" cy="1251585"/>
                        </a:xfrm>
                        <a:prstGeom prst="rect">
                          <a:avLst/>
                        </a:prstGeom>
                        <a:solidFill>
                          <a:schemeClr val="bg1"/>
                        </a:solidFill>
                        <a:ln w="3175">
                          <a:solidFill>
                            <a:schemeClr val="tx1"/>
                          </a:solidFill>
                        </a:ln>
                      </wps:spPr>
                      <wps:txbx>
                        <w:txbxContent>
                          <w:p w14:paraId="69C8EA8B" w14:textId="2FF2C936" w:rsidR="00A666DA" w:rsidRPr="002B7772" w:rsidRDefault="00622529" w:rsidP="003A772C">
                            <w:pPr>
                              <w:spacing w:line="276" w:lineRule="auto"/>
                              <w:rPr>
                                <w:rFonts w:ascii="Arial Hebrew" w:hAnsi="Arial Hebrew" w:cs="Arial Hebrew"/>
                                <w:b/>
                                <w:bCs/>
                                <w:color w:val="074F6A" w:themeColor="accent4" w:themeShade="80"/>
                                <w:sz w:val="16"/>
                                <w:szCs w:val="16"/>
                                <w:lang w:val="en-US"/>
                              </w:rPr>
                            </w:pPr>
                            <w:r w:rsidRPr="002B7772">
                              <w:rPr>
                                <w:rFonts w:ascii="Arial Hebrew" w:hAnsi="Arial Hebrew" w:cs="Arial Hebrew" w:hint="cs"/>
                                <w:b/>
                                <w:bCs/>
                                <w:color w:val="074F6A" w:themeColor="accent4" w:themeShade="80"/>
                                <w:sz w:val="16"/>
                                <w:szCs w:val="16"/>
                                <w:lang w:val="en-US"/>
                              </w:rPr>
                              <w:t>Institutions &amp; Governance</w:t>
                            </w:r>
                            <w:r w:rsidR="00A666DA" w:rsidRPr="002B7772">
                              <w:rPr>
                                <w:rFonts w:ascii="Arial Hebrew" w:hAnsi="Arial Hebrew" w:cs="Arial Hebrew" w:hint="cs"/>
                                <w:b/>
                                <w:bCs/>
                                <w:color w:val="074F6A" w:themeColor="accent4" w:themeShade="80"/>
                                <w:sz w:val="16"/>
                                <w:szCs w:val="16"/>
                                <w:lang w:val="en-US"/>
                              </w:rPr>
                              <w:t xml:space="preserve"> Strength</w:t>
                            </w:r>
                            <w:r w:rsidR="00507994" w:rsidRPr="002B7772">
                              <w:rPr>
                                <w:rFonts w:ascii="Arial Hebrew" w:hAnsi="Arial Hebrew" w:cs="Arial Hebrew" w:hint="cs"/>
                                <w:b/>
                                <w:bCs/>
                                <w:color w:val="074F6A" w:themeColor="accent4" w:themeShade="80"/>
                                <w:sz w:val="16"/>
                                <w:szCs w:val="16"/>
                                <w:lang w:val="en-US"/>
                              </w:rPr>
                              <w:t xml:space="preserve"> (50%)</w:t>
                            </w:r>
                          </w:p>
                          <w:p w14:paraId="5BDABC06" w14:textId="52D9E3D4"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5"/>
                                <w:szCs w:val="15"/>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legislative &amp; executive institutions</w:t>
                            </w:r>
                            <w:r w:rsidR="002B7772">
                              <w:rPr>
                                <w:rFonts w:ascii="Arial Hebrew" w:hAnsi="Arial Hebrew" w:cs="Arial Hebrew"/>
                                <w:b/>
                                <w:bCs/>
                                <w:color w:val="0F9ED5" w:themeColor="accent4"/>
                                <w:sz w:val="14"/>
                                <w:szCs w:val="14"/>
                                <w:lang w:val="en-US"/>
                              </w:rPr>
                              <w:t xml:space="preserve"> </w:t>
                            </w:r>
                            <w:r w:rsidR="002B7772" w:rsidRPr="00CD3C50">
                              <w:rPr>
                                <w:rFonts w:ascii="Arial Hebrew" w:hAnsi="Arial Hebrew" w:cs="Arial Hebrew"/>
                                <w:i/>
                                <w:iCs/>
                                <w:color w:val="074F6A" w:themeColor="accent4" w:themeShade="80"/>
                                <w:sz w:val="14"/>
                                <w:szCs w:val="14"/>
                                <w:lang w:val="en-US"/>
                              </w:rPr>
                              <w:t>20%</w:t>
                            </w:r>
                          </w:p>
                          <w:p w14:paraId="716C10BD" w14:textId="59DB3CB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civil society &amp; judiciary</w:t>
                            </w:r>
                            <w:r w:rsidR="002B7772">
                              <w:rPr>
                                <w:rFonts w:ascii="Arial Hebrew" w:hAnsi="Arial Hebrew" w:cs="Arial Hebrew"/>
                                <w:b/>
                                <w:bCs/>
                                <w:color w:val="0F9ED5" w:themeColor="accent4"/>
                                <w:sz w:val="14"/>
                                <w:szCs w:val="14"/>
                                <w:lang w:val="en-US"/>
                              </w:rPr>
                              <w:t xml:space="preserve"> </w:t>
                            </w:r>
                            <w:r w:rsidR="00CD3C50" w:rsidRPr="00CD3C50">
                              <w:rPr>
                                <w:rFonts w:ascii="Arial Hebrew" w:hAnsi="Arial Hebrew" w:cs="Arial Hebrew"/>
                                <w:i/>
                                <w:iCs/>
                                <w:color w:val="074F6A" w:themeColor="accent4" w:themeShade="80"/>
                                <w:sz w:val="14"/>
                                <w:szCs w:val="14"/>
                                <w:lang w:val="en-US"/>
                              </w:rPr>
                              <w:t>20%</w:t>
                            </w:r>
                          </w:p>
                          <w:p w14:paraId="59CB0557" w14:textId="1FDA386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fiscal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w:t>
                            </w:r>
                            <w:r w:rsidR="00CD3C50" w:rsidRPr="00CD3C50">
                              <w:rPr>
                                <w:rFonts w:ascii="Arial Hebrew" w:hAnsi="Arial Hebrew" w:cs="Arial Hebrew"/>
                                <w:i/>
                                <w:iCs/>
                                <w:color w:val="074F6A" w:themeColor="accent4" w:themeShade="80"/>
                                <w:sz w:val="14"/>
                                <w:szCs w:val="14"/>
                                <w:lang w:val="en-US"/>
                              </w:rPr>
                              <w:t>0%</w:t>
                            </w:r>
                          </w:p>
                          <w:p w14:paraId="5C98BCFC" w14:textId="7B042050"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monetary &amp; macroeconomic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30</w:t>
                            </w:r>
                            <w:r w:rsidR="00CD3C50" w:rsidRPr="00CD3C50">
                              <w:rPr>
                                <w:rFonts w:ascii="Arial Hebrew" w:hAnsi="Arial Hebrew" w:cs="Arial Hebrew"/>
                                <w:i/>
                                <w:iCs/>
                                <w:color w:val="074F6A" w:themeColor="accent4" w:themeShade="80"/>
                                <w:sz w:val="14"/>
                                <w:szCs w:val="1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8F0" id="_x0000_s1031" type="#_x0000_t202" style="position:absolute;left:0;text-align:left;margin-left:316.5pt;margin-top:4.15pt;width:125.75pt;height:9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" fillcolor="white [3212]" strokecolor="black [3213]" strokeweight=".25pt">
                <v:textbox>
                  <w:txbxContent>
                    <w:p w14:paraId="69C8EA8B" w14:textId="2FF2C936" w:rsidR="00A666DA" w:rsidRPr="002B7772" w:rsidRDefault="00622529" w:rsidP="003A772C">
                      <w:pPr>
                        <w:spacing w:line="276" w:lineRule="auto"/>
                        <w:rPr>
                          <w:rFonts w:ascii="Arial Hebrew" w:hAnsi="Arial Hebrew" w:cs="Arial Hebrew"/>
                          <w:b/>
                          <w:bCs/>
                          <w:color w:val="074F6A" w:themeColor="accent4" w:themeShade="80"/>
                          <w:sz w:val="16"/>
                          <w:szCs w:val="16"/>
                          <w:lang w:val="en-US"/>
                        </w:rPr>
                      </w:pPr>
                      <w:r w:rsidRPr="002B7772">
                        <w:rPr>
                          <w:rFonts w:ascii="Arial Hebrew" w:hAnsi="Arial Hebrew" w:cs="Arial Hebrew" w:hint="cs"/>
                          <w:b/>
                          <w:bCs/>
                          <w:color w:val="074F6A" w:themeColor="accent4" w:themeShade="80"/>
                          <w:sz w:val="16"/>
                          <w:szCs w:val="16"/>
                          <w:lang w:val="en-US"/>
                        </w:rPr>
                        <w:t>Institutions &amp; Governance</w:t>
                      </w:r>
                      <w:r w:rsidR="00A666DA" w:rsidRPr="002B7772">
                        <w:rPr>
                          <w:rFonts w:ascii="Arial Hebrew" w:hAnsi="Arial Hebrew" w:cs="Arial Hebrew" w:hint="cs"/>
                          <w:b/>
                          <w:bCs/>
                          <w:color w:val="074F6A" w:themeColor="accent4" w:themeShade="80"/>
                          <w:sz w:val="16"/>
                          <w:szCs w:val="16"/>
                          <w:lang w:val="en-US"/>
                        </w:rPr>
                        <w:t xml:space="preserve"> Strength</w:t>
                      </w:r>
                      <w:r w:rsidR="00507994" w:rsidRPr="002B7772">
                        <w:rPr>
                          <w:rFonts w:ascii="Arial Hebrew" w:hAnsi="Arial Hebrew" w:cs="Arial Hebrew" w:hint="cs"/>
                          <w:b/>
                          <w:bCs/>
                          <w:color w:val="074F6A" w:themeColor="accent4" w:themeShade="80"/>
                          <w:sz w:val="16"/>
                          <w:szCs w:val="16"/>
                          <w:lang w:val="en-US"/>
                        </w:rPr>
                        <w:t xml:space="preserve"> (50%)</w:t>
                      </w:r>
                    </w:p>
                    <w:p w14:paraId="5BDABC06" w14:textId="52D9E3D4"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5"/>
                          <w:szCs w:val="15"/>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legislative &amp; executive institutions</w:t>
                      </w:r>
                      <w:r w:rsidR="002B7772">
                        <w:rPr>
                          <w:rFonts w:ascii="Arial Hebrew" w:hAnsi="Arial Hebrew" w:cs="Arial Hebrew"/>
                          <w:b/>
                          <w:bCs/>
                          <w:color w:val="0F9ED5" w:themeColor="accent4"/>
                          <w:sz w:val="14"/>
                          <w:szCs w:val="14"/>
                          <w:lang w:val="en-US"/>
                        </w:rPr>
                        <w:t xml:space="preserve"> </w:t>
                      </w:r>
                      <w:r w:rsidR="002B7772" w:rsidRPr="00CD3C50">
                        <w:rPr>
                          <w:rFonts w:ascii="Arial Hebrew" w:hAnsi="Arial Hebrew" w:cs="Arial Hebrew"/>
                          <w:i/>
                          <w:iCs/>
                          <w:color w:val="074F6A" w:themeColor="accent4" w:themeShade="80"/>
                          <w:sz w:val="14"/>
                          <w:szCs w:val="14"/>
                          <w:lang w:val="en-US"/>
                        </w:rPr>
                        <w:t>20%</w:t>
                      </w:r>
                    </w:p>
                    <w:p w14:paraId="716C10BD" w14:textId="59DB3CB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civil society &amp; judiciary</w:t>
                      </w:r>
                      <w:r w:rsidR="002B7772">
                        <w:rPr>
                          <w:rFonts w:ascii="Arial Hebrew" w:hAnsi="Arial Hebrew" w:cs="Arial Hebrew"/>
                          <w:b/>
                          <w:bCs/>
                          <w:color w:val="0F9ED5" w:themeColor="accent4"/>
                          <w:sz w:val="14"/>
                          <w:szCs w:val="14"/>
                          <w:lang w:val="en-US"/>
                        </w:rPr>
                        <w:t xml:space="preserve"> </w:t>
                      </w:r>
                      <w:r w:rsidR="00CD3C50" w:rsidRPr="00CD3C50">
                        <w:rPr>
                          <w:rFonts w:ascii="Arial Hebrew" w:hAnsi="Arial Hebrew" w:cs="Arial Hebrew"/>
                          <w:i/>
                          <w:iCs/>
                          <w:color w:val="074F6A" w:themeColor="accent4" w:themeShade="80"/>
                          <w:sz w:val="14"/>
                          <w:szCs w:val="14"/>
                          <w:lang w:val="en-US"/>
                        </w:rPr>
                        <w:t>20%</w:t>
                      </w:r>
                    </w:p>
                    <w:p w14:paraId="59CB0557" w14:textId="1FDA3861"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fiscal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w:t>
                      </w:r>
                      <w:r w:rsidR="00CD3C50" w:rsidRPr="00CD3C50">
                        <w:rPr>
                          <w:rFonts w:ascii="Arial Hebrew" w:hAnsi="Arial Hebrew" w:cs="Arial Hebrew"/>
                          <w:i/>
                          <w:iCs/>
                          <w:color w:val="074F6A" w:themeColor="accent4" w:themeShade="80"/>
                          <w:sz w:val="14"/>
                          <w:szCs w:val="14"/>
                          <w:lang w:val="en-US"/>
                        </w:rPr>
                        <w:t>0%</w:t>
                      </w:r>
                    </w:p>
                    <w:p w14:paraId="5C98BCFC" w14:textId="7B042050" w:rsidR="00A666DA" w:rsidRPr="002B7772" w:rsidRDefault="00A666DA" w:rsidP="003A772C">
                      <w:pPr>
                        <w:spacing w:line="276" w:lineRule="auto"/>
                        <w:rPr>
                          <w:rFonts w:ascii="Arial Hebrew" w:hAnsi="Arial Hebrew" w:cs="Arial Hebrew"/>
                          <w:b/>
                          <w:bCs/>
                          <w:color w:val="0F9ED5" w:themeColor="accent4"/>
                          <w:sz w:val="14"/>
                          <w:szCs w:val="14"/>
                          <w:lang w:val="en-US"/>
                        </w:rPr>
                      </w:pPr>
                      <w:r w:rsidRPr="002B7772">
                        <w:rPr>
                          <w:rFonts w:ascii="Arial Hebrew" w:hAnsi="Arial Hebrew" w:cs="Arial Hebrew" w:hint="cs"/>
                          <w:b/>
                          <w:bCs/>
                          <w:color w:val="0F9ED5" w:themeColor="accent4"/>
                          <w:sz w:val="14"/>
                          <w:szCs w:val="14"/>
                          <w:lang w:val="en-US"/>
                        </w:rPr>
                        <w:t xml:space="preserve">  </w:t>
                      </w:r>
                      <w:r w:rsidR="00563377" w:rsidRPr="002B7772">
                        <w:rPr>
                          <w:rFonts w:ascii="Arial Hebrew" w:hAnsi="Arial Hebrew" w:cs="Arial Hebrew" w:hint="cs"/>
                          <w:b/>
                          <w:bCs/>
                          <w:color w:val="0F9ED5" w:themeColor="accent4"/>
                          <w:sz w:val="14"/>
                          <w:szCs w:val="14"/>
                          <w:lang w:val="en-US"/>
                        </w:rPr>
                        <w:t xml:space="preserve">- </w:t>
                      </w:r>
                      <w:r w:rsidR="008800CE" w:rsidRPr="002B7772">
                        <w:rPr>
                          <w:rFonts w:ascii="Arial Hebrew" w:hAnsi="Arial Hebrew" w:cs="Arial Hebrew" w:hint="cs"/>
                          <w:b/>
                          <w:bCs/>
                          <w:color w:val="0F9ED5" w:themeColor="accent4"/>
                          <w:sz w:val="14"/>
                          <w:szCs w:val="14"/>
                          <w:lang w:val="en-US"/>
                        </w:rPr>
                        <w:t>monetary &amp; macroeconomic policy effectiveness</w:t>
                      </w:r>
                      <w:r w:rsidR="002B7772">
                        <w:rPr>
                          <w:rFonts w:ascii="Arial Hebrew" w:hAnsi="Arial Hebrew" w:cs="Arial Hebrew"/>
                          <w:b/>
                          <w:bCs/>
                          <w:color w:val="0F9ED5" w:themeColor="accent4"/>
                          <w:sz w:val="14"/>
                          <w:szCs w:val="14"/>
                          <w:lang w:val="en-US"/>
                        </w:rPr>
                        <w:t xml:space="preserve"> </w:t>
                      </w:r>
                      <w:r w:rsidR="00CD3C50">
                        <w:rPr>
                          <w:rFonts w:ascii="Arial Hebrew" w:hAnsi="Arial Hebrew" w:cs="Arial Hebrew"/>
                          <w:i/>
                          <w:iCs/>
                          <w:color w:val="074F6A" w:themeColor="accent4" w:themeShade="80"/>
                          <w:sz w:val="14"/>
                          <w:szCs w:val="14"/>
                          <w:lang w:val="en-US"/>
                        </w:rPr>
                        <w:t>30</w:t>
                      </w:r>
                      <w:r w:rsidR="00CD3C50" w:rsidRPr="00CD3C50">
                        <w:rPr>
                          <w:rFonts w:ascii="Arial Hebrew" w:hAnsi="Arial Hebrew" w:cs="Arial Hebrew"/>
                          <w:i/>
                          <w:iCs/>
                          <w:color w:val="074F6A" w:themeColor="accent4" w:themeShade="80"/>
                          <w:sz w:val="14"/>
                          <w:szCs w:val="14"/>
                          <w:lang w:val="en-US"/>
                        </w:rPr>
                        <w:t>%</w:t>
                      </w:r>
                    </w:p>
                  </w:txbxContent>
                </v:textbox>
              </v:shape>
            </w:pict>
          </mc:Fallback>
        </mc:AlternateContent>
      </w:r>
      <w:r w:rsidRPr="00147D0A">
        <w:rPr>
          <w:rFonts w:ascii="Arial Hebrew" w:hAnsi="Arial Hebrew" w:cs="Arial Hebrew" w:hint="cs"/>
          <w:noProof/>
        </w:rPr>
        <mc:AlternateContent>
          <mc:Choice Requires="wps">
            <w:drawing>
              <wp:anchor distT="0" distB="0" distL="114300" distR="114300" simplePos="0" relativeHeight="251671552" behindDoc="0" locked="0" layoutInCell="1" allowOverlap="1" wp14:anchorId="7CE6E89C" wp14:editId="4578617B">
                <wp:simplePos x="0" y="0"/>
                <wp:positionH relativeFrom="column">
                  <wp:posOffset>563880</wp:posOffset>
                </wp:positionH>
                <wp:positionV relativeFrom="paragraph">
                  <wp:posOffset>178272</wp:posOffset>
                </wp:positionV>
                <wp:extent cx="0" cy="177800"/>
                <wp:effectExtent l="635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E9A1AD" id="_x0000_t32" coordsize="21600,21600" o:spt="32" o:oned="t" path="m,l21600,21600e" filled="f">
                <v:path arrowok="t" fillok="f" o:connecttype="none"/>
                <o:lock v:ext="edit" shapetype="t"/>
              </v:shapetype>
              <v:shape id="Straight Arrow Connector 6" o:spid="_x0000_s1026" type="#_x0000_t32" style="position:absolute;margin-left:44.4pt;margin-top:14.05pt;width:0;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" strokecolor="black [3213]" strokeweight="1.25pt">
                <v:stroke endarrow="block" joinstyle="miter"/>
              </v:shape>
            </w:pict>
          </mc:Fallback>
        </mc:AlternateContent>
      </w:r>
    </w:p>
    <w:p w14:paraId="796490E4" w14:textId="108B730A" w:rsidR="00120C8E" w:rsidRPr="00147D0A" w:rsidRDefault="00507994" w:rsidP="00CC5D1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67456" behindDoc="0" locked="0" layoutInCell="1" allowOverlap="1" wp14:anchorId="4FCB15D8" wp14:editId="2D45CCAD">
                <wp:simplePos x="0" y="0"/>
                <wp:positionH relativeFrom="column">
                  <wp:posOffset>41910</wp:posOffset>
                </wp:positionH>
                <wp:positionV relativeFrom="paragraph">
                  <wp:posOffset>182082</wp:posOffset>
                </wp:positionV>
                <wp:extent cx="1083310" cy="405130"/>
                <wp:effectExtent l="0" t="0" r="8890" b="13970"/>
                <wp:wrapNone/>
                <wp:docPr id="1340534470" name="Text Box 4"/>
                <wp:cNvGraphicFramePr/>
                <a:graphic xmlns:a="http://schemas.openxmlformats.org/drawingml/2006/main">
                  <a:graphicData uri="http://schemas.microsoft.com/office/word/2010/wordprocessingShape">
                    <wps:wsp>
                      <wps:cNvSpPr txBox="1"/>
                      <wps:spPr>
                        <a:xfrm>
                          <a:off x="0" y="0"/>
                          <a:ext cx="1083310" cy="405130"/>
                        </a:xfrm>
                        <a:prstGeom prst="rect">
                          <a:avLst/>
                        </a:prstGeom>
                        <a:solidFill>
                          <a:srgbClr val="FFFFC7"/>
                        </a:solidFill>
                        <a:ln w="12700">
                          <a:solidFill>
                            <a:schemeClr val="tx1"/>
                          </a:solidFill>
                        </a:ln>
                      </wps:spPr>
                      <wps:txbx>
                        <w:txbxContent>
                          <w:p w14:paraId="052879AB" w14:textId="4E183F7D" w:rsidR="0037668C" w:rsidRPr="002B7772" w:rsidRDefault="002516B3" w:rsidP="00DB187D">
                            <w:pPr>
                              <w:jc w:val="center"/>
                              <w:rPr>
                                <w:rFonts w:ascii="Arial Hebrew" w:hAnsi="Arial Hebrew" w:cs="Arial Hebrew"/>
                                <w:b/>
                                <w:bCs/>
                                <w:color w:val="000000" w:themeColor="text1"/>
                                <w:sz w:val="15"/>
                                <w:szCs w:val="15"/>
                                <w:lang w:val="en-US"/>
                              </w:rPr>
                            </w:pPr>
                            <w:r w:rsidRPr="002B7772">
                              <w:rPr>
                                <w:rFonts w:ascii="Arial Hebrew" w:hAnsi="Arial Hebrew" w:cs="Arial Hebrew" w:hint="cs"/>
                                <w:b/>
                                <w:bCs/>
                                <w:color w:val="000000" w:themeColor="text1"/>
                                <w:sz w:val="15"/>
                                <w:szCs w:val="15"/>
                                <w:lang w:val="en-US"/>
                              </w:rPr>
                              <w:t>Ratings Committee</w:t>
                            </w:r>
                          </w:p>
                          <w:p w14:paraId="2AF5005E" w14:textId="7578DC31" w:rsidR="00B66290" w:rsidRPr="002B7772" w:rsidRDefault="00B66290" w:rsidP="00DB187D">
                            <w:pPr>
                              <w:jc w:val="center"/>
                              <w:rPr>
                                <w:rFonts w:ascii="Arial Hebrew" w:hAnsi="Arial Hebrew" w:cs="Arial Hebrew"/>
                                <w:color w:val="000000" w:themeColor="text1"/>
                                <w:sz w:val="14"/>
                                <w:szCs w:val="14"/>
                                <w:lang w:val="en-US"/>
                              </w:rPr>
                            </w:pPr>
                            <w:r w:rsidRPr="002B7772">
                              <w:rPr>
                                <w:rFonts w:ascii="Arial Hebrew" w:hAnsi="Arial Hebrew" w:cs="Arial Hebrew" w:hint="cs"/>
                                <w:color w:val="000000" w:themeColor="text1"/>
                                <w:sz w:val="14"/>
                                <w:szCs w:val="14"/>
                                <w:lang w:val="en-US"/>
                              </w:rPr>
                              <w:t>Qualitative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5D8" id="_x0000_s1032" type="#_x0000_t202" style="position:absolute;left:0;text-align:left;margin-left:3.3pt;margin-top:14.35pt;width:85.3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" fillcolor="#ffffc7" strokecolor="black [3213]" strokeweight="1pt">
                <v:textbox>
                  <w:txbxContent>
                    <w:p w14:paraId="052879AB" w14:textId="4E183F7D" w:rsidR="0037668C" w:rsidRPr="002B7772" w:rsidRDefault="002516B3" w:rsidP="00DB187D">
                      <w:pPr>
                        <w:jc w:val="center"/>
                        <w:rPr>
                          <w:rFonts w:ascii="Arial Hebrew" w:hAnsi="Arial Hebrew" w:cs="Arial Hebrew"/>
                          <w:b/>
                          <w:bCs/>
                          <w:color w:val="000000" w:themeColor="text1"/>
                          <w:sz w:val="15"/>
                          <w:szCs w:val="15"/>
                          <w:lang w:val="en-US"/>
                        </w:rPr>
                      </w:pPr>
                      <w:r w:rsidRPr="002B7772">
                        <w:rPr>
                          <w:rFonts w:ascii="Arial Hebrew" w:hAnsi="Arial Hebrew" w:cs="Arial Hebrew" w:hint="cs"/>
                          <w:b/>
                          <w:bCs/>
                          <w:color w:val="000000" w:themeColor="text1"/>
                          <w:sz w:val="15"/>
                          <w:szCs w:val="15"/>
                          <w:lang w:val="en-US"/>
                        </w:rPr>
                        <w:t>Ratings Committee</w:t>
                      </w:r>
                    </w:p>
                    <w:p w14:paraId="2AF5005E" w14:textId="7578DC31" w:rsidR="00B66290" w:rsidRPr="002B7772" w:rsidRDefault="00B66290" w:rsidP="00DB187D">
                      <w:pPr>
                        <w:jc w:val="center"/>
                        <w:rPr>
                          <w:rFonts w:ascii="Arial Hebrew" w:hAnsi="Arial Hebrew" w:cs="Arial Hebrew"/>
                          <w:color w:val="000000" w:themeColor="text1"/>
                          <w:sz w:val="14"/>
                          <w:szCs w:val="14"/>
                          <w:lang w:val="en-US"/>
                        </w:rPr>
                      </w:pPr>
                      <w:r w:rsidRPr="002B7772">
                        <w:rPr>
                          <w:rFonts w:ascii="Arial Hebrew" w:hAnsi="Arial Hebrew" w:cs="Arial Hebrew" w:hint="cs"/>
                          <w:color w:val="000000" w:themeColor="text1"/>
                          <w:sz w:val="14"/>
                          <w:szCs w:val="14"/>
                          <w:lang w:val="en-US"/>
                        </w:rPr>
                        <w:t>Qualitative Judgement</w:t>
                      </w:r>
                    </w:p>
                  </w:txbxContent>
                </v:textbox>
              </v:shape>
            </w:pict>
          </mc:Fallback>
        </mc:AlternateContent>
      </w:r>
    </w:p>
    <w:p w14:paraId="62CD5B26" w14:textId="1E391FF3" w:rsidR="00120C8E" w:rsidRPr="00147D0A" w:rsidRDefault="00120C8E" w:rsidP="00CC5D1E">
      <w:pPr>
        <w:spacing w:line="360" w:lineRule="auto"/>
        <w:ind w:firstLine="360"/>
        <w:jc w:val="both"/>
        <w:rPr>
          <w:rFonts w:ascii="Arial Hebrew" w:hAnsi="Arial Hebrew" w:cs="Arial Hebrew"/>
          <w:sz w:val="20"/>
          <w:szCs w:val="20"/>
        </w:rPr>
      </w:pPr>
    </w:p>
    <w:p w14:paraId="31F57E2B" w14:textId="1D835E90" w:rsidR="00120C8E" w:rsidRPr="00147D0A" w:rsidRDefault="007373C1" w:rsidP="009F1D4C">
      <w:pPr>
        <w:spacing w:line="360" w:lineRule="auto"/>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50551" behindDoc="0" locked="0" layoutInCell="1" allowOverlap="1" wp14:anchorId="043010A5" wp14:editId="4841FF47">
                <wp:simplePos x="0" y="0"/>
                <wp:positionH relativeFrom="column">
                  <wp:posOffset>562610</wp:posOffset>
                </wp:positionH>
                <wp:positionV relativeFrom="paragraph">
                  <wp:posOffset>182055</wp:posOffset>
                </wp:positionV>
                <wp:extent cx="0" cy="213741"/>
                <wp:effectExtent l="63500" t="0" r="50800" b="40640"/>
                <wp:wrapNone/>
                <wp:docPr id="689759162" name="Straight Arrow Connector 6"/>
                <wp:cNvGraphicFramePr/>
                <a:graphic xmlns:a="http://schemas.openxmlformats.org/drawingml/2006/main">
                  <a:graphicData uri="http://schemas.microsoft.com/office/word/2010/wordprocessingShape">
                    <wps:wsp>
                      <wps:cNvCnPr/>
                      <wps:spPr>
                        <a:xfrm>
                          <a:off x="0" y="0"/>
                          <a:ext cx="0" cy="213741"/>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EB7E4" id="Straight Arrow Connector 6" o:spid="_x0000_s1026" type="#_x0000_t32" style="position:absolute;margin-left:44.3pt;margin-top:14.35pt;width:0;height:16.85pt;z-index:251650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" strokecolor="#c00000" strokeweight="1.25pt">
                <v:stroke endarrow="block" joinstyle="miter"/>
              </v:shape>
            </w:pict>
          </mc:Fallback>
        </mc:AlternateContent>
      </w:r>
    </w:p>
    <w:p w14:paraId="38B0E7D5" w14:textId="00B02421" w:rsidR="008C56A9" w:rsidRPr="00147D0A" w:rsidRDefault="007373C1" w:rsidP="000E2CEE">
      <w:pPr>
        <w:spacing w:line="360" w:lineRule="auto"/>
        <w:ind w:firstLine="72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0464" behindDoc="0" locked="0" layoutInCell="1" allowOverlap="1" wp14:anchorId="7B3CAED6" wp14:editId="2FC8B48E">
                <wp:simplePos x="0" y="0"/>
                <wp:positionH relativeFrom="column">
                  <wp:posOffset>46827</wp:posOffset>
                </wp:positionH>
                <wp:positionV relativeFrom="paragraph">
                  <wp:posOffset>183515</wp:posOffset>
                </wp:positionV>
                <wp:extent cx="1099820" cy="480060"/>
                <wp:effectExtent l="0" t="0" r="0" b="0"/>
                <wp:wrapNone/>
                <wp:docPr id="184783642" name="Text Box 4"/>
                <wp:cNvGraphicFramePr/>
                <a:graphic xmlns:a="http://schemas.openxmlformats.org/drawingml/2006/main">
                  <a:graphicData uri="http://schemas.microsoft.com/office/word/2010/wordprocessingShape">
                    <wps:wsp>
                      <wps:cNvSpPr txBox="1"/>
                      <wps:spPr>
                        <a:xfrm>
                          <a:off x="0" y="0"/>
                          <a:ext cx="1099820" cy="480060"/>
                        </a:xfrm>
                        <a:prstGeom prst="rect">
                          <a:avLst/>
                        </a:prstGeom>
                        <a:noFill/>
                        <a:ln w="3175">
                          <a:noFill/>
                        </a:ln>
                      </wps:spPr>
                      <wps:txbx>
                        <w:txbxContent>
                          <w:p w14:paraId="7763B451"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Sovereign</w:t>
                            </w:r>
                          </w:p>
                          <w:p w14:paraId="470982A0"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Rating</w:t>
                            </w:r>
                          </w:p>
                          <w:p w14:paraId="52E51DD9" w14:textId="77777777" w:rsidR="00D14057" w:rsidRPr="002B7772" w:rsidRDefault="00D14057" w:rsidP="00D14057">
                            <w:pPr>
                              <w:rPr>
                                <w:rFonts w:ascii="Arial Hebrew" w:hAnsi="Arial Hebrew" w:cs="Arial Hebrew"/>
                                <w:color w:val="C00000"/>
                                <w:sz w:val="21"/>
                                <w:szCs w:val="21"/>
                                <w:lang w:val="en-US"/>
                              </w:rPr>
                            </w:pPr>
                          </w:p>
                          <w:p w14:paraId="3AB6F2FC"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17948FA1"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3956E469" w14:textId="77777777" w:rsidR="00D14057" w:rsidRPr="002B7772" w:rsidRDefault="00D14057" w:rsidP="00D14057">
                            <w:pPr>
                              <w:rPr>
                                <w:rFonts w:ascii="Arial Hebrew" w:hAnsi="Arial Hebrew" w:cs="Arial Hebrew"/>
                                <w:color w:val="C00000"/>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CAED6" id="_x0000_s1033" type="#_x0000_t202" style="position:absolute;left:0;text-align:left;margin-left:3.7pt;margin-top:14.45pt;width:86.6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" filled="f" stroked="f" strokeweight=".25pt">
                <v:textbox>
                  <w:txbxContent>
                    <w:p w14:paraId="7763B451"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Sovereign</w:t>
                      </w:r>
                    </w:p>
                    <w:p w14:paraId="470982A0" w14:textId="77777777" w:rsidR="00D14057" w:rsidRPr="002B7772" w:rsidRDefault="00D14057" w:rsidP="00D14057">
                      <w:pPr>
                        <w:jc w:val="cente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Rating</w:t>
                      </w:r>
                    </w:p>
                    <w:p w14:paraId="52E51DD9" w14:textId="77777777" w:rsidR="00D14057" w:rsidRPr="002B7772" w:rsidRDefault="00D14057" w:rsidP="00D14057">
                      <w:pPr>
                        <w:rPr>
                          <w:rFonts w:ascii="Arial Hebrew" w:hAnsi="Arial Hebrew" w:cs="Arial Hebrew"/>
                          <w:color w:val="C00000"/>
                          <w:sz w:val="21"/>
                          <w:szCs w:val="21"/>
                          <w:lang w:val="en-US"/>
                        </w:rPr>
                      </w:pPr>
                    </w:p>
                    <w:p w14:paraId="3AB6F2FC"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17948FA1" w14:textId="77777777" w:rsidR="00D14057" w:rsidRPr="002B7772" w:rsidRDefault="00D14057" w:rsidP="00D14057">
                      <w:pPr>
                        <w:rPr>
                          <w:rFonts w:ascii="Arial Hebrew" w:hAnsi="Arial Hebrew" w:cs="Arial Hebrew"/>
                          <w:color w:val="C00000"/>
                          <w:sz w:val="21"/>
                          <w:szCs w:val="21"/>
                          <w:lang w:val="en-US"/>
                        </w:rPr>
                      </w:pPr>
                      <w:r w:rsidRPr="002B7772">
                        <w:rPr>
                          <w:rFonts w:ascii="Arial Hebrew" w:hAnsi="Arial Hebrew" w:cs="Arial Hebrew" w:hint="cs"/>
                          <w:color w:val="C00000"/>
                          <w:sz w:val="21"/>
                          <w:szCs w:val="21"/>
                          <w:lang w:val="en-US"/>
                        </w:rPr>
                        <w:t xml:space="preserve">  </w:t>
                      </w:r>
                    </w:p>
                    <w:p w14:paraId="3956E469" w14:textId="77777777" w:rsidR="00D14057" w:rsidRPr="002B7772" w:rsidRDefault="00D14057" w:rsidP="00D14057">
                      <w:pPr>
                        <w:rPr>
                          <w:rFonts w:ascii="Arial Hebrew" w:hAnsi="Arial Hebrew" w:cs="Arial Hebrew"/>
                          <w:color w:val="C00000"/>
                          <w:sz w:val="21"/>
                          <w:szCs w:val="21"/>
                          <w:lang w:val="en-US"/>
                        </w:rPr>
                      </w:pPr>
                    </w:p>
                  </w:txbxContent>
                </v:textbox>
              </v:shape>
            </w:pict>
          </mc:Fallback>
        </mc:AlternateContent>
      </w:r>
    </w:p>
    <w:p w14:paraId="6C460A58" w14:textId="77777777" w:rsidR="008C56A9" w:rsidRPr="00147D0A" w:rsidRDefault="008C56A9" w:rsidP="008C56A9">
      <w:pPr>
        <w:spacing w:line="360" w:lineRule="auto"/>
        <w:jc w:val="both"/>
        <w:rPr>
          <w:rFonts w:ascii="Arial Hebrew" w:hAnsi="Arial Hebrew" w:cs="Arial Hebrew"/>
          <w:sz w:val="20"/>
          <w:szCs w:val="20"/>
        </w:rPr>
      </w:pPr>
    </w:p>
    <w:p w14:paraId="453CFC28" w14:textId="6757B5EF" w:rsidR="00BD5EBC" w:rsidRPr="00147D0A" w:rsidRDefault="00BD5EBC" w:rsidP="008C56A9">
      <w:pPr>
        <w:spacing w:line="360" w:lineRule="auto"/>
        <w:ind w:firstLine="720"/>
        <w:jc w:val="both"/>
        <w:rPr>
          <w:rFonts w:ascii="Arial Hebrew" w:hAnsi="Arial Hebrew" w:cs="Arial Hebrew"/>
          <w:sz w:val="20"/>
          <w:szCs w:val="20"/>
        </w:rPr>
      </w:pPr>
    </w:p>
    <w:p w14:paraId="20D5D681" w14:textId="0FAE9351" w:rsidR="00BF244C" w:rsidRPr="00147D0A" w:rsidRDefault="00EB0CB8" w:rsidP="008C56A9">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Moody's methodolog</w:t>
      </w:r>
      <w:r w:rsidR="00CA184F" w:rsidRPr="00147D0A">
        <w:rPr>
          <w:rFonts w:ascii="Arial Hebrew" w:hAnsi="Arial Hebrew" w:cs="Arial Hebrew" w:hint="cs"/>
          <w:sz w:val="20"/>
          <w:szCs w:val="20"/>
        </w:rPr>
        <w:t>y</w:t>
      </w:r>
      <w:r w:rsidRPr="00147D0A">
        <w:rPr>
          <w:rFonts w:ascii="Arial Hebrew" w:hAnsi="Arial Hebrew" w:cs="Arial Hebrew" w:hint="cs"/>
          <w:sz w:val="20"/>
          <w:szCs w:val="20"/>
        </w:rPr>
        <w:t xml:space="preserve"> for</w:t>
      </w:r>
      <w:r w:rsidR="00CA184F" w:rsidRPr="00147D0A">
        <w:rPr>
          <w:rFonts w:ascii="Arial Hebrew" w:hAnsi="Arial Hebrew" w:cs="Arial Hebrew" w:hint="cs"/>
          <w:sz w:val="20"/>
          <w:szCs w:val="20"/>
        </w:rPr>
        <w:t xml:space="preserve"> international</w:t>
      </w:r>
      <w:r w:rsidRPr="00147D0A">
        <w:rPr>
          <w:rFonts w:ascii="Arial Hebrew" w:hAnsi="Arial Hebrew" w:cs="Arial Hebrew" w:hint="cs"/>
          <w:sz w:val="20"/>
          <w:szCs w:val="20"/>
        </w:rPr>
        <w:t xml:space="preserve"> </w:t>
      </w:r>
      <w:r w:rsidR="003C399F" w:rsidRPr="00147D0A">
        <w:rPr>
          <w:rFonts w:ascii="Arial Hebrew" w:hAnsi="Arial Hebrew" w:cs="Arial Hebrew" w:hint="cs"/>
          <w:sz w:val="20"/>
          <w:szCs w:val="20"/>
        </w:rPr>
        <w:t>s</w:t>
      </w:r>
      <w:r w:rsidRPr="00147D0A">
        <w:rPr>
          <w:rFonts w:ascii="Arial Hebrew" w:hAnsi="Arial Hebrew" w:cs="Arial Hebrew" w:hint="cs"/>
          <w:sz w:val="20"/>
          <w:szCs w:val="20"/>
        </w:rPr>
        <w:t>ub</w:t>
      </w:r>
      <w:r w:rsidR="003C399F" w:rsidRPr="00147D0A">
        <w:rPr>
          <w:rFonts w:ascii="Arial Hebrew" w:hAnsi="Arial Hebrew" w:cs="Arial Hebrew" w:hint="cs"/>
          <w:sz w:val="20"/>
          <w:szCs w:val="20"/>
        </w:rPr>
        <w:t>-s</w:t>
      </w:r>
      <w:r w:rsidRPr="00147D0A">
        <w:rPr>
          <w:rFonts w:ascii="Arial Hebrew" w:hAnsi="Arial Hebrew" w:cs="Arial Hebrew" w:hint="cs"/>
          <w:sz w:val="20"/>
          <w:szCs w:val="20"/>
        </w:rPr>
        <w:t>overeign</w:t>
      </w:r>
      <w:r w:rsidR="00CA184F" w:rsidRPr="00147D0A">
        <w:rPr>
          <w:rFonts w:ascii="Arial Hebrew" w:hAnsi="Arial Hebrew" w:cs="Arial Hebrew" w:hint="cs"/>
          <w:sz w:val="20"/>
          <w:szCs w:val="20"/>
        </w:rPr>
        <w:t xml:space="preserve"> </w:t>
      </w:r>
      <w:r w:rsidR="001968C3" w:rsidRPr="00147D0A">
        <w:rPr>
          <w:rFonts w:ascii="Arial Hebrew" w:hAnsi="Arial Hebrew" w:cs="Arial Hebrew" w:hint="cs"/>
          <w:sz w:val="20"/>
          <w:szCs w:val="20"/>
        </w:rPr>
        <w:t>(</w:t>
      </w:r>
      <w:r w:rsidRPr="00147D0A">
        <w:rPr>
          <w:rFonts w:ascii="Arial Hebrew" w:hAnsi="Arial Hebrew" w:cs="Arial Hebrew" w:hint="cs"/>
          <w:sz w:val="20"/>
          <w:szCs w:val="20"/>
        </w:rPr>
        <w:t xml:space="preserve">Regional and Local Government </w:t>
      </w:r>
      <w:r w:rsidR="001968C3" w:rsidRPr="00147D0A">
        <w:rPr>
          <w:rFonts w:ascii="Arial Hebrew" w:hAnsi="Arial Hebrew" w:cs="Arial Hebrew" w:hint="cs"/>
          <w:sz w:val="20"/>
          <w:szCs w:val="20"/>
        </w:rPr>
        <w:t xml:space="preserve">or </w:t>
      </w:r>
      <w:r w:rsidRPr="00147D0A">
        <w:rPr>
          <w:rFonts w:ascii="Arial Hebrew" w:hAnsi="Arial Hebrew" w:cs="Arial Hebrew" w:hint="cs"/>
          <w:sz w:val="20"/>
          <w:szCs w:val="20"/>
        </w:rPr>
        <w:t>RLG)</w:t>
      </w:r>
      <w:r w:rsidR="005B1CD9" w:rsidRPr="00147D0A">
        <w:rPr>
          <w:rFonts w:ascii="Arial Hebrew" w:hAnsi="Arial Hebrew" w:cs="Arial Hebrew" w:hint="cs"/>
          <w:sz w:val="20"/>
          <w:szCs w:val="20"/>
        </w:rPr>
        <w:t xml:space="preserve"> </w:t>
      </w:r>
      <w:r w:rsidRPr="00147D0A">
        <w:rPr>
          <w:rFonts w:ascii="Arial Hebrew" w:hAnsi="Arial Hebrew" w:cs="Arial Hebrew" w:hint="cs"/>
          <w:sz w:val="20"/>
          <w:szCs w:val="20"/>
        </w:rPr>
        <w:t>ratings</w:t>
      </w:r>
      <w:r w:rsidR="005B1CD9" w:rsidRPr="00147D0A">
        <w:rPr>
          <w:rFonts w:ascii="Arial Hebrew" w:hAnsi="Arial Hebrew" w:cs="Arial Hebrew" w:hint="cs"/>
          <w:sz w:val="20"/>
          <w:szCs w:val="20"/>
        </w:rPr>
        <w:t xml:space="preserve"> </w:t>
      </w:r>
      <w:r w:rsidR="00BF244C" w:rsidRPr="00147D0A">
        <w:rPr>
          <w:rFonts w:ascii="Arial Hebrew" w:hAnsi="Arial Hebrew" w:cs="Arial Hebrew" w:hint="cs"/>
          <w:sz w:val="20"/>
          <w:szCs w:val="20"/>
        </w:rPr>
        <w:t>begins with a</w:t>
      </w:r>
      <w:r w:rsidRPr="00147D0A">
        <w:rPr>
          <w:rFonts w:ascii="Arial Hebrew" w:hAnsi="Arial Hebrew" w:cs="Arial Hebrew" w:hint="cs"/>
          <w:sz w:val="20"/>
          <w:szCs w:val="20"/>
        </w:rPr>
        <w:t xml:space="preserve"> </w:t>
      </w:r>
      <w:r w:rsidRPr="00147D0A">
        <w:rPr>
          <w:rFonts w:ascii="Arial Hebrew" w:hAnsi="Arial Hebrew" w:cs="Arial Hebrew" w:hint="cs"/>
          <w:b/>
          <w:bCs/>
          <w:sz w:val="20"/>
          <w:szCs w:val="20"/>
        </w:rPr>
        <w:t>Baseline Credit Assessment</w:t>
      </w:r>
      <w:r w:rsidRPr="00147D0A">
        <w:rPr>
          <w:rFonts w:ascii="Arial Hebrew" w:hAnsi="Arial Hebrew" w:cs="Arial Hebrew" w:hint="cs"/>
          <w:sz w:val="20"/>
          <w:szCs w:val="20"/>
        </w:rPr>
        <w:t xml:space="preserve"> </w:t>
      </w:r>
      <w:r w:rsidR="007144CE" w:rsidRPr="00147D0A">
        <w:rPr>
          <w:rFonts w:ascii="Arial Hebrew" w:hAnsi="Arial Hebrew" w:cs="Arial Hebrew" w:hint="cs"/>
          <w:sz w:val="20"/>
          <w:szCs w:val="20"/>
        </w:rPr>
        <w:t>of</w:t>
      </w:r>
      <w:r w:rsidRPr="00147D0A">
        <w:rPr>
          <w:rFonts w:ascii="Arial Hebrew" w:hAnsi="Arial Hebrew" w:cs="Arial Hebrew" w:hint="cs"/>
          <w:sz w:val="20"/>
          <w:szCs w:val="20"/>
        </w:rPr>
        <w:t xml:space="preserve"> the </w:t>
      </w:r>
      <w:r w:rsidR="00CA184F" w:rsidRPr="00147D0A">
        <w:rPr>
          <w:rFonts w:ascii="Arial Hebrew" w:hAnsi="Arial Hebrew" w:cs="Arial Hebrew" w:hint="cs"/>
          <w:sz w:val="20"/>
          <w:szCs w:val="20"/>
        </w:rPr>
        <w:t>s</w:t>
      </w:r>
      <w:r w:rsidR="00AB34E2" w:rsidRPr="00147D0A">
        <w:rPr>
          <w:rFonts w:ascii="Arial Hebrew" w:hAnsi="Arial Hebrew" w:cs="Arial Hebrew" w:hint="cs"/>
          <w:sz w:val="20"/>
          <w:szCs w:val="20"/>
        </w:rPr>
        <w:t>ub</w:t>
      </w:r>
      <w:r w:rsidR="004D37FE" w:rsidRPr="00147D0A">
        <w:rPr>
          <w:rFonts w:ascii="Arial Hebrew" w:hAnsi="Arial Hebrew" w:cs="Arial Hebrew" w:hint="cs"/>
          <w:sz w:val="20"/>
          <w:szCs w:val="20"/>
        </w:rPr>
        <w:t>-</w:t>
      </w:r>
      <w:r w:rsidR="00CA184F" w:rsidRPr="00147D0A">
        <w:rPr>
          <w:rFonts w:ascii="Arial Hebrew" w:hAnsi="Arial Hebrew" w:cs="Arial Hebrew" w:hint="cs"/>
          <w:sz w:val="20"/>
          <w:szCs w:val="20"/>
        </w:rPr>
        <w:t>s</w:t>
      </w:r>
      <w:r w:rsidR="00AB34E2" w:rsidRPr="00147D0A">
        <w:rPr>
          <w:rFonts w:ascii="Arial Hebrew" w:hAnsi="Arial Hebrew" w:cs="Arial Hebrew" w:hint="cs"/>
          <w:sz w:val="20"/>
          <w:szCs w:val="20"/>
        </w:rPr>
        <w:t>overe</w:t>
      </w:r>
      <w:r w:rsidR="004D37FE" w:rsidRPr="00147D0A">
        <w:rPr>
          <w:rFonts w:ascii="Arial Hebrew" w:hAnsi="Arial Hebrew" w:cs="Arial Hebrew" w:hint="cs"/>
          <w:sz w:val="20"/>
          <w:szCs w:val="20"/>
        </w:rPr>
        <w:t>ign</w:t>
      </w:r>
      <w:r w:rsidR="00CA184F" w:rsidRPr="00147D0A">
        <w:rPr>
          <w:rFonts w:ascii="Arial Hebrew" w:hAnsi="Arial Hebrew" w:cs="Arial Hebrew" w:hint="cs"/>
          <w:sz w:val="20"/>
          <w:szCs w:val="20"/>
        </w:rPr>
        <w:t>’s</w:t>
      </w:r>
      <w:r w:rsidRPr="00147D0A">
        <w:rPr>
          <w:rFonts w:ascii="Arial Hebrew" w:hAnsi="Arial Hebrew" w:cs="Arial Hebrew" w:hint="cs"/>
          <w:sz w:val="20"/>
          <w:szCs w:val="20"/>
        </w:rPr>
        <w:t xml:space="preserve"> standalone credit strength,</w:t>
      </w:r>
      <w:r w:rsidR="00BF244C" w:rsidRPr="00147D0A">
        <w:rPr>
          <w:rFonts w:ascii="Arial Hebrew" w:hAnsi="Arial Hebrew" w:cs="Arial Hebrew" w:hint="cs"/>
          <w:sz w:val="20"/>
          <w:szCs w:val="20"/>
        </w:rPr>
        <w:t xml:space="preserve"> </w:t>
      </w:r>
      <w:r w:rsidR="00CA184F" w:rsidRPr="00147D0A">
        <w:rPr>
          <w:rFonts w:ascii="Arial Hebrew" w:hAnsi="Arial Hebrew" w:cs="Arial Hebrew" w:hint="cs"/>
          <w:sz w:val="20"/>
          <w:szCs w:val="20"/>
        </w:rPr>
        <w:t>aggregating</w:t>
      </w:r>
      <w:r w:rsidR="00BF244C" w:rsidRPr="00147D0A">
        <w:rPr>
          <w:rFonts w:ascii="Arial Hebrew" w:hAnsi="Arial Hebrew" w:cs="Arial Hebrew" w:hint="cs"/>
          <w:sz w:val="20"/>
          <w:szCs w:val="20"/>
        </w:rPr>
        <w:t xml:space="preserve"> four </w:t>
      </w:r>
      <w:r w:rsidR="00BF244C" w:rsidRPr="00147D0A">
        <w:rPr>
          <w:rFonts w:ascii="Arial Hebrew" w:hAnsi="Arial Hebrew" w:cs="Arial Hebrew" w:hint="cs"/>
          <w:b/>
          <w:bCs/>
          <w:sz w:val="20"/>
          <w:szCs w:val="20"/>
        </w:rPr>
        <w:t>Weighted Factors</w:t>
      </w:r>
      <w:r w:rsidR="00BF244C" w:rsidRPr="00147D0A">
        <w:rPr>
          <w:rFonts w:ascii="Arial Hebrew" w:hAnsi="Arial Hebrew" w:cs="Arial Hebrew" w:hint="cs"/>
          <w:sz w:val="20"/>
          <w:szCs w:val="20"/>
        </w:rPr>
        <w:t>:</w:t>
      </w:r>
    </w:p>
    <w:p w14:paraId="4692D6D3" w14:textId="3D72E404" w:rsidR="00BF244C" w:rsidRPr="00147D0A" w:rsidRDefault="00BF244C" w:rsidP="00BF244C">
      <w:pPr>
        <w:pStyle w:val="ListParagraph"/>
        <w:numPr>
          <w:ilvl w:val="0"/>
          <w:numId w:val="10"/>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Economy (25%):</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Regional Income</w:t>
      </w:r>
      <w:r w:rsidR="006225ED" w:rsidRPr="00147D0A">
        <w:rPr>
          <w:rFonts w:ascii="Arial Hebrew" w:hAnsi="Arial Hebrew" w:cs="Arial Hebrew" w:hint="cs"/>
          <w:i/>
          <w:iCs/>
          <w:sz w:val="20"/>
          <w:szCs w:val="20"/>
        </w:rPr>
        <w:t xml:space="preserve"> </w:t>
      </w:r>
      <w:r w:rsidR="006225ED" w:rsidRPr="00147D0A">
        <w:rPr>
          <w:rFonts w:ascii="Arial Hebrew" w:hAnsi="Arial Hebrew" w:cs="Arial Hebrew" w:hint="cs"/>
          <w:sz w:val="20"/>
          <w:szCs w:val="20"/>
        </w:rPr>
        <w:t>(15%</w:t>
      </w:r>
      <w:r w:rsidR="001C2F06" w:rsidRPr="00147D0A">
        <w:rPr>
          <w:rFonts w:ascii="Arial Hebrew" w:hAnsi="Arial Hebrew" w:cs="Arial Hebrew" w:hint="cs"/>
          <w:sz w:val="20"/>
          <w:szCs w:val="20"/>
        </w:rPr>
        <w:t>;</w:t>
      </w:r>
      <w:r w:rsidR="00E37B56" w:rsidRPr="00147D0A">
        <w:rPr>
          <w:rFonts w:ascii="Arial Hebrew" w:hAnsi="Arial Hebrew" w:cs="Arial Hebrew" w:hint="cs"/>
          <w:sz w:val="20"/>
          <w:szCs w:val="20"/>
        </w:rPr>
        <w:t xml:space="preserve"> per capita GDP PPP</w:t>
      </w:r>
      <w:r w:rsidR="006225ED"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Economic Growth</w:t>
      </w:r>
      <w:r w:rsidR="006225ED" w:rsidRPr="00147D0A">
        <w:rPr>
          <w:rFonts w:ascii="Arial Hebrew" w:hAnsi="Arial Hebrew" w:cs="Arial Hebrew" w:hint="cs"/>
          <w:i/>
          <w:iCs/>
          <w:sz w:val="20"/>
          <w:szCs w:val="20"/>
        </w:rPr>
        <w:t xml:space="preserve"> </w:t>
      </w:r>
      <w:r w:rsidR="006225ED" w:rsidRPr="00147D0A">
        <w:rPr>
          <w:rFonts w:ascii="Arial Hebrew" w:hAnsi="Arial Hebrew" w:cs="Arial Hebrew" w:hint="cs"/>
          <w:sz w:val="20"/>
          <w:szCs w:val="20"/>
        </w:rPr>
        <w:t>(5%)</w:t>
      </w:r>
      <w:r w:rsidR="00D87570" w:rsidRPr="00147D0A">
        <w:rPr>
          <w:rFonts w:ascii="Arial Hebrew" w:hAnsi="Arial Hebrew" w:cs="Arial Hebrew" w:hint="cs"/>
          <w:sz w:val="20"/>
          <w:szCs w:val="20"/>
        </w:rPr>
        <w:t>,</w:t>
      </w:r>
      <w:r w:rsidRPr="00147D0A">
        <w:rPr>
          <w:rFonts w:ascii="Arial Hebrew" w:hAnsi="Arial Hebrew" w:cs="Arial Hebrew" w:hint="cs"/>
          <w:sz w:val="20"/>
          <w:szCs w:val="20"/>
        </w:rPr>
        <w:t xml:space="preserve"> and </w:t>
      </w:r>
      <w:r w:rsidRPr="00147D0A">
        <w:rPr>
          <w:rFonts w:ascii="Arial Hebrew" w:hAnsi="Arial Hebrew" w:cs="Arial Hebrew" w:hint="cs"/>
          <w:i/>
          <w:iCs/>
          <w:sz w:val="20"/>
          <w:szCs w:val="20"/>
        </w:rPr>
        <w:t>Economic Diversification</w:t>
      </w:r>
      <w:r w:rsidRPr="00147D0A">
        <w:rPr>
          <w:rFonts w:ascii="Arial Hebrew" w:hAnsi="Arial Hebrew" w:cs="Arial Hebrew" w:hint="cs"/>
          <w:sz w:val="20"/>
          <w:szCs w:val="20"/>
        </w:rPr>
        <w:t xml:space="preserve"> (</w:t>
      </w:r>
      <w:r w:rsidR="00D87570" w:rsidRPr="00147D0A">
        <w:rPr>
          <w:rFonts w:ascii="Arial Hebrew" w:hAnsi="Arial Hebrew" w:cs="Arial Hebrew" w:hint="cs"/>
          <w:sz w:val="20"/>
          <w:szCs w:val="20"/>
        </w:rPr>
        <w:t>5%</w:t>
      </w:r>
      <w:r w:rsidR="001C2F06" w:rsidRPr="00147D0A">
        <w:rPr>
          <w:rFonts w:ascii="Arial Hebrew" w:hAnsi="Arial Hebrew" w:cs="Arial Hebrew" w:hint="cs"/>
          <w:sz w:val="20"/>
          <w:szCs w:val="20"/>
        </w:rPr>
        <w:t>;</w:t>
      </w:r>
      <w:r w:rsidR="00D87570" w:rsidRPr="00147D0A">
        <w:rPr>
          <w:rFonts w:ascii="Arial Hebrew" w:hAnsi="Arial Hebrew" w:cs="Arial Hebrew" w:hint="cs"/>
          <w:sz w:val="20"/>
          <w:szCs w:val="20"/>
        </w:rPr>
        <w:t xml:space="preserve"> </w:t>
      </w:r>
      <w:r w:rsidR="008C56A9" w:rsidRPr="00147D0A">
        <w:rPr>
          <w:rFonts w:ascii="Arial Hebrew" w:hAnsi="Arial Hebrew" w:cs="Arial Hebrew" w:hint="cs"/>
          <w:sz w:val="20"/>
          <w:szCs w:val="20"/>
        </w:rPr>
        <w:t xml:space="preserve">balance of </w:t>
      </w:r>
      <w:r w:rsidRPr="00147D0A">
        <w:rPr>
          <w:rFonts w:ascii="Arial Hebrew" w:hAnsi="Arial Hebrew" w:cs="Arial Hebrew" w:hint="cs"/>
          <w:sz w:val="20"/>
          <w:szCs w:val="20"/>
        </w:rPr>
        <w:t>local / regional economic activity across economic sectors)</w:t>
      </w:r>
      <w:r w:rsidR="00107BBA"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235680C5" w14:textId="7E55D4CE" w:rsidR="006225ED" w:rsidRPr="00147D0A" w:rsidRDefault="00BF244C" w:rsidP="006225ED">
      <w:pPr>
        <w:pStyle w:val="ListParagraph"/>
        <w:numPr>
          <w:ilvl w:val="0"/>
          <w:numId w:val="10"/>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Institutional Framework</w:t>
      </w:r>
      <w:r w:rsidR="006225ED" w:rsidRPr="00147D0A">
        <w:rPr>
          <w:rFonts w:ascii="Arial Hebrew" w:hAnsi="Arial Hebrew" w:cs="Arial Hebrew" w:hint="cs"/>
          <w:b/>
          <w:bCs/>
          <w:sz w:val="20"/>
          <w:szCs w:val="20"/>
        </w:rPr>
        <w:t xml:space="preserve"> and Governance</w:t>
      </w:r>
      <w:r w:rsidRPr="00147D0A">
        <w:rPr>
          <w:rFonts w:ascii="Arial Hebrew" w:hAnsi="Arial Hebrew" w:cs="Arial Hebrew" w:hint="cs"/>
          <w:b/>
          <w:bCs/>
          <w:sz w:val="20"/>
          <w:szCs w:val="20"/>
        </w:rPr>
        <w:t xml:space="preserve"> (</w:t>
      </w:r>
      <w:r w:rsidR="006225ED" w:rsidRPr="00147D0A">
        <w:rPr>
          <w:rFonts w:ascii="Arial Hebrew" w:hAnsi="Arial Hebrew" w:cs="Arial Hebrew" w:hint="cs"/>
          <w:b/>
          <w:bCs/>
          <w:sz w:val="20"/>
          <w:szCs w:val="20"/>
        </w:rPr>
        <w:t>3</w:t>
      </w:r>
      <w:r w:rsidRPr="00147D0A">
        <w:rPr>
          <w:rFonts w:ascii="Arial Hebrew" w:hAnsi="Arial Hebrew" w:cs="Arial Hebrew" w:hint="cs"/>
          <w:b/>
          <w:bCs/>
          <w:sz w:val="20"/>
          <w:szCs w:val="20"/>
        </w:rPr>
        <w:t>0%):</w:t>
      </w:r>
      <w:r w:rsidRPr="00147D0A">
        <w:rPr>
          <w:rFonts w:ascii="Arial Hebrew" w:hAnsi="Arial Hebrew" w:cs="Arial Hebrew" w:hint="cs"/>
          <w:sz w:val="20"/>
          <w:szCs w:val="20"/>
        </w:rPr>
        <w:t xml:space="preserve"> </w:t>
      </w:r>
    </w:p>
    <w:p w14:paraId="6B8320D6" w14:textId="612B27B4" w:rsidR="006D24A7" w:rsidRPr="00147D0A" w:rsidRDefault="006225ED" w:rsidP="00927F61">
      <w:pPr>
        <w:pStyle w:val="ListParagraph"/>
        <w:numPr>
          <w:ilvl w:val="0"/>
          <w:numId w:val="35"/>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 xml:space="preserve">Institutional Framework </w:t>
      </w:r>
      <w:r w:rsidRPr="00147D0A">
        <w:rPr>
          <w:rFonts w:ascii="Arial Hebrew" w:hAnsi="Arial Hebrew" w:cs="Arial Hebrew" w:hint="cs"/>
          <w:sz w:val="20"/>
          <w:szCs w:val="20"/>
        </w:rPr>
        <w:t>(15%):</w:t>
      </w:r>
      <w:r w:rsidR="006D24A7" w:rsidRPr="00147D0A">
        <w:rPr>
          <w:rFonts w:ascii="Arial Hebrew" w:hAnsi="Arial Hebrew" w:cs="Arial Hebrew" w:hint="cs"/>
          <w:sz w:val="20"/>
          <w:szCs w:val="20"/>
        </w:rPr>
        <w:t xml:space="preserve"> </w:t>
      </w:r>
      <w:r w:rsidR="00E1550D" w:rsidRPr="00147D0A">
        <w:rPr>
          <w:rFonts w:ascii="Arial Hebrew" w:hAnsi="Arial Hebrew" w:cs="Arial Hebrew" w:hint="cs"/>
          <w:sz w:val="20"/>
          <w:szCs w:val="20"/>
        </w:rPr>
        <w:t xml:space="preserve">the </w:t>
      </w:r>
      <w:r w:rsidR="006D24A7" w:rsidRPr="00147D0A">
        <w:rPr>
          <w:rFonts w:ascii="Arial Hebrew" w:hAnsi="Arial Hebrew" w:cs="Arial Hebrew" w:hint="cs"/>
          <w:sz w:val="20"/>
          <w:szCs w:val="20"/>
        </w:rPr>
        <w:t xml:space="preserve">extent to which </w:t>
      </w:r>
      <w:r w:rsidR="00E1550D" w:rsidRPr="00147D0A">
        <w:rPr>
          <w:rFonts w:ascii="Arial Hebrew" w:hAnsi="Arial Hebrew" w:cs="Arial Hebrew" w:hint="cs"/>
          <w:sz w:val="20"/>
          <w:szCs w:val="20"/>
        </w:rPr>
        <w:t>the</w:t>
      </w:r>
      <w:r w:rsidR="00B70951" w:rsidRPr="00147D0A">
        <w:rPr>
          <w:rFonts w:ascii="Arial Hebrew" w:hAnsi="Arial Hebrew" w:cs="Arial Hebrew" w:hint="cs"/>
          <w:sz w:val="20"/>
          <w:szCs w:val="20"/>
        </w:rPr>
        <w:t xml:space="preserve"> prevailing</w:t>
      </w:r>
      <w:r w:rsidR="00E16F22" w:rsidRPr="00147D0A">
        <w:rPr>
          <w:rFonts w:ascii="Arial Hebrew" w:hAnsi="Arial Hebrew" w:cs="Arial Hebrew" w:hint="cs"/>
          <w:sz w:val="20"/>
          <w:szCs w:val="20"/>
        </w:rPr>
        <w:t xml:space="preserve"> </w:t>
      </w:r>
      <w:r w:rsidRPr="00147D0A">
        <w:rPr>
          <w:rFonts w:ascii="Arial Hebrew" w:hAnsi="Arial Hebrew" w:cs="Arial Hebrew" w:hint="cs"/>
          <w:sz w:val="20"/>
          <w:szCs w:val="20"/>
        </w:rPr>
        <w:t>framework for government powers and responsibilities is mature, robust</w:t>
      </w:r>
      <w:r w:rsidR="006D24A7" w:rsidRPr="00147D0A">
        <w:rPr>
          <w:rFonts w:ascii="Arial Hebrew" w:hAnsi="Arial Hebrew" w:cs="Arial Hebrew" w:hint="cs"/>
          <w:sz w:val="20"/>
          <w:szCs w:val="20"/>
        </w:rPr>
        <w:t>,</w:t>
      </w:r>
      <w:r w:rsidRPr="00147D0A">
        <w:rPr>
          <w:rFonts w:ascii="Arial Hebrew" w:hAnsi="Arial Hebrew" w:cs="Arial Hebrew" w:hint="cs"/>
          <w:sz w:val="20"/>
          <w:szCs w:val="20"/>
        </w:rPr>
        <w:t xml:space="preserve"> stable</w:t>
      </w:r>
      <w:r w:rsidR="006D24A7" w:rsidRPr="00147D0A">
        <w:rPr>
          <w:rFonts w:ascii="Arial Hebrew" w:hAnsi="Arial Hebrew" w:cs="Arial Hebrew" w:hint="cs"/>
          <w:sz w:val="20"/>
          <w:szCs w:val="20"/>
        </w:rPr>
        <w:t>,</w:t>
      </w:r>
      <w:r w:rsidRPr="00147D0A">
        <w:rPr>
          <w:rFonts w:ascii="Arial Hebrew" w:hAnsi="Arial Hebrew" w:cs="Arial Hebrew" w:hint="cs"/>
          <w:sz w:val="20"/>
          <w:szCs w:val="20"/>
        </w:rPr>
        <w:t xml:space="preserve"> and clearly defined in law</w:t>
      </w:r>
      <w:r w:rsidR="006D24A7" w:rsidRPr="00147D0A">
        <w:rPr>
          <w:rFonts w:ascii="Arial Hebrew" w:hAnsi="Arial Hebrew" w:cs="Arial Hebrew" w:hint="cs"/>
          <w:sz w:val="20"/>
          <w:szCs w:val="20"/>
        </w:rPr>
        <w:t>; t</w:t>
      </w:r>
      <w:r w:rsidR="00D87570" w:rsidRPr="00147D0A">
        <w:rPr>
          <w:rFonts w:ascii="Arial Hebrew" w:hAnsi="Arial Hebrew" w:cs="Arial Hebrew" w:hint="cs"/>
          <w:sz w:val="20"/>
          <w:szCs w:val="20"/>
        </w:rPr>
        <w:t>he process to change the framework is transparent and deliberate</w:t>
      </w:r>
      <w:r w:rsidR="006D24A7" w:rsidRPr="00147D0A">
        <w:rPr>
          <w:rFonts w:ascii="Arial Hebrew" w:hAnsi="Arial Hebrew" w:cs="Arial Hebrew" w:hint="cs"/>
          <w:sz w:val="20"/>
          <w:szCs w:val="20"/>
        </w:rPr>
        <w:t>; and the f</w:t>
      </w:r>
      <w:r w:rsidR="00D87570" w:rsidRPr="00147D0A">
        <w:rPr>
          <w:rFonts w:ascii="Arial Hebrew" w:hAnsi="Arial Hebrew" w:cs="Arial Hebrew" w:hint="cs"/>
          <w:sz w:val="20"/>
          <w:szCs w:val="20"/>
        </w:rPr>
        <w:t>ramework provides for strong revenue-generating and expenditure flexibility.</w:t>
      </w:r>
    </w:p>
    <w:p w14:paraId="0A482CD4" w14:textId="4F9F165B" w:rsidR="00BF244C" w:rsidRPr="00147D0A" w:rsidRDefault="006225ED" w:rsidP="00927F61">
      <w:pPr>
        <w:pStyle w:val="ListParagraph"/>
        <w:numPr>
          <w:ilvl w:val="0"/>
          <w:numId w:val="35"/>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Governance</w:t>
      </w:r>
      <w:r w:rsidR="006D24A7" w:rsidRPr="00147D0A">
        <w:rPr>
          <w:rFonts w:ascii="Arial Hebrew" w:hAnsi="Arial Hebrew" w:cs="Arial Hebrew" w:hint="cs"/>
          <w:i/>
          <w:iCs/>
          <w:sz w:val="20"/>
          <w:szCs w:val="20"/>
        </w:rPr>
        <w:t xml:space="preserve"> </w:t>
      </w:r>
      <w:r w:rsidR="006D24A7" w:rsidRPr="00147D0A">
        <w:rPr>
          <w:rFonts w:ascii="Arial Hebrew" w:hAnsi="Arial Hebrew" w:cs="Arial Hebrew" w:hint="cs"/>
          <w:sz w:val="20"/>
          <w:szCs w:val="20"/>
        </w:rPr>
        <w:t>(15%)</w:t>
      </w:r>
      <w:r w:rsidR="006D24A7" w:rsidRPr="00147D0A">
        <w:rPr>
          <w:rFonts w:ascii="Arial Hebrew" w:hAnsi="Arial Hebrew" w:cs="Arial Hebrew" w:hint="cs"/>
          <w:i/>
          <w:iCs/>
          <w:sz w:val="20"/>
          <w:szCs w:val="20"/>
        </w:rPr>
        <w:t>:</w:t>
      </w:r>
      <w:r w:rsidRPr="00147D0A">
        <w:rPr>
          <w:rFonts w:ascii="Arial Hebrew" w:hAnsi="Arial Hebrew" w:cs="Arial Hebrew" w:hint="cs"/>
          <w:sz w:val="20"/>
          <w:szCs w:val="20"/>
        </w:rPr>
        <w:t xml:space="preserve"> </w:t>
      </w:r>
      <w:r w:rsidR="00E1550D" w:rsidRPr="00147D0A">
        <w:rPr>
          <w:rFonts w:ascii="Arial Hebrew" w:hAnsi="Arial Hebrew" w:cs="Arial Hebrew" w:hint="cs"/>
          <w:sz w:val="20"/>
          <w:szCs w:val="20"/>
        </w:rPr>
        <w:t xml:space="preserve">the </w:t>
      </w:r>
      <w:r w:rsidR="006D24A7" w:rsidRPr="00147D0A">
        <w:rPr>
          <w:rFonts w:ascii="Arial Hebrew" w:hAnsi="Arial Hebrew" w:cs="Arial Hebrew" w:hint="cs"/>
          <w:sz w:val="20"/>
          <w:szCs w:val="20"/>
        </w:rPr>
        <w:t>strength and transparency of fiscal planning and budget management</w:t>
      </w:r>
      <w:r w:rsidR="00B70951" w:rsidRPr="00147D0A">
        <w:rPr>
          <w:rFonts w:ascii="Arial Hebrew" w:hAnsi="Arial Hebrew" w:cs="Arial Hebrew" w:hint="cs"/>
          <w:sz w:val="20"/>
          <w:szCs w:val="20"/>
        </w:rPr>
        <w:t>.</w:t>
      </w:r>
      <w:r w:rsidR="006D24A7" w:rsidRPr="00147D0A">
        <w:rPr>
          <w:rFonts w:ascii="Arial Hebrew" w:hAnsi="Arial Hebrew" w:cs="Arial Hebrew" w:hint="cs"/>
          <w:sz w:val="20"/>
          <w:szCs w:val="20"/>
        </w:rPr>
        <w:t xml:space="preserve"> </w:t>
      </w:r>
    </w:p>
    <w:p w14:paraId="0DEC8222" w14:textId="25298577" w:rsidR="00BF244C" w:rsidRPr="00147D0A" w:rsidRDefault="00BF244C" w:rsidP="00BF244C">
      <w:pPr>
        <w:pStyle w:val="ListParagraph"/>
        <w:numPr>
          <w:ilvl w:val="0"/>
          <w:numId w:val="10"/>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Financial Performance (</w:t>
      </w:r>
      <w:r w:rsidR="006D24A7" w:rsidRPr="00147D0A">
        <w:rPr>
          <w:rFonts w:ascii="Arial Hebrew" w:hAnsi="Arial Hebrew" w:cs="Arial Hebrew" w:hint="cs"/>
          <w:b/>
          <w:bCs/>
          <w:sz w:val="20"/>
          <w:szCs w:val="20"/>
        </w:rPr>
        <w:t>2</w:t>
      </w:r>
      <w:r w:rsidRPr="00147D0A">
        <w:rPr>
          <w:rFonts w:ascii="Arial Hebrew" w:hAnsi="Arial Hebrew" w:cs="Arial Hebrew" w:hint="cs"/>
          <w:b/>
          <w:bCs/>
          <w:sz w:val="20"/>
          <w:szCs w:val="20"/>
        </w:rPr>
        <w:t>0%):</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Operating margin</w:t>
      </w:r>
      <w:r w:rsidRPr="00147D0A">
        <w:rPr>
          <w:rFonts w:ascii="Arial Hebrew" w:hAnsi="Arial Hebrew" w:cs="Arial Hebrew" w:hint="cs"/>
          <w:sz w:val="20"/>
          <w:szCs w:val="20"/>
        </w:rPr>
        <w:t xml:space="preserve"> (</w:t>
      </w:r>
      <w:r w:rsidR="006D24A7" w:rsidRPr="00147D0A">
        <w:rPr>
          <w:rFonts w:ascii="Arial Hebrew" w:hAnsi="Arial Hebrew" w:cs="Arial Hebrew" w:hint="cs"/>
          <w:sz w:val="20"/>
          <w:szCs w:val="20"/>
        </w:rPr>
        <w:t>10%</w:t>
      </w:r>
      <w:r w:rsidRPr="00147D0A">
        <w:rPr>
          <w:rFonts w:ascii="Arial Hebrew" w:hAnsi="Arial Hebrew" w:cs="Arial Hebrew" w:hint="cs"/>
          <w:sz w:val="20"/>
          <w:szCs w:val="20"/>
        </w:rPr>
        <w:t xml:space="preserve">), </w:t>
      </w:r>
      <w:r w:rsidR="006D24A7" w:rsidRPr="00147D0A">
        <w:rPr>
          <w:rFonts w:ascii="Arial Hebrew" w:hAnsi="Arial Hebrew" w:cs="Arial Hebrew" w:hint="cs"/>
          <w:i/>
          <w:iCs/>
          <w:sz w:val="20"/>
          <w:szCs w:val="20"/>
        </w:rPr>
        <w:t xml:space="preserve">liquidity ratio </w:t>
      </w:r>
      <w:r w:rsidR="006D24A7" w:rsidRPr="00147D0A">
        <w:rPr>
          <w:rFonts w:ascii="Arial Hebrew" w:hAnsi="Arial Hebrew" w:cs="Arial Hebrew" w:hint="cs"/>
          <w:sz w:val="20"/>
          <w:szCs w:val="20"/>
        </w:rPr>
        <w:t>(5%),</w:t>
      </w:r>
      <w:r w:rsidR="006D24A7" w:rsidRPr="00147D0A">
        <w:rPr>
          <w:rFonts w:ascii="Arial Hebrew" w:hAnsi="Arial Hebrew" w:cs="Arial Hebrew" w:hint="cs"/>
          <w:i/>
          <w:iCs/>
          <w:sz w:val="20"/>
          <w:szCs w:val="20"/>
        </w:rPr>
        <w:t xml:space="preserve"> ease of access to funding </w:t>
      </w:r>
      <w:r w:rsidR="006D24A7" w:rsidRPr="00147D0A">
        <w:rPr>
          <w:rFonts w:ascii="Arial Hebrew" w:hAnsi="Arial Hebrew" w:cs="Arial Hebrew" w:hint="cs"/>
          <w:sz w:val="20"/>
          <w:szCs w:val="20"/>
        </w:rPr>
        <w:t>(5%)</w:t>
      </w:r>
      <w:r w:rsidR="00B70951"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4548FFE8" w14:textId="599ABBDC" w:rsidR="00BF244C" w:rsidRPr="00147D0A" w:rsidRDefault="00410681" w:rsidP="00BF244C">
      <w:pPr>
        <w:pStyle w:val="ListParagraph"/>
        <w:numPr>
          <w:ilvl w:val="0"/>
          <w:numId w:val="10"/>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Leverage</w:t>
      </w:r>
      <w:r w:rsidR="00BF244C" w:rsidRPr="00147D0A">
        <w:rPr>
          <w:rFonts w:ascii="Arial Hebrew" w:hAnsi="Arial Hebrew" w:cs="Arial Hebrew" w:hint="cs"/>
          <w:b/>
          <w:bCs/>
          <w:sz w:val="20"/>
          <w:szCs w:val="20"/>
        </w:rPr>
        <w:t xml:space="preserve"> (</w:t>
      </w:r>
      <w:r w:rsidRPr="00147D0A">
        <w:rPr>
          <w:rFonts w:ascii="Arial Hebrew" w:hAnsi="Arial Hebrew" w:cs="Arial Hebrew" w:hint="cs"/>
          <w:b/>
          <w:bCs/>
          <w:sz w:val="20"/>
          <w:szCs w:val="20"/>
        </w:rPr>
        <w:t>25</w:t>
      </w:r>
      <w:r w:rsidR="00BF244C" w:rsidRPr="00147D0A">
        <w:rPr>
          <w:rFonts w:ascii="Arial Hebrew" w:hAnsi="Arial Hebrew" w:cs="Arial Hebrew" w:hint="cs"/>
          <w:b/>
          <w:bCs/>
          <w:sz w:val="20"/>
          <w:szCs w:val="20"/>
        </w:rPr>
        <w:t>%):</w:t>
      </w:r>
      <w:r w:rsidR="00BF244C"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Debt burden</w:t>
      </w:r>
      <w:r w:rsidRPr="00147D0A">
        <w:rPr>
          <w:rFonts w:ascii="Arial Hebrew" w:hAnsi="Arial Hebrew" w:cs="Arial Hebrew" w:hint="cs"/>
          <w:sz w:val="20"/>
          <w:szCs w:val="20"/>
        </w:rPr>
        <w:t xml:space="preserve"> (15%) and </w:t>
      </w:r>
      <w:r w:rsidRPr="00147D0A">
        <w:rPr>
          <w:rFonts w:ascii="Arial Hebrew" w:hAnsi="Arial Hebrew" w:cs="Arial Hebrew" w:hint="cs"/>
          <w:i/>
          <w:iCs/>
          <w:sz w:val="20"/>
          <w:szCs w:val="20"/>
        </w:rPr>
        <w:t>interest burden</w:t>
      </w:r>
      <w:r w:rsidRPr="00147D0A">
        <w:rPr>
          <w:rFonts w:ascii="Arial Hebrew" w:hAnsi="Arial Hebrew" w:cs="Arial Hebrew" w:hint="cs"/>
          <w:sz w:val="20"/>
          <w:szCs w:val="20"/>
        </w:rPr>
        <w:t xml:space="preserve"> (10%)</w:t>
      </w:r>
      <w:r w:rsidR="003C399F" w:rsidRPr="00147D0A">
        <w:rPr>
          <w:rFonts w:ascii="Arial Hebrew" w:hAnsi="Arial Hebrew" w:cs="Arial Hebrew" w:hint="cs"/>
          <w:sz w:val="20"/>
          <w:szCs w:val="20"/>
        </w:rPr>
        <w:t>,</w:t>
      </w:r>
      <w:r w:rsidR="00107BBA" w:rsidRPr="00147D0A">
        <w:rPr>
          <w:rFonts w:ascii="Arial Hebrew" w:hAnsi="Arial Hebrew" w:cs="Arial Hebrew" w:hint="cs"/>
          <w:sz w:val="20"/>
          <w:szCs w:val="20"/>
        </w:rPr>
        <w:t xml:space="preserve"> as</w:t>
      </w:r>
      <w:r w:rsidRPr="00147D0A">
        <w:rPr>
          <w:rFonts w:ascii="Arial Hebrew" w:hAnsi="Arial Hebrew" w:cs="Arial Hebrew" w:hint="cs"/>
          <w:sz w:val="20"/>
          <w:szCs w:val="20"/>
        </w:rPr>
        <w:t xml:space="preserve"> ratios to operating revenue.</w:t>
      </w:r>
      <w:r w:rsidR="00BF244C" w:rsidRPr="00147D0A">
        <w:rPr>
          <w:rFonts w:ascii="Arial Hebrew" w:hAnsi="Arial Hebrew" w:cs="Arial Hebrew" w:hint="cs"/>
          <w:sz w:val="20"/>
          <w:szCs w:val="20"/>
        </w:rPr>
        <w:t xml:space="preserve"> </w:t>
      </w:r>
    </w:p>
    <w:p w14:paraId="47E67D17" w14:textId="77777777" w:rsidR="004721C3" w:rsidRPr="00147D0A" w:rsidRDefault="00BF244C" w:rsidP="00E1550D">
      <w:p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preliminary </w:t>
      </w:r>
      <w:r w:rsidRPr="00147D0A">
        <w:rPr>
          <w:rFonts w:ascii="Arial Hebrew" w:hAnsi="Arial Hebrew" w:cs="Arial Hebrew" w:hint="cs"/>
          <w:b/>
          <w:bCs/>
          <w:sz w:val="20"/>
          <w:szCs w:val="20"/>
        </w:rPr>
        <w:t xml:space="preserve">Baseline Credit </w:t>
      </w:r>
      <w:r w:rsidR="007144CE" w:rsidRPr="00147D0A">
        <w:rPr>
          <w:rFonts w:ascii="Arial Hebrew" w:hAnsi="Arial Hebrew" w:cs="Arial Hebrew" w:hint="cs"/>
          <w:b/>
          <w:bCs/>
          <w:sz w:val="20"/>
          <w:szCs w:val="20"/>
        </w:rPr>
        <w:t>Assessment</w:t>
      </w:r>
      <w:r w:rsidR="007144CE" w:rsidRPr="00147D0A">
        <w:rPr>
          <w:rFonts w:ascii="Arial Hebrew" w:hAnsi="Arial Hebrew" w:cs="Arial Hebrew" w:hint="cs"/>
          <w:sz w:val="20"/>
          <w:szCs w:val="20"/>
        </w:rPr>
        <w:t xml:space="preserve"> is </w:t>
      </w:r>
      <w:r w:rsidR="00410681" w:rsidRPr="00147D0A">
        <w:rPr>
          <w:rFonts w:ascii="Arial Hebrew" w:hAnsi="Arial Hebrew" w:cs="Arial Hebrew" w:hint="cs"/>
          <w:sz w:val="20"/>
          <w:szCs w:val="20"/>
        </w:rPr>
        <w:t xml:space="preserve">then </w:t>
      </w:r>
      <w:r w:rsidR="007144CE" w:rsidRPr="00147D0A">
        <w:rPr>
          <w:rFonts w:ascii="Arial Hebrew" w:hAnsi="Arial Hebrew" w:cs="Arial Hebrew" w:hint="cs"/>
          <w:sz w:val="20"/>
          <w:szCs w:val="20"/>
        </w:rPr>
        <w:t>adjusted according to</w:t>
      </w:r>
      <w:r w:rsidR="004721C3" w:rsidRPr="00147D0A">
        <w:rPr>
          <w:rFonts w:ascii="Arial Hebrew" w:hAnsi="Arial Hebrew" w:cs="Arial Hebrew" w:hint="cs"/>
          <w:sz w:val="20"/>
          <w:szCs w:val="20"/>
        </w:rPr>
        <w:t>:</w:t>
      </w:r>
    </w:p>
    <w:p w14:paraId="36CAAE0B" w14:textId="4E00692B" w:rsidR="004721C3" w:rsidRPr="00147D0A" w:rsidRDefault="00410681" w:rsidP="004721C3">
      <w:pPr>
        <w:pStyle w:val="ListParagraph"/>
        <w:numPr>
          <w:ilvl w:val="0"/>
          <w:numId w:val="19"/>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three </w:t>
      </w:r>
      <w:r w:rsidR="007144CE" w:rsidRPr="00147D0A">
        <w:rPr>
          <w:rFonts w:ascii="Arial Hebrew" w:hAnsi="Arial Hebrew" w:cs="Arial Hebrew" w:hint="cs"/>
          <w:b/>
          <w:bCs/>
          <w:i/>
          <w:iCs/>
          <w:sz w:val="20"/>
          <w:szCs w:val="20"/>
        </w:rPr>
        <w:t>Idiosyncratic Notching Factors</w:t>
      </w:r>
      <w:r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Pr="00147D0A">
        <w:rPr>
          <w:rFonts w:ascii="Arial Hebrew" w:hAnsi="Arial Hebrew" w:cs="Arial Hebrew" w:hint="cs"/>
          <w:i/>
          <w:iCs/>
          <w:sz w:val="20"/>
          <w:szCs w:val="20"/>
        </w:rPr>
        <w:t>Significant Pressures from Material Pension Obligations or Contingent Liabilities</w:t>
      </w:r>
      <w:r w:rsidRPr="00147D0A">
        <w:rPr>
          <w:rFonts w:ascii="Arial Hebrew" w:hAnsi="Arial Hebrew" w:cs="Arial Hebrew" w:hint="cs"/>
          <w:sz w:val="20"/>
          <w:szCs w:val="20"/>
        </w:rPr>
        <w:t xml:space="preserve"> (</w:t>
      </w:r>
      <w:r w:rsidR="0045429E" w:rsidRPr="00147D0A">
        <w:rPr>
          <w:rFonts w:ascii="Arial Hebrew" w:hAnsi="Arial Hebrew" w:cs="Arial Hebrew" w:hint="cs"/>
          <w:sz w:val="20"/>
          <w:szCs w:val="20"/>
        </w:rPr>
        <w:t>negative</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Ample Liquidity that Minimizes Borrowing Needs</w:t>
      </w:r>
      <w:r w:rsidRPr="00147D0A">
        <w:rPr>
          <w:rFonts w:ascii="Arial Hebrew" w:hAnsi="Arial Hebrew" w:cs="Arial Hebrew" w:hint="cs"/>
          <w:sz w:val="20"/>
          <w:szCs w:val="20"/>
        </w:rPr>
        <w:t xml:space="preserve"> (</w:t>
      </w:r>
      <w:r w:rsidR="0045429E" w:rsidRPr="00147D0A">
        <w:rPr>
          <w:rFonts w:ascii="Arial Hebrew" w:hAnsi="Arial Hebrew" w:cs="Arial Hebrew" w:hint="cs"/>
          <w:sz w:val="20"/>
          <w:szCs w:val="20"/>
        </w:rPr>
        <w:t>positive</w:t>
      </w:r>
      <w:r w:rsidRPr="00147D0A">
        <w:rPr>
          <w:rFonts w:ascii="Arial Hebrew" w:hAnsi="Arial Hebrew" w:cs="Arial Hebrew" w:hint="cs"/>
          <w:sz w:val="20"/>
          <w:szCs w:val="20"/>
        </w:rPr>
        <w:t xml:space="preserve">) and </w:t>
      </w:r>
      <w:r w:rsidRPr="00147D0A">
        <w:rPr>
          <w:rFonts w:ascii="Arial Hebrew" w:hAnsi="Arial Hebrew" w:cs="Arial Hebrew" w:hint="cs"/>
          <w:i/>
          <w:iCs/>
          <w:sz w:val="20"/>
          <w:szCs w:val="20"/>
        </w:rPr>
        <w:t>Expected Trend in Fiscal Performance</w:t>
      </w:r>
      <w:r w:rsidR="004721C3" w:rsidRPr="00147D0A">
        <w:rPr>
          <w:rFonts w:ascii="Arial Hebrew" w:hAnsi="Arial Hebrew" w:cs="Arial Hebrew" w:hint="cs"/>
          <w:sz w:val="20"/>
          <w:szCs w:val="20"/>
        </w:rPr>
        <w:t xml:space="preserve"> </w:t>
      </w:r>
      <w:r w:rsidRPr="00147D0A">
        <w:rPr>
          <w:rFonts w:ascii="Arial Hebrew" w:hAnsi="Arial Hebrew" w:cs="Arial Hebrew" w:hint="cs"/>
          <w:sz w:val="20"/>
          <w:szCs w:val="20"/>
        </w:rPr>
        <w:t>(</w:t>
      </w:r>
      <w:r w:rsidR="0045429E" w:rsidRPr="00147D0A">
        <w:rPr>
          <w:rFonts w:ascii="Arial Hebrew" w:hAnsi="Arial Hebrew" w:cs="Arial Hebrew" w:hint="cs"/>
          <w:sz w:val="20"/>
          <w:szCs w:val="20"/>
        </w:rPr>
        <w:t>negative or positive</w:t>
      </w:r>
      <w:r w:rsidRPr="00147D0A">
        <w:rPr>
          <w:rFonts w:ascii="Arial Hebrew" w:hAnsi="Arial Hebrew" w:cs="Arial Hebrew" w:hint="cs"/>
          <w:sz w:val="20"/>
          <w:szCs w:val="20"/>
        </w:rPr>
        <w:t>)</w:t>
      </w:r>
      <w:r w:rsidR="006448A9"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107BBA" w:rsidRPr="00147D0A">
        <w:rPr>
          <w:rFonts w:ascii="Arial Hebrew" w:hAnsi="Arial Hebrew" w:cs="Arial Hebrew" w:hint="cs"/>
          <w:sz w:val="20"/>
          <w:szCs w:val="20"/>
        </w:rPr>
        <w:t>and</w:t>
      </w:r>
    </w:p>
    <w:p w14:paraId="4D7A486C" w14:textId="3295CA9B" w:rsidR="004721C3" w:rsidRPr="00147D0A" w:rsidRDefault="00410681" w:rsidP="004721C3">
      <w:pPr>
        <w:pStyle w:val="ListParagraph"/>
        <w:numPr>
          <w:ilvl w:val="0"/>
          <w:numId w:val="19"/>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a </w:t>
      </w:r>
      <w:r w:rsidRPr="00147D0A">
        <w:rPr>
          <w:rFonts w:ascii="Arial Hebrew" w:hAnsi="Arial Hebrew" w:cs="Arial Hebrew" w:hint="cs"/>
          <w:b/>
          <w:bCs/>
          <w:i/>
          <w:iCs/>
          <w:sz w:val="20"/>
          <w:szCs w:val="20"/>
        </w:rPr>
        <w:t>Macro Operating Assessment</w:t>
      </w:r>
      <w:r w:rsidRPr="00147D0A">
        <w:rPr>
          <w:rFonts w:ascii="Arial Hebrew" w:hAnsi="Arial Hebrew" w:cs="Arial Hebrew" w:hint="cs"/>
          <w:sz w:val="20"/>
          <w:szCs w:val="20"/>
        </w:rPr>
        <w:t xml:space="preserve"> </w:t>
      </w:r>
      <w:r w:rsidR="00C04AC6" w:rsidRPr="00147D0A">
        <w:rPr>
          <w:rFonts w:ascii="Arial Hebrew" w:hAnsi="Arial Hebrew" w:cs="Arial Hebrew" w:hint="cs"/>
          <w:sz w:val="20"/>
          <w:szCs w:val="20"/>
        </w:rPr>
        <w:t>incorporating two</w:t>
      </w:r>
      <w:r w:rsidR="00E1550D" w:rsidRPr="00147D0A">
        <w:rPr>
          <w:rFonts w:ascii="Arial Hebrew" w:hAnsi="Arial Hebrew" w:cs="Arial Hebrew" w:hint="cs"/>
          <w:sz w:val="20"/>
          <w:szCs w:val="20"/>
        </w:rPr>
        <w:t xml:space="preserve"> factor</w:t>
      </w:r>
      <w:r w:rsidR="00C04AC6" w:rsidRPr="00147D0A">
        <w:rPr>
          <w:rFonts w:ascii="Arial Hebrew" w:hAnsi="Arial Hebrew" w:cs="Arial Hebrew" w:hint="cs"/>
          <w:sz w:val="20"/>
          <w:szCs w:val="20"/>
        </w:rPr>
        <w:t>s</w:t>
      </w:r>
      <w:r w:rsidR="0045429E" w:rsidRPr="00147D0A">
        <w:rPr>
          <w:rFonts w:ascii="Arial Hebrew" w:hAnsi="Arial Hebrew" w:cs="Arial Hebrew" w:hint="cs"/>
          <w:sz w:val="20"/>
          <w:szCs w:val="20"/>
        </w:rPr>
        <w:t>:</w:t>
      </w:r>
      <w:r w:rsidR="00C04AC6" w:rsidRPr="00147D0A">
        <w:rPr>
          <w:rFonts w:ascii="Arial Hebrew" w:hAnsi="Arial Hebrew" w:cs="Arial Hebrew" w:hint="cs"/>
          <w:sz w:val="20"/>
          <w:szCs w:val="20"/>
        </w:rPr>
        <w:t xml:space="preserve"> one</w:t>
      </w:r>
      <w:r w:rsidR="00E1550D" w:rsidRPr="00147D0A">
        <w:rPr>
          <w:rFonts w:ascii="Arial Hebrew" w:hAnsi="Arial Hebrew" w:cs="Arial Hebrew" w:hint="cs"/>
          <w:sz w:val="20"/>
          <w:szCs w:val="20"/>
        </w:rPr>
        <w:t xml:space="preserve"> </w:t>
      </w:r>
      <w:r w:rsidR="004721C3" w:rsidRPr="00147D0A">
        <w:rPr>
          <w:rFonts w:ascii="Arial Hebrew" w:hAnsi="Arial Hebrew" w:cs="Arial Hebrew" w:hint="cs"/>
          <w:sz w:val="20"/>
          <w:szCs w:val="20"/>
        </w:rPr>
        <w:t>for the influence of the Sovereign Rating on the Sub-sovereign</w:t>
      </w:r>
      <w:r w:rsidR="00E1550D" w:rsidRPr="00147D0A">
        <w:rPr>
          <w:rFonts w:ascii="Arial Hebrew" w:hAnsi="Arial Hebrew" w:cs="Arial Hebrew" w:hint="cs"/>
          <w:sz w:val="20"/>
          <w:szCs w:val="20"/>
        </w:rPr>
        <w:t>;</w:t>
      </w:r>
      <w:r w:rsidR="004721C3" w:rsidRPr="00147D0A">
        <w:rPr>
          <w:rFonts w:ascii="Arial Hebrew" w:hAnsi="Arial Hebrew" w:cs="Arial Hebrew" w:hint="cs"/>
          <w:sz w:val="20"/>
          <w:szCs w:val="20"/>
        </w:rPr>
        <w:t xml:space="preserve"> and </w:t>
      </w:r>
      <w:r w:rsidR="00E1550D" w:rsidRPr="00147D0A">
        <w:rPr>
          <w:rFonts w:ascii="Arial Hebrew" w:hAnsi="Arial Hebrew" w:cs="Arial Hebrew" w:hint="cs"/>
          <w:sz w:val="20"/>
          <w:szCs w:val="20"/>
        </w:rPr>
        <w:t>an</w:t>
      </w:r>
      <w:r w:rsidR="004721C3" w:rsidRPr="00147D0A">
        <w:rPr>
          <w:rFonts w:ascii="Arial Hebrew" w:hAnsi="Arial Hebrew" w:cs="Arial Hebrew" w:hint="cs"/>
          <w:sz w:val="20"/>
          <w:szCs w:val="20"/>
        </w:rPr>
        <w:t xml:space="preserve"> </w:t>
      </w:r>
      <w:r w:rsidR="004721C3" w:rsidRPr="00147D0A">
        <w:rPr>
          <w:rFonts w:ascii="Arial Hebrew" w:hAnsi="Arial Hebrew" w:cs="Arial Hebrew" w:hint="cs"/>
          <w:i/>
          <w:iCs/>
          <w:sz w:val="20"/>
          <w:szCs w:val="20"/>
        </w:rPr>
        <w:t>Operating Environment</w:t>
      </w:r>
      <w:r w:rsidR="00E1550D" w:rsidRPr="00147D0A">
        <w:rPr>
          <w:rFonts w:ascii="Arial Hebrew" w:hAnsi="Arial Hebrew" w:cs="Arial Hebrew" w:hint="cs"/>
          <w:sz w:val="20"/>
          <w:szCs w:val="20"/>
        </w:rPr>
        <w:t xml:space="preserve"> factor </w:t>
      </w:r>
      <w:r w:rsidR="006448A9" w:rsidRPr="00147D0A">
        <w:rPr>
          <w:rFonts w:ascii="Arial Hebrew" w:hAnsi="Arial Hebrew" w:cs="Arial Hebrew" w:hint="cs"/>
          <w:sz w:val="20"/>
          <w:szCs w:val="20"/>
        </w:rPr>
        <w:t>that considers</w:t>
      </w:r>
      <w:r w:rsidR="004721C3" w:rsidRPr="00147D0A">
        <w:rPr>
          <w:rFonts w:ascii="Arial Hebrew" w:hAnsi="Arial Hebrew" w:cs="Arial Hebrew" w:hint="cs"/>
          <w:sz w:val="20"/>
          <w:szCs w:val="20"/>
        </w:rPr>
        <w:t xml:space="preserve"> the </w:t>
      </w:r>
      <w:r w:rsidR="00D63D25" w:rsidRPr="00147D0A">
        <w:rPr>
          <w:rFonts w:ascii="Arial Hebrew" w:hAnsi="Arial Hebrew" w:cs="Arial Hebrew" w:hint="cs"/>
          <w:sz w:val="20"/>
          <w:szCs w:val="20"/>
        </w:rPr>
        <w:t xml:space="preserve">broader </w:t>
      </w:r>
      <w:r w:rsidR="004721C3" w:rsidRPr="00147D0A">
        <w:rPr>
          <w:rFonts w:ascii="Arial Hebrew" w:hAnsi="Arial Hebrew" w:cs="Arial Hebrew" w:hint="cs"/>
          <w:sz w:val="20"/>
          <w:szCs w:val="20"/>
        </w:rPr>
        <w:t>macroeconomic environment</w:t>
      </w:r>
      <w:r w:rsidR="00D63D25" w:rsidRPr="00147D0A">
        <w:rPr>
          <w:rFonts w:ascii="Arial Hebrew" w:hAnsi="Arial Hebrew" w:cs="Arial Hebrew" w:hint="cs"/>
          <w:sz w:val="20"/>
          <w:szCs w:val="20"/>
        </w:rPr>
        <w:t xml:space="preserve"> and</w:t>
      </w:r>
      <w:r w:rsidR="004721C3" w:rsidRPr="00147D0A">
        <w:rPr>
          <w:rFonts w:ascii="Arial Hebrew" w:hAnsi="Arial Hebrew" w:cs="Arial Hebrew" w:hint="cs"/>
          <w:sz w:val="20"/>
          <w:szCs w:val="20"/>
        </w:rPr>
        <w:t xml:space="preserve"> institutional framework a</w:t>
      </w:r>
      <w:r w:rsidR="00D63D25" w:rsidRPr="00147D0A">
        <w:rPr>
          <w:rFonts w:ascii="Arial Hebrew" w:hAnsi="Arial Hebrew" w:cs="Arial Hebrew" w:hint="cs"/>
          <w:sz w:val="20"/>
          <w:szCs w:val="20"/>
        </w:rPr>
        <w:t>long with</w:t>
      </w:r>
      <w:r w:rsidR="004721C3" w:rsidRPr="00147D0A">
        <w:rPr>
          <w:rFonts w:ascii="Arial Hebrew" w:hAnsi="Arial Hebrew" w:cs="Arial Hebrew" w:hint="cs"/>
          <w:sz w:val="20"/>
          <w:szCs w:val="20"/>
        </w:rPr>
        <w:t xml:space="preserve"> the extent of ordinary support from higher tier</w:t>
      </w:r>
      <w:r w:rsidR="00E1550D" w:rsidRPr="00147D0A">
        <w:rPr>
          <w:rFonts w:ascii="Arial Hebrew" w:hAnsi="Arial Hebrew" w:cs="Arial Hebrew" w:hint="cs"/>
          <w:sz w:val="20"/>
          <w:szCs w:val="20"/>
        </w:rPr>
        <w:t>s</w:t>
      </w:r>
      <w:r w:rsidR="004721C3" w:rsidRPr="00147D0A">
        <w:rPr>
          <w:rFonts w:ascii="Arial Hebrew" w:hAnsi="Arial Hebrew" w:cs="Arial Hebrew" w:hint="cs"/>
          <w:sz w:val="20"/>
          <w:szCs w:val="20"/>
        </w:rPr>
        <w:t xml:space="preserve"> of government</w:t>
      </w:r>
      <w:r w:rsidR="00E1550D" w:rsidRPr="00147D0A">
        <w:rPr>
          <w:rFonts w:ascii="Arial Hebrew" w:hAnsi="Arial Hebrew" w:cs="Arial Hebrew" w:hint="cs"/>
          <w:sz w:val="20"/>
          <w:szCs w:val="20"/>
        </w:rPr>
        <w:t>.</w:t>
      </w:r>
    </w:p>
    <w:p w14:paraId="54924A96" w14:textId="296E81ED" w:rsidR="00F817FC" w:rsidRPr="00147D0A" w:rsidRDefault="006D0C32" w:rsidP="00F817FC">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The resulting </w:t>
      </w:r>
      <w:r w:rsidRPr="00147D0A">
        <w:rPr>
          <w:rFonts w:ascii="Arial Hebrew" w:hAnsi="Arial Hebrew" w:cs="Arial Hebrew" w:hint="cs"/>
          <w:b/>
          <w:bCs/>
          <w:sz w:val="20"/>
          <w:szCs w:val="20"/>
        </w:rPr>
        <w:t>Baseline Credit Assessment</w:t>
      </w:r>
      <w:r w:rsidRPr="00147D0A">
        <w:rPr>
          <w:rFonts w:ascii="Arial Hebrew" w:hAnsi="Arial Hebrew" w:cs="Arial Hebrew" w:hint="cs"/>
          <w:sz w:val="20"/>
          <w:szCs w:val="20"/>
        </w:rPr>
        <w:t xml:space="preserve"> is </w:t>
      </w:r>
      <w:r w:rsidR="006448A9" w:rsidRPr="00147D0A">
        <w:rPr>
          <w:rFonts w:ascii="Arial Hebrew" w:hAnsi="Arial Hebrew" w:cs="Arial Hebrew" w:hint="cs"/>
          <w:sz w:val="20"/>
          <w:szCs w:val="20"/>
        </w:rPr>
        <w:t>evaluated together with</w:t>
      </w:r>
      <w:r w:rsidR="000E2CEE" w:rsidRPr="00147D0A">
        <w:rPr>
          <w:rFonts w:ascii="Arial Hebrew" w:hAnsi="Arial Hebrew" w:cs="Arial Hebrew" w:hint="cs"/>
          <w:sz w:val="20"/>
          <w:szCs w:val="20"/>
        </w:rPr>
        <w:t xml:space="preserve"> an assessment of </w:t>
      </w:r>
      <w:r w:rsidR="00EB0CB8" w:rsidRPr="00147D0A">
        <w:rPr>
          <w:rFonts w:ascii="Arial Hebrew" w:hAnsi="Arial Hebrew" w:cs="Arial Hebrew" w:hint="cs"/>
          <w:b/>
          <w:bCs/>
          <w:sz w:val="20"/>
          <w:szCs w:val="20"/>
        </w:rPr>
        <w:t>Extraordinary Support</w:t>
      </w:r>
      <w:r w:rsidR="00C04AC6" w:rsidRPr="00147D0A">
        <w:rPr>
          <w:rFonts w:ascii="Arial Hebrew" w:hAnsi="Arial Hebrew" w:cs="Arial Hebrew" w:hint="cs"/>
          <w:sz w:val="20"/>
          <w:szCs w:val="20"/>
        </w:rPr>
        <w:t>;</w:t>
      </w:r>
      <w:r w:rsidR="001A7076" w:rsidRPr="00147D0A">
        <w:rPr>
          <w:rFonts w:ascii="Arial Hebrew" w:hAnsi="Arial Hebrew" w:cs="Arial Hebrew" w:hint="cs"/>
          <w:sz w:val="20"/>
          <w:szCs w:val="20"/>
        </w:rPr>
        <w:t xml:space="preserve"> the willingness and ability</w:t>
      </w:r>
      <w:r w:rsidR="0064273A" w:rsidRPr="00147D0A">
        <w:rPr>
          <w:rFonts w:ascii="Arial Hebrew" w:hAnsi="Arial Hebrew" w:cs="Arial Hebrew" w:hint="cs"/>
          <w:sz w:val="20"/>
          <w:szCs w:val="20"/>
        </w:rPr>
        <w:t xml:space="preserve"> of a higher-tier government</w:t>
      </w:r>
      <w:r w:rsidR="001A7076" w:rsidRPr="00147D0A">
        <w:rPr>
          <w:rFonts w:ascii="Arial Hebrew" w:hAnsi="Arial Hebrew" w:cs="Arial Hebrew" w:hint="cs"/>
          <w:sz w:val="20"/>
          <w:szCs w:val="20"/>
        </w:rPr>
        <w:t xml:space="preserve"> to support an RLG in financial stress beyond ordinary</w:t>
      </w:r>
      <w:r w:rsidR="00D63D25" w:rsidRPr="00147D0A">
        <w:rPr>
          <w:rFonts w:ascii="Arial Hebrew" w:hAnsi="Arial Hebrew" w:cs="Arial Hebrew" w:hint="cs"/>
          <w:sz w:val="20"/>
          <w:szCs w:val="20"/>
        </w:rPr>
        <w:t xml:space="preserve"> </w:t>
      </w:r>
      <w:r w:rsidR="00C04AC6" w:rsidRPr="00147D0A">
        <w:rPr>
          <w:rFonts w:ascii="Arial Hebrew" w:hAnsi="Arial Hebrew" w:cs="Arial Hebrew" w:hint="cs"/>
          <w:sz w:val="20"/>
          <w:szCs w:val="20"/>
        </w:rPr>
        <w:t>level</w:t>
      </w:r>
      <w:r w:rsidR="00D63D25" w:rsidRPr="00147D0A">
        <w:rPr>
          <w:rFonts w:ascii="Arial Hebrew" w:hAnsi="Arial Hebrew" w:cs="Arial Hebrew" w:hint="cs"/>
          <w:sz w:val="20"/>
          <w:szCs w:val="20"/>
        </w:rPr>
        <w:t>s</w:t>
      </w:r>
      <w:r w:rsidR="005C5CD4" w:rsidRPr="00147D0A">
        <w:rPr>
          <w:rFonts w:ascii="Arial Hebrew" w:hAnsi="Arial Hebrew" w:cs="Arial Hebrew" w:hint="cs"/>
          <w:sz w:val="20"/>
          <w:szCs w:val="20"/>
        </w:rPr>
        <w:t>.</w:t>
      </w:r>
      <w:r w:rsidR="001A7076" w:rsidRPr="00147D0A">
        <w:rPr>
          <w:rFonts w:ascii="Arial Hebrew" w:hAnsi="Arial Hebrew" w:cs="Arial Hebrew" w:hint="cs"/>
          <w:sz w:val="20"/>
          <w:szCs w:val="20"/>
        </w:rPr>
        <w:t xml:space="preserve"> </w:t>
      </w:r>
      <w:r w:rsidR="00F817FC" w:rsidRPr="00147D0A">
        <w:rPr>
          <w:rFonts w:ascii="Arial Hebrew" w:hAnsi="Arial Hebrew" w:cs="Arial Hebrew" w:hint="cs"/>
          <w:sz w:val="20"/>
          <w:szCs w:val="20"/>
        </w:rPr>
        <w:t>Th</w:t>
      </w:r>
      <w:r w:rsidR="0045429E" w:rsidRPr="00147D0A">
        <w:rPr>
          <w:rFonts w:ascii="Arial Hebrew" w:hAnsi="Arial Hebrew" w:cs="Arial Hebrew" w:hint="cs"/>
          <w:sz w:val="20"/>
          <w:szCs w:val="20"/>
        </w:rPr>
        <w:t>e latter</w:t>
      </w:r>
      <w:r w:rsidR="00DC7009" w:rsidRPr="00147D0A">
        <w:rPr>
          <w:rFonts w:ascii="Arial Hebrew" w:hAnsi="Arial Hebrew" w:cs="Arial Hebrew" w:hint="cs"/>
          <w:sz w:val="20"/>
          <w:szCs w:val="20"/>
        </w:rPr>
        <w:t xml:space="preserve"> </w:t>
      </w:r>
      <w:r w:rsidR="00F817FC" w:rsidRPr="00147D0A">
        <w:rPr>
          <w:rFonts w:ascii="Arial Hebrew" w:hAnsi="Arial Hebrew" w:cs="Arial Hebrew" w:hint="cs"/>
          <w:sz w:val="20"/>
          <w:szCs w:val="20"/>
        </w:rPr>
        <w:t>assessment</w:t>
      </w:r>
      <w:r w:rsidR="00DC7009" w:rsidRPr="00147D0A">
        <w:rPr>
          <w:rFonts w:ascii="Arial Hebrew" w:hAnsi="Arial Hebrew" w:cs="Arial Hebrew" w:hint="cs"/>
          <w:sz w:val="20"/>
          <w:szCs w:val="20"/>
        </w:rPr>
        <w:t xml:space="preserve"> </w:t>
      </w:r>
      <w:r w:rsidR="003C399F" w:rsidRPr="00147D0A">
        <w:rPr>
          <w:rFonts w:ascii="Arial Hebrew" w:hAnsi="Arial Hebrew" w:cs="Arial Hebrew" w:hint="cs"/>
          <w:sz w:val="20"/>
          <w:szCs w:val="20"/>
        </w:rPr>
        <w:t>is primarily</w:t>
      </w:r>
      <w:r w:rsidR="00F817FC" w:rsidRPr="00147D0A">
        <w:rPr>
          <w:rFonts w:ascii="Arial Hebrew" w:hAnsi="Arial Hebrew" w:cs="Arial Hebrew" w:hint="cs"/>
          <w:sz w:val="20"/>
          <w:szCs w:val="20"/>
        </w:rPr>
        <w:t xml:space="preserve"> based</w:t>
      </w:r>
      <w:r w:rsidR="00D63D25" w:rsidRPr="00147D0A">
        <w:rPr>
          <w:rFonts w:ascii="Arial Hebrew" w:hAnsi="Arial Hebrew" w:cs="Arial Hebrew" w:hint="cs"/>
          <w:sz w:val="20"/>
          <w:szCs w:val="20"/>
        </w:rPr>
        <w:t xml:space="preserve"> </w:t>
      </w:r>
      <w:r w:rsidR="00F817FC" w:rsidRPr="00147D0A">
        <w:rPr>
          <w:rFonts w:ascii="Arial Hebrew" w:hAnsi="Arial Hebrew" w:cs="Arial Hebrew" w:hint="cs"/>
          <w:sz w:val="20"/>
          <w:szCs w:val="20"/>
        </w:rPr>
        <w:t>on f</w:t>
      </w:r>
      <w:r w:rsidR="0041544A" w:rsidRPr="00147D0A">
        <w:rPr>
          <w:rFonts w:ascii="Arial Hebrew" w:hAnsi="Arial Hebrew" w:cs="Arial Hebrew" w:hint="cs"/>
          <w:sz w:val="20"/>
          <w:szCs w:val="20"/>
        </w:rPr>
        <w:t>ive</w:t>
      </w:r>
      <w:r w:rsidR="00F817FC" w:rsidRPr="00147D0A">
        <w:rPr>
          <w:rFonts w:ascii="Arial Hebrew" w:hAnsi="Arial Hebrew" w:cs="Arial Hebrew" w:hint="cs"/>
          <w:sz w:val="20"/>
          <w:szCs w:val="20"/>
        </w:rPr>
        <w:t xml:space="preserve"> factors:</w:t>
      </w:r>
      <w:r w:rsidR="00D63D25" w:rsidRPr="00147D0A">
        <w:rPr>
          <w:rStyle w:val="FootnoteReference"/>
          <w:rFonts w:ascii="Arial Hebrew" w:hAnsi="Arial Hebrew" w:cs="Arial Hebrew" w:hint="cs"/>
          <w:sz w:val="20"/>
          <w:szCs w:val="20"/>
        </w:rPr>
        <w:footnoteReference w:id="4"/>
      </w:r>
      <w:r w:rsidR="00F817FC" w:rsidRPr="00147D0A">
        <w:rPr>
          <w:rFonts w:ascii="Arial Hebrew" w:hAnsi="Arial Hebrew" w:cs="Arial Hebrew" w:hint="cs"/>
          <w:sz w:val="20"/>
          <w:szCs w:val="20"/>
        </w:rPr>
        <w:t xml:space="preserve"> </w:t>
      </w:r>
    </w:p>
    <w:p w14:paraId="7B9046F9" w14:textId="4817B3F7" w:rsidR="00F817FC" w:rsidRPr="00147D0A" w:rsidRDefault="00F817FC" w:rsidP="00F817FC">
      <w:pPr>
        <w:pStyle w:val="ListParagraph"/>
        <w:numPr>
          <w:ilvl w:val="0"/>
          <w:numId w:val="34"/>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Legal Framework / Policy</w:t>
      </w:r>
      <w:r w:rsidRPr="00147D0A">
        <w:rPr>
          <w:rFonts w:ascii="Arial Hebrew" w:hAnsi="Arial Hebrew" w:cs="Arial Hebrew" w:hint="cs"/>
          <w:sz w:val="20"/>
          <w:szCs w:val="20"/>
        </w:rPr>
        <w:t>:</w:t>
      </w:r>
      <w:r w:rsidRPr="00147D0A">
        <w:rPr>
          <w:rFonts w:ascii="Arial Hebrew" w:hAnsi="Arial Hebrew" w:cs="Arial Hebrew" w:hint="cs"/>
          <w:b/>
          <w:bCs/>
          <w:sz w:val="20"/>
          <w:szCs w:val="20"/>
        </w:rPr>
        <w:t xml:space="preserve"> </w:t>
      </w:r>
      <w:r w:rsidR="00D63D25" w:rsidRPr="00147D0A">
        <w:rPr>
          <w:rFonts w:ascii="Arial Hebrew" w:hAnsi="Arial Hebrew" w:cs="Arial Hebrew" w:hint="cs"/>
          <w:sz w:val="20"/>
          <w:szCs w:val="20"/>
        </w:rPr>
        <w:t xml:space="preserve">the </w:t>
      </w:r>
      <w:r w:rsidR="00C04AC6" w:rsidRPr="00147D0A">
        <w:rPr>
          <w:rFonts w:ascii="Arial Hebrew" w:hAnsi="Arial Hebrew" w:cs="Arial Hebrew" w:hint="cs"/>
          <w:sz w:val="20"/>
          <w:szCs w:val="20"/>
        </w:rPr>
        <w:t>i</w:t>
      </w:r>
      <w:r w:rsidRPr="00147D0A">
        <w:rPr>
          <w:rFonts w:ascii="Arial Hebrew" w:hAnsi="Arial Hebrew" w:cs="Arial Hebrew" w:hint="cs"/>
          <w:sz w:val="20"/>
          <w:szCs w:val="20"/>
        </w:rPr>
        <w:t xml:space="preserve">nstitutional requirements for </w:t>
      </w:r>
      <w:r w:rsidR="00D63D25" w:rsidRPr="00147D0A">
        <w:rPr>
          <w:rFonts w:ascii="Arial Hebrew" w:hAnsi="Arial Hebrew" w:cs="Arial Hebrew" w:hint="cs"/>
          <w:sz w:val="20"/>
          <w:szCs w:val="20"/>
        </w:rPr>
        <w:t>(</w:t>
      </w:r>
      <w:r w:rsidRPr="00147D0A">
        <w:rPr>
          <w:rFonts w:ascii="Arial Hebrew" w:hAnsi="Arial Hebrew" w:cs="Arial Hebrew" w:hint="cs"/>
          <w:sz w:val="20"/>
          <w:szCs w:val="20"/>
        </w:rPr>
        <w:t>or barriers to</w:t>
      </w:r>
      <w:r w:rsidR="00D63D25" w:rsidRPr="00147D0A">
        <w:rPr>
          <w:rFonts w:ascii="Arial Hebrew" w:hAnsi="Arial Hebrew" w:cs="Arial Hebrew" w:hint="cs"/>
          <w:sz w:val="20"/>
          <w:szCs w:val="20"/>
        </w:rPr>
        <w:t>) a</w:t>
      </w:r>
      <w:r w:rsidRPr="00147D0A">
        <w:rPr>
          <w:rFonts w:ascii="Arial Hebrew" w:hAnsi="Arial Hebrew" w:cs="Arial Hebrew" w:hint="cs"/>
          <w:sz w:val="20"/>
          <w:szCs w:val="20"/>
        </w:rPr>
        <w:t xml:space="preserve"> higher-tier government providing support</w:t>
      </w:r>
      <w:r w:rsidR="00D63D25"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747F62DB" w14:textId="505FE1DF" w:rsidR="00F817FC" w:rsidRPr="00147D0A" w:rsidRDefault="00F817FC" w:rsidP="00F817FC">
      <w:pPr>
        <w:pStyle w:val="ListParagraph"/>
        <w:numPr>
          <w:ilvl w:val="0"/>
          <w:numId w:val="34"/>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Reputational Risk:</w:t>
      </w:r>
      <w:r w:rsidRPr="00147D0A">
        <w:rPr>
          <w:rFonts w:ascii="Arial Hebrew" w:hAnsi="Arial Hebrew" w:cs="Arial Hebrew" w:hint="cs"/>
          <w:sz w:val="20"/>
          <w:szCs w:val="20"/>
        </w:rPr>
        <w:t xml:space="preserve"> </w:t>
      </w:r>
      <w:r w:rsidR="00D63D25" w:rsidRPr="00147D0A">
        <w:rPr>
          <w:rFonts w:ascii="Arial Hebrew" w:hAnsi="Arial Hebrew" w:cs="Arial Hebrew" w:hint="cs"/>
          <w:sz w:val="20"/>
          <w:szCs w:val="20"/>
        </w:rPr>
        <w:t xml:space="preserve">incentives for </w:t>
      </w:r>
      <w:r w:rsidRPr="00147D0A">
        <w:rPr>
          <w:rFonts w:ascii="Arial Hebrew" w:hAnsi="Arial Hebrew" w:cs="Arial Hebrew" w:hint="cs"/>
          <w:sz w:val="20"/>
          <w:szCs w:val="20"/>
        </w:rPr>
        <w:t>higher-tier government to mi</w:t>
      </w:r>
      <w:r w:rsidR="00D63D25" w:rsidRPr="00147D0A">
        <w:rPr>
          <w:rFonts w:ascii="Arial Hebrew" w:hAnsi="Arial Hebrew" w:cs="Arial Hebrew" w:hint="cs"/>
          <w:sz w:val="20"/>
          <w:szCs w:val="20"/>
        </w:rPr>
        <w:t>tigate</w:t>
      </w:r>
      <w:r w:rsidRPr="00147D0A">
        <w:rPr>
          <w:rFonts w:ascii="Arial Hebrew" w:hAnsi="Arial Hebrew" w:cs="Arial Hebrew" w:hint="cs"/>
          <w:sz w:val="20"/>
          <w:szCs w:val="20"/>
        </w:rPr>
        <w:t xml:space="preserve"> the damage caused by </w:t>
      </w:r>
      <w:r w:rsidR="00D63D25" w:rsidRPr="00147D0A">
        <w:rPr>
          <w:rFonts w:ascii="Arial Hebrew" w:hAnsi="Arial Hebrew" w:cs="Arial Hebrew" w:hint="cs"/>
          <w:sz w:val="20"/>
          <w:szCs w:val="20"/>
        </w:rPr>
        <w:t xml:space="preserve">the </w:t>
      </w:r>
      <w:r w:rsidRPr="00147D0A">
        <w:rPr>
          <w:rFonts w:ascii="Arial Hebrew" w:hAnsi="Arial Hebrew" w:cs="Arial Hebrew" w:hint="cs"/>
          <w:sz w:val="20"/>
          <w:szCs w:val="20"/>
        </w:rPr>
        <w:t>LRG default</w:t>
      </w:r>
      <w:r w:rsidR="00D63D25"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3E7F8246" w14:textId="09690B5F" w:rsidR="00F817FC" w:rsidRPr="00147D0A" w:rsidRDefault="00F817FC" w:rsidP="00F817FC">
      <w:pPr>
        <w:pStyle w:val="ListParagraph"/>
        <w:numPr>
          <w:ilvl w:val="0"/>
          <w:numId w:val="34"/>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Moral Hazard</w:t>
      </w:r>
      <w:r w:rsidRPr="00147D0A">
        <w:rPr>
          <w:rFonts w:ascii="Arial Hebrew" w:hAnsi="Arial Hebrew" w:cs="Arial Hebrew" w:hint="cs"/>
          <w:sz w:val="20"/>
          <w:szCs w:val="20"/>
        </w:rPr>
        <w:t xml:space="preserve">: </w:t>
      </w:r>
      <w:r w:rsidR="00D63D25" w:rsidRPr="00147D0A">
        <w:rPr>
          <w:rFonts w:ascii="Arial Hebrew" w:hAnsi="Arial Hebrew" w:cs="Arial Hebrew" w:hint="cs"/>
          <w:sz w:val="20"/>
          <w:szCs w:val="20"/>
        </w:rPr>
        <w:t xml:space="preserve">incentives for </w:t>
      </w:r>
      <w:r w:rsidRPr="00147D0A">
        <w:rPr>
          <w:rFonts w:ascii="Arial Hebrew" w:hAnsi="Arial Hebrew" w:cs="Arial Hebrew" w:hint="cs"/>
          <w:sz w:val="20"/>
          <w:szCs w:val="20"/>
        </w:rPr>
        <w:t>higher-tier government to avoid setting bailout precedents that may foster imprudent budgetary practices</w:t>
      </w:r>
      <w:r w:rsidR="00D63D25" w:rsidRPr="00147D0A">
        <w:rPr>
          <w:rFonts w:ascii="Arial Hebrew" w:hAnsi="Arial Hebrew" w:cs="Arial Hebrew" w:hint="cs"/>
          <w:sz w:val="20"/>
          <w:szCs w:val="20"/>
        </w:rPr>
        <w:t>.</w:t>
      </w:r>
    </w:p>
    <w:p w14:paraId="59DF392B" w14:textId="2F38BE81" w:rsidR="00F817FC" w:rsidRPr="00147D0A" w:rsidRDefault="00F817FC" w:rsidP="00F817FC">
      <w:pPr>
        <w:pStyle w:val="ListParagraph"/>
        <w:numPr>
          <w:ilvl w:val="0"/>
          <w:numId w:val="34"/>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Strategic Role:</w:t>
      </w:r>
      <w:r w:rsidRPr="00147D0A">
        <w:rPr>
          <w:rFonts w:ascii="Arial Hebrew" w:hAnsi="Arial Hebrew" w:cs="Arial Hebrew" w:hint="cs"/>
          <w:sz w:val="20"/>
          <w:szCs w:val="20"/>
        </w:rPr>
        <w:t xml:space="preserve">  attributes of </w:t>
      </w:r>
      <w:r w:rsidR="00D63D25" w:rsidRPr="00147D0A">
        <w:rPr>
          <w:rFonts w:ascii="Arial Hebrew" w:hAnsi="Arial Hebrew" w:cs="Arial Hebrew" w:hint="cs"/>
          <w:sz w:val="20"/>
          <w:szCs w:val="20"/>
        </w:rPr>
        <w:t xml:space="preserve">the </w:t>
      </w:r>
      <w:r w:rsidRPr="00147D0A">
        <w:rPr>
          <w:rFonts w:ascii="Arial Hebrew" w:hAnsi="Arial Hebrew" w:cs="Arial Hebrew" w:hint="cs"/>
          <w:sz w:val="20"/>
          <w:szCs w:val="20"/>
        </w:rPr>
        <w:t xml:space="preserve">RLG </w:t>
      </w:r>
      <w:r w:rsidR="00D63D25" w:rsidRPr="00147D0A">
        <w:rPr>
          <w:rFonts w:ascii="Arial Hebrew" w:hAnsi="Arial Hebrew" w:cs="Arial Hebrew" w:hint="cs"/>
          <w:sz w:val="20"/>
          <w:szCs w:val="20"/>
        </w:rPr>
        <w:t>that are r</w:t>
      </w:r>
      <w:r w:rsidRPr="00147D0A">
        <w:rPr>
          <w:rFonts w:ascii="Arial Hebrew" w:hAnsi="Arial Hebrew" w:cs="Arial Hebrew" w:hint="cs"/>
          <w:sz w:val="20"/>
          <w:szCs w:val="20"/>
        </w:rPr>
        <w:t>elevant to the support decision</w:t>
      </w:r>
      <w:r w:rsidR="00D63D25"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1B6DA2EF" w14:textId="01EE521B" w:rsidR="00F817FC" w:rsidRPr="00147D0A" w:rsidRDefault="00F817FC" w:rsidP="00F817FC">
      <w:pPr>
        <w:pStyle w:val="ListParagraph"/>
        <w:numPr>
          <w:ilvl w:val="0"/>
          <w:numId w:val="34"/>
        </w:numPr>
        <w:spacing w:line="360" w:lineRule="auto"/>
        <w:jc w:val="both"/>
        <w:rPr>
          <w:rFonts w:ascii="Arial Hebrew" w:hAnsi="Arial Hebrew" w:cs="Arial Hebrew"/>
          <w:sz w:val="20"/>
          <w:szCs w:val="20"/>
        </w:rPr>
      </w:pPr>
      <w:r w:rsidRPr="00147D0A">
        <w:rPr>
          <w:rFonts w:ascii="Arial Hebrew" w:hAnsi="Arial Hebrew" w:cs="Arial Hebrew" w:hint="cs"/>
          <w:i/>
          <w:iCs/>
          <w:sz w:val="20"/>
          <w:szCs w:val="20"/>
        </w:rPr>
        <w:t>Bailout History</w:t>
      </w:r>
      <w:r w:rsidRPr="00147D0A">
        <w:rPr>
          <w:rFonts w:ascii="Arial Hebrew" w:hAnsi="Arial Hebrew" w:cs="Arial Hebrew" w:hint="cs"/>
          <w:sz w:val="20"/>
          <w:szCs w:val="20"/>
        </w:rPr>
        <w:t xml:space="preserve">:  </w:t>
      </w:r>
      <w:r w:rsidR="00D63D25" w:rsidRPr="00147D0A">
        <w:rPr>
          <w:rFonts w:ascii="Arial Hebrew" w:hAnsi="Arial Hebrew" w:cs="Arial Hebrew" w:hint="cs"/>
          <w:sz w:val="20"/>
          <w:szCs w:val="20"/>
        </w:rPr>
        <w:t xml:space="preserve">the </w:t>
      </w:r>
      <w:r w:rsidRPr="00147D0A">
        <w:rPr>
          <w:rFonts w:ascii="Arial Hebrew" w:hAnsi="Arial Hebrew" w:cs="Arial Hebrew" w:hint="cs"/>
          <w:sz w:val="20"/>
          <w:szCs w:val="20"/>
        </w:rPr>
        <w:t xml:space="preserve">higher-tier government’s track record of providing extraordinary support. </w:t>
      </w:r>
    </w:p>
    <w:p w14:paraId="441987B8" w14:textId="3E60409D" w:rsidR="00AF32D8" w:rsidRPr="00147D0A" w:rsidRDefault="005C5CD4" w:rsidP="00DC62A1">
      <w:pPr>
        <w:spacing w:after="240" w:line="360" w:lineRule="auto"/>
        <w:jc w:val="both"/>
        <w:rPr>
          <w:rFonts w:ascii="Arial Hebrew" w:hAnsi="Arial Hebrew" w:cs="Arial Hebrew"/>
          <w:sz w:val="20"/>
          <w:szCs w:val="20"/>
        </w:rPr>
      </w:pPr>
      <w:r w:rsidRPr="00147D0A">
        <w:rPr>
          <w:rFonts w:ascii="Arial Hebrew" w:hAnsi="Arial Hebrew" w:cs="Arial Hebrew" w:hint="cs"/>
          <w:sz w:val="20"/>
          <w:szCs w:val="20"/>
        </w:rPr>
        <w:lastRenderedPageBreak/>
        <w:t>O</w:t>
      </w:r>
      <w:r w:rsidR="00914F1F" w:rsidRPr="00147D0A">
        <w:rPr>
          <w:rFonts w:ascii="Arial Hebrew" w:hAnsi="Arial Hebrew" w:cs="Arial Hebrew" w:hint="cs"/>
          <w:sz w:val="20"/>
          <w:szCs w:val="20"/>
        </w:rPr>
        <w:t xml:space="preserve">ther </w:t>
      </w:r>
      <w:r w:rsidR="003E1325" w:rsidRPr="00147D0A">
        <w:rPr>
          <w:rFonts w:ascii="Arial Hebrew" w:hAnsi="Arial Hebrew" w:cs="Arial Hebrew" w:hint="cs"/>
          <w:sz w:val="20"/>
          <w:szCs w:val="20"/>
        </w:rPr>
        <w:t>factors</w:t>
      </w:r>
      <w:r w:rsidR="00914F1F" w:rsidRPr="00147D0A">
        <w:rPr>
          <w:rFonts w:ascii="Arial Hebrew" w:hAnsi="Arial Hebrew" w:cs="Arial Hebrew" w:hint="cs"/>
          <w:sz w:val="20"/>
          <w:szCs w:val="20"/>
        </w:rPr>
        <w:t xml:space="preserve"> –</w:t>
      </w:r>
      <w:r w:rsidR="005D1B24" w:rsidRPr="00147D0A">
        <w:rPr>
          <w:rFonts w:ascii="Arial Hebrew" w:hAnsi="Arial Hebrew" w:cs="Arial Hebrew" w:hint="cs"/>
          <w:sz w:val="20"/>
          <w:szCs w:val="20"/>
        </w:rPr>
        <w:t xml:space="preserve"> </w:t>
      </w:r>
      <w:r w:rsidR="00914F1F" w:rsidRPr="00147D0A">
        <w:rPr>
          <w:rFonts w:ascii="Arial Hebrew" w:hAnsi="Arial Hebrew" w:cs="Arial Hebrew" w:hint="cs"/>
          <w:sz w:val="20"/>
          <w:szCs w:val="20"/>
        </w:rPr>
        <w:t xml:space="preserve">environmental, </w:t>
      </w:r>
      <w:r w:rsidR="00D17CFB" w:rsidRPr="00147D0A">
        <w:rPr>
          <w:rFonts w:ascii="Arial Hebrew" w:hAnsi="Arial Hebrew" w:cs="Arial Hebrew" w:hint="cs"/>
          <w:sz w:val="20"/>
          <w:szCs w:val="20"/>
        </w:rPr>
        <w:t xml:space="preserve">social, </w:t>
      </w:r>
      <w:r w:rsidR="00914F1F" w:rsidRPr="00147D0A">
        <w:rPr>
          <w:rFonts w:ascii="Arial Hebrew" w:hAnsi="Arial Hebrew" w:cs="Arial Hebrew" w:hint="cs"/>
          <w:sz w:val="20"/>
          <w:szCs w:val="20"/>
        </w:rPr>
        <w:t>governanc</w:t>
      </w:r>
      <w:r w:rsidR="00D17CFB" w:rsidRPr="00147D0A">
        <w:rPr>
          <w:rFonts w:ascii="Arial Hebrew" w:hAnsi="Arial Hebrew" w:cs="Arial Hebrew" w:hint="cs"/>
          <w:sz w:val="20"/>
          <w:szCs w:val="20"/>
        </w:rPr>
        <w:t>e</w:t>
      </w:r>
      <w:r w:rsidR="00914F1F" w:rsidRPr="00147D0A">
        <w:rPr>
          <w:rFonts w:ascii="Arial Hebrew" w:hAnsi="Arial Hebrew" w:cs="Arial Hebrew" w:hint="cs"/>
          <w:sz w:val="20"/>
          <w:szCs w:val="20"/>
        </w:rPr>
        <w:t>, liquidity, financial control</w:t>
      </w:r>
      <w:r w:rsidR="003E1325" w:rsidRPr="00147D0A">
        <w:rPr>
          <w:rFonts w:ascii="Arial Hebrew" w:hAnsi="Arial Hebrew" w:cs="Arial Hebrew" w:hint="cs"/>
          <w:sz w:val="20"/>
          <w:szCs w:val="20"/>
        </w:rPr>
        <w:t>,</w:t>
      </w:r>
      <w:r w:rsidR="005D1B24" w:rsidRPr="00147D0A">
        <w:rPr>
          <w:rFonts w:ascii="Arial Hebrew" w:hAnsi="Arial Hebrew" w:cs="Arial Hebrew" w:hint="cs"/>
          <w:sz w:val="20"/>
          <w:szCs w:val="20"/>
        </w:rPr>
        <w:t xml:space="preserve"> and </w:t>
      </w:r>
      <w:r w:rsidR="00914F1F" w:rsidRPr="00147D0A">
        <w:rPr>
          <w:rFonts w:ascii="Arial Hebrew" w:hAnsi="Arial Hebrew" w:cs="Arial Hebrew" w:hint="cs"/>
          <w:sz w:val="20"/>
          <w:szCs w:val="20"/>
        </w:rPr>
        <w:t>event</w:t>
      </w:r>
      <w:r w:rsidR="005D1B24" w:rsidRPr="00147D0A">
        <w:rPr>
          <w:rFonts w:ascii="Arial Hebrew" w:hAnsi="Arial Hebrew" w:cs="Arial Hebrew" w:hint="cs"/>
          <w:sz w:val="20"/>
          <w:szCs w:val="20"/>
        </w:rPr>
        <w:t xml:space="preserve"> </w:t>
      </w:r>
      <w:r w:rsidR="00914F1F" w:rsidRPr="00147D0A">
        <w:rPr>
          <w:rFonts w:ascii="Arial Hebrew" w:hAnsi="Arial Hebrew" w:cs="Arial Hebrew" w:hint="cs"/>
          <w:sz w:val="20"/>
          <w:szCs w:val="20"/>
        </w:rPr>
        <w:t xml:space="preserve">risk – may be </w:t>
      </w:r>
      <w:r w:rsidR="003E1325" w:rsidRPr="00147D0A">
        <w:rPr>
          <w:rFonts w:ascii="Arial Hebrew" w:hAnsi="Arial Hebrew" w:cs="Arial Hebrew" w:hint="cs"/>
          <w:sz w:val="20"/>
          <w:szCs w:val="20"/>
        </w:rPr>
        <w:t>considered</w:t>
      </w:r>
      <w:r w:rsidR="00AF32D8" w:rsidRPr="00147D0A">
        <w:rPr>
          <w:rFonts w:ascii="Arial Hebrew" w:hAnsi="Arial Hebrew" w:cs="Arial Hebrew" w:hint="cs"/>
          <w:sz w:val="20"/>
          <w:szCs w:val="20"/>
        </w:rPr>
        <w:t xml:space="preserve"> by committee</w:t>
      </w:r>
      <w:r w:rsidR="00914F1F"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in </w:t>
      </w:r>
      <w:r w:rsidR="003E1325" w:rsidRPr="00147D0A">
        <w:rPr>
          <w:rFonts w:ascii="Arial Hebrew" w:hAnsi="Arial Hebrew" w:cs="Arial Hebrew" w:hint="cs"/>
          <w:sz w:val="20"/>
          <w:szCs w:val="20"/>
        </w:rPr>
        <w:t xml:space="preserve">final adjustments to </w:t>
      </w:r>
      <w:r w:rsidRPr="00147D0A">
        <w:rPr>
          <w:rFonts w:ascii="Arial Hebrew" w:hAnsi="Arial Hebrew" w:cs="Arial Hebrew" w:hint="cs"/>
          <w:sz w:val="20"/>
          <w:szCs w:val="20"/>
        </w:rPr>
        <w:t xml:space="preserve">the ratings decision </w:t>
      </w:r>
      <w:r w:rsidR="00914F1F" w:rsidRPr="00147D0A">
        <w:rPr>
          <w:rFonts w:ascii="Arial Hebrew" w:hAnsi="Arial Hebrew" w:cs="Arial Hebrew" w:hint="cs"/>
          <w:sz w:val="20"/>
          <w:szCs w:val="20"/>
        </w:rPr>
        <w:t>(</w:t>
      </w:r>
      <w:r w:rsidR="00914F1F" w:rsidRPr="00147D0A">
        <w:rPr>
          <w:rFonts w:ascii="Arial Hebrew" w:hAnsi="Arial Hebrew" w:cs="Arial Hebrew" w:hint="cs"/>
          <w:b/>
          <w:bCs/>
          <w:sz w:val="20"/>
          <w:szCs w:val="20"/>
        </w:rPr>
        <w:t>Figure</w:t>
      </w:r>
      <w:r w:rsidRPr="00147D0A">
        <w:rPr>
          <w:rFonts w:ascii="Arial Hebrew" w:hAnsi="Arial Hebrew" w:cs="Arial Hebrew" w:hint="cs"/>
          <w:b/>
          <w:bCs/>
          <w:sz w:val="20"/>
          <w:szCs w:val="20"/>
        </w:rPr>
        <w:t> </w:t>
      </w:r>
      <w:r w:rsidR="00914F1F" w:rsidRPr="00147D0A">
        <w:rPr>
          <w:rFonts w:ascii="Arial Hebrew" w:hAnsi="Arial Hebrew" w:cs="Arial Hebrew" w:hint="cs"/>
          <w:b/>
          <w:bCs/>
          <w:sz w:val="20"/>
          <w:szCs w:val="20"/>
        </w:rPr>
        <w:t>4</w:t>
      </w:r>
      <w:r w:rsidR="00914F1F" w:rsidRPr="00147D0A">
        <w:rPr>
          <w:rFonts w:ascii="Arial Hebrew" w:hAnsi="Arial Hebrew" w:cs="Arial Hebrew" w:hint="cs"/>
          <w:sz w:val="20"/>
          <w:szCs w:val="20"/>
        </w:rPr>
        <w:t xml:space="preserve">). </w:t>
      </w:r>
      <w:r w:rsidR="003E1325" w:rsidRPr="00147D0A">
        <w:rPr>
          <w:rFonts w:ascii="Arial Hebrew" w:hAnsi="Arial Hebrew" w:cs="Arial Hebrew" w:hint="cs"/>
          <w:sz w:val="20"/>
          <w:szCs w:val="20"/>
        </w:rPr>
        <w:t xml:space="preserve">Unlike for sovereign assessments, </w:t>
      </w:r>
      <w:r w:rsidR="001641A5" w:rsidRPr="00147D0A">
        <w:rPr>
          <w:rFonts w:ascii="Arial Hebrew" w:hAnsi="Arial Hebrew" w:cs="Arial Hebrew" w:hint="cs"/>
          <w:sz w:val="20"/>
          <w:szCs w:val="20"/>
        </w:rPr>
        <w:t>Moody’s does not report on the use of external indicators for sub-sovereign assessments.</w:t>
      </w:r>
    </w:p>
    <w:p w14:paraId="2F444D36" w14:textId="677DD76F" w:rsidR="00282A48" w:rsidRPr="00147D0A" w:rsidRDefault="00282A48" w:rsidP="00DC62A1">
      <w:pPr>
        <w:spacing w:line="360" w:lineRule="auto"/>
        <w:jc w:val="center"/>
        <w:rPr>
          <w:rFonts w:ascii="Arial Hebrew" w:hAnsi="Arial Hebrew" w:cs="Arial Hebrew"/>
          <w:sz w:val="20"/>
          <w:szCs w:val="20"/>
        </w:rPr>
      </w:pPr>
      <w:r w:rsidRPr="00147D0A">
        <w:rPr>
          <w:rFonts w:ascii="Arial Hebrew" w:hAnsi="Arial Hebrew" w:cs="Arial Hebrew" w:hint="cs"/>
          <w:b/>
          <w:bCs/>
          <w:i/>
          <w:iCs/>
          <w:sz w:val="16"/>
          <w:szCs w:val="16"/>
        </w:rPr>
        <w:t xml:space="preserve">Figure </w:t>
      </w:r>
      <w:r w:rsidR="00D17CFB" w:rsidRPr="00147D0A">
        <w:rPr>
          <w:rFonts w:ascii="Arial Hebrew" w:hAnsi="Arial Hebrew" w:cs="Arial Hebrew" w:hint="cs"/>
          <w:b/>
          <w:bCs/>
          <w:i/>
          <w:iCs/>
          <w:sz w:val="16"/>
          <w:szCs w:val="16"/>
        </w:rPr>
        <w:t>4</w:t>
      </w:r>
      <w:r w:rsidRPr="00147D0A">
        <w:rPr>
          <w:rFonts w:ascii="Arial Hebrew" w:hAnsi="Arial Hebrew" w:cs="Arial Hebrew" w:hint="cs"/>
          <w:b/>
          <w:bCs/>
          <w:i/>
          <w:iCs/>
          <w:sz w:val="16"/>
          <w:szCs w:val="16"/>
        </w:rPr>
        <w:t>.</w:t>
      </w:r>
    </w:p>
    <w:p w14:paraId="7DA05DFE" w14:textId="77777777" w:rsidR="00B554EA" w:rsidRPr="00147D0A" w:rsidRDefault="00282A48" w:rsidP="009D18CA">
      <w:pPr>
        <w:ind w:left="720"/>
        <w:jc w:val="center"/>
        <w:rPr>
          <w:rFonts w:ascii="Arial Hebrew" w:hAnsi="Arial Hebrew" w:cs="Arial Hebrew"/>
          <w:b/>
          <w:bCs/>
        </w:rPr>
      </w:pPr>
      <w:r w:rsidRPr="00147D0A">
        <w:rPr>
          <w:rFonts w:ascii="Arial Hebrew" w:hAnsi="Arial Hebrew" w:cs="Arial Hebrew" w:hint="cs"/>
          <w:b/>
          <w:bCs/>
        </w:rPr>
        <w:t>Moody’s Sub-Sovereign Assessment Framework</w:t>
      </w:r>
      <w:r w:rsidR="00B554EA" w:rsidRPr="00147D0A">
        <w:rPr>
          <w:rFonts w:ascii="Arial Hebrew" w:hAnsi="Arial Hebrew" w:cs="Arial Hebrew" w:hint="cs"/>
          <w:b/>
          <w:bCs/>
        </w:rPr>
        <w:t xml:space="preserve"> </w:t>
      </w:r>
    </w:p>
    <w:p w14:paraId="6A52D7DF" w14:textId="0EC14170" w:rsidR="00282A48" w:rsidRPr="00147D0A" w:rsidRDefault="00B554EA" w:rsidP="00B554EA">
      <w:pPr>
        <w:spacing w:line="360" w:lineRule="auto"/>
        <w:ind w:left="720"/>
        <w:jc w:val="center"/>
        <w:rPr>
          <w:rFonts w:ascii="Arial Hebrew" w:hAnsi="Arial Hebrew" w:cs="Arial Hebrew"/>
          <w:sz w:val="21"/>
          <w:szCs w:val="21"/>
        </w:rPr>
      </w:pPr>
      <w:r w:rsidRPr="00147D0A">
        <w:rPr>
          <w:rFonts w:ascii="Arial Hebrew" w:hAnsi="Arial Hebrew" w:cs="Arial Hebrew" w:hint="cs"/>
          <w:sz w:val="21"/>
          <w:szCs w:val="21"/>
        </w:rPr>
        <w:t>International LGRs</w:t>
      </w:r>
    </w:p>
    <w:p w14:paraId="3A0D2911" w14:textId="4A18812E" w:rsidR="0080687F" w:rsidRPr="00147D0A" w:rsidRDefault="001C2F06" w:rsidP="00282A48">
      <w:pPr>
        <w:ind w:left="720"/>
        <w:jc w:val="center"/>
        <w:rPr>
          <w:rFonts w:ascii="Arial Hebrew" w:hAnsi="Arial Hebrew" w:cs="Arial Hebrew"/>
          <w:b/>
          <w:bCs/>
        </w:rPr>
      </w:pPr>
      <w:r w:rsidRPr="00147D0A">
        <w:rPr>
          <w:rFonts w:ascii="Arial Hebrew" w:hAnsi="Arial Hebrew" w:cs="Arial Hebrew" w:hint="cs"/>
          <w:noProof/>
        </w:rPr>
        <mc:AlternateContent>
          <mc:Choice Requires="wps">
            <w:drawing>
              <wp:anchor distT="0" distB="0" distL="114300" distR="114300" simplePos="0" relativeHeight="251719680" behindDoc="0" locked="0" layoutInCell="1" allowOverlap="1" wp14:anchorId="53D0696C" wp14:editId="66A12B9E">
                <wp:simplePos x="0" y="0"/>
                <wp:positionH relativeFrom="column">
                  <wp:posOffset>183515</wp:posOffset>
                </wp:positionH>
                <wp:positionV relativeFrom="paragraph">
                  <wp:posOffset>12065</wp:posOffset>
                </wp:positionV>
                <wp:extent cx="1036955" cy="245110"/>
                <wp:effectExtent l="0" t="0" r="17145" b="8890"/>
                <wp:wrapNone/>
                <wp:docPr id="58423593" name="Text Box 4"/>
                <wp:cNvGraphicFramePr/>
                <a:graphic xmlns:a="http://schemas.openxmlformats.org/drawingml/2006/main">
                  <a:graphicData uri="http://schemas.microsoft.com/office/word/2010/wordprocessingShape">
                    <wps:wsp>
                      <wps:cNvSpPr txBox="1"/>
                      <wps:spPr>
                        <a:xfrm>
                          <a:off x="0" y="0"/>
                          <a:ext cx="1036955" cy="245110"/>
                        </a:xfrm>
                        <a:prstGeom prst="rect">
                          <a:avLst/>
                        </a:prstGeom>
                        <a:solidFill>
                          <a:schemeClr val="accent2">
                            <a:lumMod val="20000"/>
                            <a:lumOff val="80000"/>
                          </a:schemeClr>
                        </a:solidFill>
                        <a:ln w="12700">
                          <a:solidFill>
                            <a:srgbClr val="C00000"/>
                          </a:solidFill>
                        </a:ln>
                      </wps:spPr>
                      <wps:txbx>
                        <w:txbxContent>
                          <w:p w14:paraId="58BE905C" w14:textId="23D7B2E6" w:rsidR="007074F6" w:rsidRPr="00FB00CA" w:rsidRDefault="007074F6" w:rsidP="007074F6">
                            <w:pPr>
                              <w:jc w:val="cente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Sovereign Rating</w:t>
                            </w:r>
                          </w:p>
                          <w:p w14:paraId="21B4FA28" w14:textId="77777777" w:rsidR="007074F6" w:rsidRPr="00FB00CA" w:rsidRDefault="007074F6" w:rsidP="007074F6">
                            <w:pPr>
                              <w:rPr>
                                <w:rFonts w:ascii="Arial Hebrew" w:hAnsi="Arial Hebrew" w:cs="Arial Hebrew"/>
                                <w:color w:val="C00000"/>
                                <w:sz w:val="17"/>
                                <w:szCs w:val="17"/>
                                <w:lang w:val="en-US"/>
                              </w:rPr>
                            </w:pPr>
                          </w:p>
                          <w:p w14:paraId="36ED971D"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53CB116B"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30682691" w14:textId="77777777" w:rsidR="007074F6" w:rsidRPr="00FB00CA" w:rsidRDefault="007074F6" w:rsidP="007074F6">
                            <w:pPr>
                              <w:rPr>
                                <w:rFonts w:ascii="Arial Hebrew" w:hAnsi="Arial Hebrew" w:cs="Arial Hebrew"/>
                                <w:color w:val="C00000"/>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696C" id="_x0000_s1034" type="#_x0000_t202" style="position:absolute;left:0;text-align:left;margin-left:14.45pt;margin-top:.95pt;width:81.65pt;height:19.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" fillcolor="#fae2d5 [661]" strokecolor="#c00000" strokeweight="1pt">
                <v:textbox>
                  <w:txbxContent>
                    <w:p w14:paraId="58BE905C" w14:textId="23D7B2E6" w:rsidR="007074F6" w:rsidRPr="00FB00CA" w:rsidRDefault="007074F6" w:rsidP="007074F6">
                      <w:pPr>
                        <w:jc w:val="cente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Sovereign Rating</w:t>
                      </w:r>
                    </w:p>
                    <w:p w14:paraId="21B4FA28" w14:textId="77777777" w:rsidR="007074F6" w:rsidRPr="00FB00CA" w:rsidRDefault="007074F6" w:rsidP="007074F6">
                      <w:pPr>
                        <w:rPr>
                          <w:rFonts w:ascii="Arial Hebrew" w:hAnsi="Arial Hebrew" w:cs="Arial Hebrew"/>
                          <w:color w:val="C00000"/>
                          <w:sz w:val="17"/>
                          <w:szCs w:val="17"/>
                          <w:lang w:val="en-US"/>
                        </w:rPr>
                      </w:pPr>
                    </w:p>
                    <w:p w14:paraId="36ED971D"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53CB116B" w14:textId="77777777" w:rsidR="007074F6" w:rsidRPr="00FB00CA" w:rsidRDefault="007074F6" w:rsidP="007074F6">
                      <w:pPr>
                        <w:rPr>
                          <w:rFonts w:ascii="Arial Hebrew" w:hAnsi="Arial Hebrew" w:cs="Arial Hebrew"/>
                          <w:color w:val="C00000"/>
                          <w:sz w:val="17"/>
                          <w:szCs w:val="17"/>
                          <w:lang w:val="en-US"/>
                        </w:rPr>
                      </w:pPr>
                      <w:r w:rsidRPr="00FB00CA">
                        <w:rPr>
                          <w:rFonts w:ascii="Arial Hebrew" w:hAnsi="Arial Hebrew" w:cs="Arial Hebrew" w:hint="cs"/>
                          <w:color w:val="C00000"/>
                          <w:sz w:val="17"/>
                          <w:szCs w:val="17"/>
                          <w:lang w:val="en-US"/>
                        </w:rPr>
                        <w:t xml:space="preserve">  </w:t>
                      </w:r>
                    </w:p>
                    <w:p w14:paraId="30682691" w14:textId="77777777" w:rsidR="007074F6" w:rsidRPr="00FB00CA" w:rsidRDefault="007074F6" w:rsidP="007074F6">
                      <w:pPr>
                        <w:rPr>
                          <w:rFonts w:ascii="Arial Hebrew" w:hAnsi="Arial Hebrew" w:cs="Arial Hebrew"/>
                          <w:color w:val="C00000"/>
                          <w:sz w:val="17"/>
                          <w:szCs w:val="17"/>
                          <w:lang w:val="en-US"/>
                        </w:rPr>
                      </w:pP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8656" behindDoc="0" locked="0" layoutInCell="1" allowOverlap="1" wp14:anchorId="5BD1287F" wp14:editId="3B885B0A">
                <wp:simplePos x="0" y="0"/>
                <wp:positionH relativeFrom="column">
                  <wp:posOffset>1181405</wp:posOffset>
                </wp:positionH>
                <wp:positionV relativeFrom="paragraph">
                  <wp:posOffset>144780</wp:posOffset>
                </wp:positionV>
                <wp:extent cx="363220" cy="1553845"/>
                <wp:effectExtent l="0" t="0" r="43180" b="71755"/>
                <wp:wrapNone/>
                <wp:docPr id="19881495" name="Elbow Connector 28"/>
                <wp:cNvGraphicFramePr/>
                <a:graphic xmlns:a="http://schemas.openxmlformats.org/drawingml/2006/main">
                  <a:graphicData uri="http://schemas.microsoft.com/office/word/2010/wordprocessingShape">
                    <wps:wsp>
                      <wps:cNvCnPr/>
                      <wps:spPr>
                        <a:xfrm>
                          <a:off x="0" y="0"/>
                          <a:ext cx="363220" cy="1553845"/>
                        </a:xfrm>
                        <a:prstGeom prst="bentConnector3">
                          <a:avLst>
                            <a:gd name="adj1" fmla="val 36693"/>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4AF5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3pt;margin-top:11.4pt;width:28.6pt;height:12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" adj="7926" strokecolor="#c00000">
                <v:stroke endarrow="block"/>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655676" behindDoc="0" locked="0" layoutInCell="1" allowOverlap="1" wp14:anchorId="6AE0C9C0" wp14:editId="2920A67E">
                <wp:simplePos x="0" y="0"/>
                <wp:positionH relativeFrom="column">
                  <wp:posOffset>1404925</wp:posOffset>
                </wp:positionH>
                <wp:positionV relativeFrom="paragraph">
                  <wp:posOffset>12065</wp:posOffset>
                </wp:positionV>
                <wp:extent cx="4281805" cy="2760345"/>
                <wp:effectExtent l="0" t="0" r="10795" b="8255"/>
                <wp:wrapNone/>
                <wp:docPr id="2086538838" name="Text Box 4"/>
                <wp:cNvGraphicFramePr/>
                <a:graphic xmlns:a="http://schemas.openxmlformats.org/drawingml/2006/main">
                  <a:graphicData uri="http://schemas.microsoft.com/office/word/2010/wordprocessingShape">
                    <wps:wsp>
                      <wps:cNvSpPr txBox="1"/>
                      <wps:spPr>
                        <a:xfrm>
                          <a:off x="0" y="0"/>
                          <a:ext cx="4281805" cy="2760345"/>
                        </a:xfrm>
                        <a:prstGeom prst="rect">
                          <a:avLst/>
                        </a:prstGeom>
                        <a:solidFill>
                          <a:schemeClr val="accent4">
                            <a:lumMod val="20000"/>
                            <a:lumOff val="80000"/>
                          </a:schemeClr>
                        </a:solidFill>
                        <a:ln w="12700">
                          <a:solidFill>
                            <a:schemeClr val="tx1"/>
                          </a:solidFill>
                        </a:ln>
                      </wps:spPr>
                      <wps:txbx>
                        <w:txbxContent>
                          <w:p w14:paraId="19426FF0" w14:textId="0B5D9567" w:rsidR="00282A48" w:rsidRPr="00CD3C50" w:rsidRDefault="00040AB1" w:rsidP="000B50F8">
                            <w:pPr>
                              <w:rPr>
                                <w:rFonts w:ascii="Arial Hebrew" w:hAnsi="Arial Hebrew" w:cs="Arial Hebrew"/>
                                <w:b/>
                                <w:bCs/>
                                <w:color w:val="000000" w:themeColor="text1"/>
                                <w:sz w:val="20"/>
                                <w:szCs w:val="20"/>
                                <w:lang w:val="en-US"/>
                              </w:rPr>
                            </w:pPr>
                            <w:r w:rsidRPr="00CD3C50">
                              <w:rPr>
                                <w:rFonts w:ascii="Arial Hebrew" w:hAnsi="Arial Hebrew" w:cs="Arial Hebrew" w:hint="cs"/>
                                <w:b/>
                                <w:bCs/>
                                <w:color w:val="000000" w:themeColor="text1"/>
                                <w:sz w:val="20"/>
                                <w:szCs w:val="20"/>
                                <w:lang w:val="en-US"/>
                              </w:rPr>
                              <w:t>Baseline Credit Assessment</w:t>
                            </w:r>
                          </w:p>
                        </w:txbxContent>
                      </wps:txbx>
                      <wps:bodyPr rot="0" spcFirstLastPara="0" vertOverflow="overflow" horzOverflow="overflow" vert="horz" wrap="square" lIns="91440" tIns="3600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C9C0" id="_x0000_s1035" type="#_x0000_t202" style="position:absolute;left:0;text-align:left;margin-left:110.6pt;margin-top:.95pt;width:337.15pt;height:217.35pt;z-index:25165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" fillcolor="#caedfb [663]" strokecolor="black [3213]" strokeweight="1pt">
                <v:textbox inset=",1mm,,0">
                  <w:txbxContent>
                    <w:p w14:paraId="19426FF0" w14:textId="0B5D9567" w:rsidR="00282A48" w:rsidRPr="00CD3C50" w:rsidRDefault="00040AB1" w:rsidP="000B50F8">
                      <w:pPr>
                        <w:rPr>
                          <w:rFonts w:ascii="Arial Hebrew" w:hAnsi="Arial Hebrew" w:cs="Arial Hebrew"/>
                          <w:b/>
                          <w:bCs/>
                          <w:color w:val="000000" w:themeColor="text1"/>
                          <w:sz w:val="20"/>
                          <w:szCs w:val="20"/>
                          <w:lang w:val="en-US"/>
                        </w:rPr>
                      </w:pPr>
                      <w:r w:rsidRPr="00CD3C50">
                        <w:rPr>
                          <w:rFonts w:ascii="Arial Hebrew" w:hAnsi="Arial Hebrew" w:cs="Arial Hebrew" w:hint="cs"/>
                          <w:b/>
                          <w:bCs/>
                          <w:color w:val="000000" w:themeColor="text1"/>
                          <w:sz w:val="20"/>
                          <w:szCs w:val="20"/>
                          <w:lang w:val="en-US"/>
                        </w:rPr>
                        <w:t>Baseline Credit Assessment</w:t>
                      </w:r>
                    </w:p>
                  </w:txbxContent>
                </v:textbox>
              </v:shape>
            </w:pict>
          </mc:Fallback>
        </mc:AlternateContent>
      </w:r>
    </w:p>
    <w:p w14:paraId="07307C41" w14:textId="5792FE34" w:rsidR="00282A48" w:rsidRPr="00147D0A" w:rsidRDefault="00972E3B" w:rsidP="00282A48">
      <w:pPr>
        <w:ind w:firstLine="720"/>
        <w:rPr>
          <w:rFonts w:ascii="Arial Hebrew" w:hAnsi="Arial Hebrew" w:cs="Arial Hebrew"/>
          <w:b/>
          <w:bCs/>
          <w:sz w:val="18"/>
          <w:szCs w:val="18"/>
        </w:rPr>
      </w:pPr>
      <w:r w:rsidRPr="00147D0A">
        <w:rPr>
          <w:rFonts w:ascii="Arial Hebrew" w:hAnsi="Arial Hebrew" w:cs="Arial Hebrew" w:hint="cs"/>
          <w:noProof/>
        </w:rPr>
        <mc:AlternateContent>
          <mc:Choice Requires="wps">
            <w:drawing>
              <wp:anchor distT="0" distB="0" distL="114300" distR="114300" simplePos="0" relativeHeight="251720704" behindDoc="0" locked="0" layoutInCell="1" allowOverlap="1" wp14:anchorId="4EA114E6" wp14:editId="4F49B0D3">
                <wp:simplePos x="0" y="0"/>
                <wp:positionH relativeFrom="column">
                  <wp:posOffset>1482725</wp:posOffset>
                </wp:positionH>
                <wp:positionV relativeFrom="paragraph">
                  <wp:posOffset>99060</wp:posOffset>
                </wp:positionV>
                <wp:extent cx="1424305" cy="866775"/>
                <wp:effectExtent l="0" t="0" r="10795" b="9525"/>
                <wp:wrapNone/>
                <wp:docPr id="1272953973" name="Text Box 4"/>
                <wp:cNvGraphicFramePr/>
                <a:graphic xmlns:a="http://schemas.openxmlformats.org/drawingml/2006/main">
                  <a:graphicData uri="http://schemas.microsoft.com/office/word/2010/wordprocessingShape">
                    <wps:wsp>
                      <wps:cNvSpPr txBox="1"/>
                      <wps:spPr>
                        <a:xfrm>
                          <a:off x="0" y="0"/>
                          <a:ext cx="1424305" cy="866775"/>
                        </a:xfrm>
                        <a:prstGeom prst="rect">
                          <a:avLst/>
                        </a:prstGeom>
                        <a:solidFill>
                          <a:schemeClr val="accent4">
                            <a:lumMod val="20000"/>
                            <a:lumOff val="80000"/>
                          </a:schemeClr>
                        </a:solidFill>
                        <a:ln w="9525">
                          <a:solidFill>
                            <a:schemeClr val="tx1"/>
                          </a:solidFill>
                        </a:ln>
                      </wps:spPr>
                      <wps:txbx>
                        <w:txbxContent>
                          <w:p w14:paraId="0E8219A4" w14:textId="7E3892CF" w:rsidR="001A1BC5"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Idiosyncratic Notching Factors</w:t>
                            </w:r>
                          </w:p>
                          <w:p w14:paraId="0C142BA2" w14:textId="112DB453" w:rsidR="008877C2" w:rsidRPr="00CD3C50" w:rsidRDefault="008877C2" w:rsidP="008C6796">
                            <w:pPr>
                              <w:pStyle w:val="ListParagraph"/>
                              <w:numPr>
                                <w:ilvl w:val="0"/>
                                <w:numId w:val="36"/>
                              </w:numPr>
                              <w:rPr>
                                <w:rFonts w:ascii="Arial Hebrew" w:hAnsi="Arial Hebrew" w:cs="Arial Hebrew"/>
                                <w:sz w:val="13"/>
                                <w:szCs w:val="13"/>
                              </w:rPr>
                            </w:pPr>
                            <w:r w:rsidRPr="00CD3C50">
                              <w:rPr>
                                <w:rFonts w:ascii="Arial Hebrew" w:hAnsi="Arial Hebrew" w:cs="Arial Hebrew" w:hint="cs"/>
                                <w:sz w:val="13"/>
                                <w:szCs w:val="13"/>
                              </w:rPr>
                              <w:t>Pension Obligations / Contingent Liabilities</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(-2 to 0)</w:t>
                            </w:r>
                          </w:p>
                          <w:p w14:paraId="12FC10AB" w14:textId="6CF7F430" w:rsidR="008877C2" w:rsidRPr="00CD3C50" w:rsidRDefault="008877C2" w:rsidP="008C6796">
                            <w:pPr>
                              <w:pStyle w:val="ListParagraph"/>
                              <w:numPr>
                                <w:ilvl w:val="0"/>
                                <w:numId w:val="36"/>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Liquidity</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(0 to +1)</w:t>
                            </w:r>
                          </w:p>
                          <w:p w14:paraId="7823E82E" w14:textId="77777777" w:rsidR="008C6796" w:rsidRPr="00CD3C50" w:rsidRDefault="008877C2" w:rsidP="008C6796">
                            <w:pPr>
                              <w:pStyle w:val="ListParagraph"/>
                              <w:numPr>
                                <w:ilvl w:val="0"/>
                                <w:numId w:val="36"/>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Expected Fiscal Trend</w:t>
                            </w:r>
                          </w:p>
                          <w:p w14:paraId="56C55966" w14:textId="435B4DDB" w:rsidR="008877C2" w:rsidRPr="00CD3C50" w:rsidRDefault="008C6796" w:rsidP="008C6796">
                            <w:pPr>
                              <w:pStyle w:val="ListParagraph"/>
                              <w:ind w:left="227"/>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 xml:space="preserve"> </w:t>
                            </w:r>
                            <w:r w:rsidRPr="00CD3C50">
                              <w:rPr>
                                <w:rFonts w:ascii="Arial Hebrew" w:hAnsi="Arial Hebrew" w:cs="Arial Hebrew" w:hint="cs"/>
                                <w:color w:val="FF0000"/>
                                <w:sz w:val="13"/>
                                <w:szCs w:val="13"/>
                              </w:rPr>
                              <w:t xml:space="preserve">(-2 to </w:t>
                            </w:r>
                            <w:r w:rsidR="003E1325" w:rsidRPr="00CD3C50">
                              <w:rPr>
                                <w:rFonts w:ascii="Arial Hebrew" w:hAnsi="Arial Hebrew" w:cs="Arial Hebrew" w:hint="cs"/>
                                <w:color w:val="FF0000"/>
                                <w:sz w:val="13"/>
                                <w:szCs w:val="13"/>
                              </w:rPr>
                              <w:t xml:space="preserve">+ </w:t>
                            </w:r>
                            <w:r w:rsidRPr="00CD3C50">
                              <w:rPr>
                                <w:rFonts w:ascii="Arial Hebrew" w:hAnsi="Arial Hebrew" w:cs="Arial Hebrew" w:hint="cs"/>
                                <w:color w:val="FF0000"/>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14E6" id="_x0000_s1036" type="#_x0000_t202" style="position:absolute;left:0;text-align:left;margin-left:116.75pt;margin-top:7.8pt;width:112.1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" fillcolor="#caedfb [663]" strokecolor="black [3213]">
                <v:textbox>
                  <w:txbxContent>
                    <w:p w14:paraId="0E8219A4" w14:textId="7E3892CF" w:rsidR="001A1BC5"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Idiosyncratic Notching Factors</w:t>
                      </w:r>
                    </w:p>
                    <w:p w14:paraId="0C142BA2" w14:textId="112DB453" w:rsidR="008877C2" w:rsidRPr="00CD3C50" w:rsidRDefault="008877C2" w:rsidP="008C6796">
                      <w:pPr>
                        <w:pStyle w:val="ListParagraph"/>
                        <w:numPr>
                          <w:ilvl w:val="0"/>
                          <w:numId w:val="36"/>
                        </w:numPr>
                        <w:rPr>
                          <w:rFonts w:ascii="Arial Hebrew" w:hAnsi="Arial Hebrew" w:cs="Arial Hebrew"/>
                          <w:sz w:val="13"/>
                          <w:szCs w:val="13"/>
                        </w:rPr>
                      </w:pPr>
                      <w:r w:rsidRPr="00CD3C50">
                        <w:rPr>
                          <w:rFonts w:ascii="Arial Hebrew" w:hAnsi="Arial Hebrew" w:cs="Arial Hebrew" w:hint="cs"/>
                          <w:sz w:val="13"/>
                          <w:szCs w:val="13"/>
                        </w:rPr>
                        <w:t>Pension Obligations / Contingent Liabilities</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(-2 to 0)</w:t>
                      </w:r>
                    </w:p>
                    <w:p w14:paraId="12FC10AB" w14:textId="6CF7F430" w:rsidR="008877C2" w:rsidRPr="00CD3C50" w:rsidRDefault="008877C2" w:rsidP="008C6796">
                      <w:pPr>
                        <w:pStyle w:val="ListParagraph"/>
                        <w:numPr>
                          <w:ilvl w:val="0"/>
                          <w:numId w:val="36"/>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Liquidity</w:t>
                      </w:r>
                      <w:r w:rsidR="008C6796" w:rsidRPr="00CD3C50">
                        <w:rPr>
                          <w:rFonts w:ascii="Arial Hebrew" w:hAnsi="Arial Hebrew" w:cs="Arial Hebrew" w:hint="cs"/>
                          <w:sz w:val="13"/>
                          <w:szCs w:val="13"/>
                        </w:rPr>
                        <w:t xml:space="preserve"> </w:t>
                      </w:r>
                      <w:r w:rsidR="008C6796" w:rsidRPr="00CD3C50">
                        <w:rPr>
                          <w:rFonts w:ascii="Arial Hebrew" w:hAnsi="Arial Hebrew" w:cs="Arial Hebrew" w:hint="cs"/>
                          <w:color w:val="FF0000"/>
                          <w:sz w:val="13"/>
                          <w:szCs w:val="13"/>
                        </w:rPr>
                        <w:t>(0 to +1)</w:t>
                      </w:r>
                    </w:p>
                    <w:p w14:paraId="7823E82E" w14:textId="77777777" w:rsidR="008C6796" w:rsidRPr="00CD3C50" w:rsidRDefault="008877C2" w:rsidP="008C6796">
                      <w:pPr>
                        <w:pStyle w:val="ListParagraph"/>
                        <w:numPr>
                          <w:ilvl w:val="0"/>
                          <w:numId w:val="36"/>
                        </w:numPr>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Expected Fiscal Trend</w:t>
                      </w:r>
                    </w:p>
                    <w:p w14:paraId="56C55966" w14:textId="435B4DDB" w:rsidR="008877C2" w:rsidRPr="00CD3C50" w:rsidRDefault="008C6796" w:rsidP="008C6796">
                      <w:pPr>
                        <w:pStyle w:val="ListParagraph"/>
                        <w:ind w:left="227"/>
                        <w:rPr>
                          <w:rFonts w:ascii="Arial Hebrew" w:hAnsi="Arial Hebrew" w:cs="Arial Hebrew"/>
                          <w:b/>
                          <w:bCs/>
                          <w:color w:val="000000" w:themeColor="text1"/>
                          <w:sz w:val="13"/>
                          <w:szCs w:val="13"/>
                          <w:lang w:val="en-US"/>
                        </w:rPr>
                      </w:pPr>
                      <w:r w:rsidRPr="00CD3C50">
                        <w:rPr>
                          <w:rFonts w:ascii="Arial Hebrew" w:hAnsi="Arial Hebrew" w:cs="Arial Hebrew" w:hint="cs"/>
                          <w:sz w:val="13"/>
                          <w:szCs w:val="13"/>
                        </w:rPr>
                        <w:t xml:space="preserve"> </w:t>
                      </w:r>
                      <w:r w:rsidRPr="00CD3C50">
                        <w:rPr>
                          <w:rFonts w:ascii="Arial Hebrew" w:hAnsi="Arial Hebrew" w:cs="Arial Hebrew" w:hint="cs"/>
                          <w:color w:val="FF0000"/>
                          <w:sz w:val="13"/>
                          <w:szCs w:val="13"/>
                        </w:rPr>
                        <w:t xml:space="preserve">(-2 to </w:t>
                      </w:r>
                      <w:r w:rsidR="003E1325" w:rsidRPr="00CD3C50">
                        <w:rPr>
                          <w:rFonts w:ascii="Arial Hebrew" w:hAnsi="Arial Hebrew" w:cs="Arial Hebrew" w:hint="cs"/>
                          <w:color w:val="FF0000"/>
                          <w:sz w:val="13"/>
                          <w:szCs w:val="13"/>
                        </w:rPr>
                        <w:t xml:space="preserve">+ </w:t>
                      </w:r>
                      <w:r w:rsidRPr="00CD3C50">
                        <w:rPr>
                          <w:rFonts w:ascii="Arial Hebrew" w:hAnsi="Arial Hebrew" w:cs="Arial Hebrew" w:hint="cs"/>
                          <w:color w:val="FF0000"/>
                          <w:sz w:val="13"/>
                          <w:szCs w:val="13"/>
                        </w:rPr>
                        <w:t>2)</w:t>
                      </w: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3536" behindDoc="0" locked="0" layoutInCell="1" allowOverlap="1" wp14:anchorId="191ACFA5" wp14:editId="3D2EF020">
                <wp:simplePos x="0" y="0"/>
                <wp:positionH relativeFrom="column">
                  <wp:posOffset>3030855</wp:posOffset>
                </wp:positionH>
                <wp:positionV relativeFrom="paragraph">
                  <wp:posOffset>98095</wp:posOffset>
                </wp:positionV>
                <wp:extent cx="2612390" cy="2470150"/>
                <wp:effectExtent l="0" t="0" r="16510" b="19050"/>
                <wp:wrapNone/>
                <wp:docPr id="309302374" name="Text Box 4"/>
                <wp:cNvGraphicFramePr/>
                <a:graphic xmlns:a="http://schemas.openxmlformats.org/drawingml/2006/main">
                  <a:graphicData uri="http://schemas.microsoft.com/office/word/2010/wordprocessingShape">
                    <wps:wsp>
                      <wps:cNvSpPr txBox="1"/>
                      <wps:spPr>
                        <a:xfrm>
                          <a:off x="0" y="0"/>
                          <a:ext cx="2612390" cy="2470150"/>
                        </a:xfrm>
                        <a:prstGeom prst="rect">
                          <a:avLst/>
                        </a:prstGeom>
                        <a:solidFill>
                          <a:schemeClr val="bg1">
                            <a:lumMod val="95000"/>
                          </a:schemeClr>
                        </a:solidFill>
                        <a:ln w="12700">
                          <a:solidFill>
                            <a:schemeClr val="tx1"/>
                          </a:solidFill>
                        </a:ln>
                      </wps:spPr>
                      <wps:txbx>
                        <w:txbxContent>
                          <w:p w14:paraId="4011554B" w14:textId="7C0078F6" w:rsidR="00282A48" w:rsidRPr="00CD3C50" w:rsidRDefault="00661BB5" w:rsidP="009F657C">
                            <w:pPr>
                              <w:rPr>
                                <w:rFonts w:ascii="Arial Hebrew" w:hAnsi="Arial Hebrew" w:cs="Arial Hebrew"/>
                                <w:b/>
                                <w:bCs/>
                                <w:color w:val="000000" w:themeColor="text1"/>
                                <w:sz w:val="18"/>
                                <w:szCs w:val="18"/>
                                <w:lang w:val="en-US"/>
                              </w:rPr>
                            </w:pPr>
                            <w:r w:rsidRPr="00CD3C50">
                              <w:rPr>
                                <w:rFonts w:ascii="Arial Hebrew" w:hAnsi="Arial Hebrew" w:cs="Arial Hebrew" w:hint="cs"/>
                                <w:b/>
                                <w:bCs/>
                                <w:color w:val="000000" w:themeColor="text1"/>
                                <w:sz w:val="18"/>
                                <w:szCs w:val="18"/>
                                <w:lang w:val="en-US"/>
                              </w:rPr>
                              <w:t>Weighted Factors</w:t>
                            </w:r>
                            <w:r w:rsidR="009F657C" w:rsidRPr="00CD3C50">
                              <w:rPr>
                                <w:rFonts w:ascii="Arial Hebrew" w:hAnsi="Arial Hebrew" w:cs="Arial Hebrew" w:hint="cs"/>
                                <w:b/>
                                <w:bCs/>
                                <w:color w:val="000000" w:themeColor="text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FA5" id="_x0000_s1037" type="#_x0000_t202" style="position:absolute;left:0;text-align:left;margin-left:238.65pt;margin-top:7.7pt;width:205.7pt;height:1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" fillcolor="#f2f2f2 [3052]" strokecolor="black [3213]" strokeweight="1pt">
                <v:textbox>
                  <w:txbxContent>
                    <w:p w14:paraId="4011554B" w14:textId="7C0078F6" w:rsidR="00282A48" w:rsidRPr="00CD3C50" w:rsidRDefault="00661BB5" w:rsidP="009F657C">
                      <w:pPr>
                        <w:rPr>
                          <w:rFonts w:ascii="Arial Hebrew" w:hAnsi="Arial Hebrew" w:cs="Arial Hebrew"/>
                          <w:b/>
                          <w:bCs/>
                          <w:color w:val="000000" w:themeColor="text1"/>
                          <w:sz w:val="18"/>
                          <w:szCs w:val="18"/>
                          <w:lang w:val="en-US"/>
                        </w:rPr>
                      </w:pPr>
                      <w:r w:rsidRPr="00CD3C50">
                        <w:rPr>
                          <w:rFonts w:ascii="Arial Hebrew" w:hAnsi="Arial Hebrew" w:cs="Arial Hebrew" w:hint="cs"/>
                          <w:b/>
                          <w:bCs/>
                          <w:color w:val="000000" w:themeColor="text1"/>
                          <w:sz w:val="18"/>
                          <w:szCs w:val="18"/>
                          <w:lang w:val="en-US"/>
                        </w:rPr>
                        <w:t>Weighted Factors</w:t>
                      </w:r>
                      <w:r w:rsidR="009F657C" w:rsidRPr="00CD3C50">
                        <w:rPr>
                          <w:rFonts w:ascii="Arial Hebrew" w:hAnsi="Arial Hebrew" w:cs="Arial Hebrew" w:hint="cs"/>
                          <w:b/>
                          <w:bCs/>
                          <w:color w:val="000000" w:themeColor="text1"/>
                          <w:sz w:val="18"/>
                          <w:szCs w:val="18"/>
                          <w:lang w:val="en-US"/>
                        </w:rPr>
                        <w:t xml:space="preserve"> </w:t>
                      </w:r>
                    </w:p>
                  </w:txbxContent>
                </v:textbox>
              </v:shape>
            </w:pict>
          </mc:Fallback>
        </mc:AlternateContent>
      </w:r>
      <w:r w:rsidR="0027716B" w:rsidRPr="00147D0A">
        <w:rPr>
          <w:rFonts w:ascii="Arial Hebrew" w:hAnsi="Arial Hebrew" w:cs="Arial Hebrew" w:hint="cs"/>
          <w:b/>
          <w:bCs/>
          <w:noProof/>
          <w:sz w:val="18"/>
          <w:szCs w:val="18"/>
        </w:rPr>
        <mc:AlternateContent>
          <mc:Choice Requires="wps">
            <w:drawing>
              <wp:anchor distT="0" distB="0" distL="114300" distR="114300" simplePos="0" relativeHeight="251701248" behindDoc="0" locked="0" layoutInCell="1" allowOverlap="1" wp14:anchorId="469F8EC2" wp14:editId="1A0CA000">
                <wp:simplePos x="0" y="0"/>
                <wp:positionH relativeFrom="column">
                  <wp:posOffset>713740</wp:posOffset>
                </wp:positionH>
                <wp:positionV relativeFrom="paragraph">
                  <wp:posOffset>86690</wp:posOffset>
                </wp:positionV>
                <wp:extent cx="0" cy="160655"/>
                <wp:effectExtent l="63500" t="0" r="38100" b="29845"/>
                <wp:wrapNone/>
                <wp:docPr id="909253001" name="Straight Arrow Connector 8"/>
                <wp:cNvGraphicFramePr/>
                <a:graphic xmlns:a="http://schemas.openxmlformats.org/drawingml/2006/main">
                  <a:graphicData uri="http://schemas.microsoft.com/office/word/2010/wordprocessingShape">
                    <wps:wsp>
                      <wps:cNvCnPr/>
                      <wps:spPr>
                        <a:xfrm>
                          <a:off x="0" y="0"/>
                          <a:ext cx="0" cy="160655"/>
                        </a:xfrm>
                        <a:prstGeom prst="straightConnector1">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2CFDD" id="Straight Arrow Connector 8" o:spid="_x0000_s1026" type="#_x0000_t32" style="position:absolute;margin-left:56.2pt;margin-top:6.85pt;width:0;height:1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" strokecolor="#c00000">
                <v:stroke endarrow="block" joinstyle="miter"/>
              </v:shape>
            </w:pict>
          </mc:Fallback>
        </mc:AlternateContent>
      </w:r>
    </w:p>
    <w:p w14:paraId="6A1B6EDA" w14:textId="5DAF8E1E" w:rsidR="00282A48" w:rsidRPr="00147D0A" w:rsidRDefault="003315BB" w:rsidP="00282A48">
      <w:pPr>
        <w:spacing w:line="360" w:lineRule="auto"/>
        <w:ind w:firstLine="720"/>
        <w:jc w:val="center"/>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047" behindDoc="0" locked="0" layoutInCell="1" allowOverlap="1" wp14:anchorId="4BBA1B25" wp14:editId="0E20DA7B">
                <wp:simplePos x="0" y="0"/>
                <wp:positionH relativeFrom="column">
                  <wp:posOffset>4565015</wp:posOffset>
                </wp:positionH>
                <wp:positionV relativeFrom="paragraph">
                  <wp:posOffset>30643</wp:posOffset>
                </wp:positionV>
                <wp:extent cx="1016635" cy="575310"/>
                <wp:effectExtent l="0" t="0" r="12065" b="8890"/>
                <wp:wrapNone/>
                <wp:docPr id="1591247964" name="Text Box 4"/>
                <wp:cNvGraphicFramePr/>
                <a:graphic xmlns:a="http://schemas.openxmlformats.org/drawingml/2006/main">
                  <a:graphicData uri="http://schemas.microsoft.com/office/word/2010/wordprocessingShape">
                    <wps:wsp>
                      <wps:cNvSpPr txBox="1"/>
                      <wps:spPr>
                        <a:xfrm>
                          <a:off x="0" y="0"/>
                          <a:ext cx="1016635" cy="575310"/>
                        </a:xfrm>
                        <a:prstGeom prst="rect">
                          <a:avLst/>
                        </a:prstGeom>
                        <a:solidFill>
                          <a:schemeClr val="lt1"/>
                        </a:solidFill>
                        <a:ln w="3175">
                          <a:solidFill>
                            <a:schemeClr val="tx1"/>
                          </a:solidFill>
                        </a:ln>
                      </wps:spPr>
                      <wps:txbx>
                        <w:txbxContent>
                          <w:p w14:paraId="3690031D" w14:textId="4316056C"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Economy 25%</w:t>
                            </w:r>
                          </w:p>
                          <w:p w14:paraId="4DD43DFC" w14:textId="5761C18E"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4EA72E" w:themeColor="accent6"/>
                                <w:sz w:val="15"/>
                                <w:szCs w:val="15"/>
                                <w:lang w:val="en-US"/>
                              </w:rPr>
                              <w:t>- income</w:t>
                            </w:r>
                          </w:p>
                          <w:p w14:paraId="625ACD34" w14:textId="3A24B3FB"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growth</w:t>
                            </w:r>
                          </w:p>
                          <w:p w14:paraId="39760BA8" w14:textId="35DEBFE3"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diversification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A1B25" id="_x0000_s1038" type="#_x0000_t202" style="position:absolute;left:0;text-align:left;margin-left:359.45pt;margin-top:2.4pt;width:80.05pt;height:45.3pt;z-index:251714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" fillcolor="white [3201]" strokecolor="black [3213]" strokeweight=".25pt">
                <v:textbox>
                  <w:txbxContent>
                    <w:p w14:paraId="3690031D" w14:textId="4316056C"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Economy 25%</w:t>
                      </w:r>
                    </w:p>
                    <w:p w14:paraId="4DD43DFC" w14:textId="5761C18E"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4EA72E" w:themeColor="accent6"/>
                          <w:sz w:val="15"/>
                          <w:szCs w:val="15"/>
                          <w:lang w:val="en-US"/>
                        </w:rPr>
                        <w:t>- income</w:t>
                      </w:r>
                    </w:p>
                    <w:p w14:paraId="625ACD34" w14:textId="3A24B3FB"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growth</w:t>
                      </w:r>
                    </w:p>
                    <w:p w14:paraId="39760BA8" w14:textId="35DEBFE3" w:rsidR="009F657C" w:rsidRPr="00FB00CA" w:rsidRDefault="009F657C" w:rsidP="009F657C">
                      <w:pPr>
                        <w:rPr>
                          <w:rFonts w:ascii="Arial Hebrew" w:hAnsi="Arial Hebrew" w:cs="Arial Hebrew"/>
                          <w:b/>
                          <w:bCs/>
                          <w:color w:val="4EA72E" w:themeColor="accent6"/>
                          <w:sz w:val="15"/>
                          <w:szCs w:val="15"/>
                          <w:lang w:val="en-US"/>
                        </w:rPr>
                      </w:pPr>
                      <w:r w:rsidRPr="00FB00CA">
                        <w:rPr>
                          <w:rFonts w:ascii="Arial Hebrew" w:hAnsi="Arial Hebrew" w:cs="Arial Hebrew" w:hint="cs"/>
                          <w:b/>
                          <w:bCs/>
                          <w:color w:val="4EA72E" w:themeColor="accent6"/>
                          <w:sz w:val="15"/>
                          <w:szCs w:val="15"/>
                          <w:lang w:val="en-US"/>
                        </w:rPr>
                        <w:t xml:space="preserve">  - diversification</w:t>
                      </w:r>
                    </w:p>
                  </w:txbxContent>
                </v:textbox>
              </v:shape>
            </w:pict>
          </mc:Fallback>
        </mc:AlternateContent>
      </w:r>
      <w:r w:rsidR="0027716B" w:rsidRPr="00147D0A">
        <w:rPr>
          <w:rFonts w:ascii="Arial Hebrew" w:hAnsi="Arial Hebrew" w:cs="Arial Hebrew" w:hint="cs"/>
          <w:noProof/>
        </w:rPr>
        <mc:AlternateContent>
          <mc:Choice Requires="wps">
            <w:drawing>
              <wp:anchor distT="0" distB="0" distL="114300" distR="114300" simplePos="0" relativeHeight="251722752" behindDoc="0" locked="0" layoutInCell="1" allowOverlap="1" wp14:anchorId="44C6BF58" wp14:editId="7A79BCE8">
                <wp:simplePos x="0" y="0"/>
                <wp:positionH relativeFrom="column">
                  <wp:posOffset>189865</wp:posOffset>
                </wp:positionH>
                <wp:positionV relativeFrom="paragraph">
                  <wp:posOffset>147015</wp:posOffset>
                </wp:positionV>
                <wp:extent cx="1036955" cy="1477645"/>
                <wp:effectExtent l="0" t="0" r="17145" b="8255"/>
                <wp:wrapNone/>
                <wp:docPr id="699075714" name="Text Box 4"/>
                <wp:cNvGraphicFramePr/>
                <a:graphic xmlns:a="http://schemas.openxmlformats.org/drawingml/2006/main">
                  <a:graphicData uri="http://schemas.microsoft.com/office/word/2010/wordprocessingShape">
                    <wps:wsp>
                      <wps:cNvSpPr txBox="1"/>
                      <wps:spPr>
                        <a:xfrm>
                          <a:off x="0" y="0"/>
                          <a:ext cx="1036955" cy="1477645"/>
                        </a:xfrm>
                        <a:prstGeom prst="rect">
                          <a:avLst/>
                        </a:prstGeom>
                        <a:solidFill>
                          <a:schemeClr val="accent6">
                            <a:lumMod val="20000"/>
                            <a:lumOff val="80000"/>
                          </a:schemeClr>
                        </a:solidFill>
                        <a:ln w="12700">
                          <a:solidFill>
                            <a:schemeClr val="tx1"/>
                          </a:solidFill>
                        </a:ln>
                      </wps:spPr>
                      <wps:txbx>
                        <w:txbxContent>
                          <w:p w14:paraId="6B54DEDB" w14:textId="13F8CAB9" w:rsidR="00282A48" w:rsidRPr="00FB00CA" w:rsidRDefault="00282A48" w:rsidP="009840A6">
                            <w:pPr>
                              <w:shd w:val="clear" w:color="auto" w:fill="D9F2D0" w:themeFill="accent6" w:themeFillTint="33"/>
                              <w:rPr>
                                <w:rFonts w:ascii="Arial Hebrew" w:hAnsi="Arial Hebrew" w:cs="Arial Hebrew"/>
                                <w:b/>
                                <w:bCs/>
                                <w:color w:val="000000" w:themeColor="text1"/>
                                <w:sz w:val="20"/>
                                <w:szCs w:val="20"/>
                                <w:lang w:val="en-US"/>
                              </w:rPr>
                            </w:pPr>
                            <w:r w:rsidRPr="00FB00CA">
                              <w:rPr>
                                <w:rFonts w:ascii="Arial Hebrew" w:hAnsi="Arial Hebrew" w:cs="Arial Hebrew" w:hint="cs"/>
                                <w:b/>
                                <w:bCs/>
                                <w:color w:val="000000" w:themeColor="text1"/>
                                <w:sz w:val="20"/>
                                <w:szCs w:val="20"/>
                                <w:lang w:val="en-US"/>
                              </w:rPr>
                              <w:t>Extraordinary Support</w:t>
                            </w:r>
                          </w:p>
                          <w:p w14:paraId="36FDDA98" w14:textId="77777777" w:rsidR="00282A48" w:rsidRPr="00FB00CA" w:rsidRDefault="00282A48" w:rsidP="009840A6">
                            <w:pPr>
                              <w:shd w:val="clear" w:color="auto" w:fill="D9F2D0" w:themeFill="accent6" w:themeFillTint="33"/>
                              <w:jc w:val="center"/>
                              <w:rPr>
                                <w:rFonts w:ascii="Arial Hebrew" w:hAnsi="Arial Hebrew" w:cs="Arial Hebrew"/>
                                <w:b/>
                                <w:bCs/>
                                <w:color w:val="000000" w:themeColor="text1"/>
                                <w:sz w:val="11"/>
                                <w:szCs w:val="11"/>
                                <w:lang w:val="en-US"/>
                              </w:rPr>
                            </w:pPr>
                          </w:p>
                          <w:p w14:paraId="547EF949" w14:textId="50CFC09B" w:rsidR="00282A48" w:rsidRPr="00FB00CA" w:rsidRDefault="008F114A"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Likelihood of Support</w:t>
                            </w:r>
                          </w:p>
                          <w:p w14:paraId="659C0C21" w14:textId="2EE7C0A3"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Legal Framework / Policy</w:t>
                            </w:r>
                          </w:p>
                          <w:p w14:paraId="2CC83689" w14:textId="641F4252"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Reputational Risk</w:t>
                            </w:r>
                          </w:p>
                          <w:p w14:paraId="1CEDA104" w14:textId="164FB6AB"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Moral Hazard</w:t>
                            </w:r>
                          </w:p>
                          <w:p w14:paraId="504A4CC5" w14:textId="67F91992"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1"/>
                                <w:szCs w:val="11"/>
                                <w:lang w:val="en-US"/>
                              </w:rPr>
                            </w:pPr>
                            <w:r w:rsidRPr="00FB00CA">
                              <w:rPr>
                                <w:rFonts w:ascii="Arial Hebrew" w:hAnsi="Arial Hebrew" w:cs="Arial Hebrew" w:hint="cs"/>
                                <w:color w:val="000000" w:themeColor="text1"/>
                                <w:sz w:val="13"/>
                                <w:szCs w:val="13"/>
                                <w:lang w:val="en-US"/>
                              </w:rPr>
                              <w:t>Strategic Role</w:t>
                            </w:r>
                          </w:p>
                          <w:p w14:paraId="30C54610" w14:textId="77777777" w:rsidR="001F3782" w:rsidRPr="00FB00CA" w:rsidRDefault="001F3782" w:rsidP="009840A6">
                            <w:pPr>
                              <w:shd w:val="clear" w:color="auto" w:fill="D9F2D0" w:themeFill="accent6" w:themeFillTint="33"/>
                              <w:rPr>
                                <w:rFonts w:ascii="Arial Hebrew" w:hAnsi="Arial Hebrew" w:cs="Arial Hebrew"/>
                                <w:b/>
                                <w:bCs/>
                                <w:color w:val="000000" w:themeColor="text1"/>
                                <w:sz w:val="11"/>
                                <w:szCs w:val="11"/>
                                <w:lang w:val="en-US"/>
                              </w:rPr>
                            </w:pPr>
                          </w:p>
                          <w:p w14:paraId="3A91BB5D" w14:textId="3F6F6D6A" w:rsidR="00AF32D8" w:rsidRPr="00FB00CA" w:rsidRDefault="00AF32D8"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Joint Default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BF58" id="_x0000_s1039" type="#_x0000_t202" style="position:absolute;left:0;text-align:left;margin-left:14.95pt;margin-top:11.6pt;width:81.65pt;height:116.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" fillcolor="#d9f2d0 [665]" strokecolor="black [3213]" strokeweight="1pt">
                <v:textbox>
                  <w:txbxContent>
                    <w:p w14:paraId="6B54DEDB" w14:textId="13F8CAB9" w:rsidR="00282A48" w:rsidRPr="00FB00CA" w:rsidRDefault="00282A48" w:rsidP="009840A6">
                      <w:pPr>
                        <w:shd w:val="clear" w:color="auto" w:fill="D9F2D0" w:themeFill="accent6" w:themeFillTint="33"/>
                        <w:rPr>
                          <w:rFonts w:ascii="Arial Hebrew" w:hAnsi="Arial Hebrew" w:cs="Arial Hebrew"/>
                          <w:b/>
                          <w:bCs/>
                          <w:color w:val="000000" w:themeColor="text1"/>
                          <w:sz w:val="20"/>
                          <w:szCs w:val="20"/>
                          <w:lang w:val="en-US"/>
                        </w:rPr>
                      </w:pPr>
                      <w:r w:rsidRPr="00FB00CA">
                        <w:rPr>
                          <w:rFonts w:ascii="Arial Hebrew" w:hAnsi="Arial Hebrew" w:cs="Arial Hebrew" w:hint="cs"/>
                          <w:b/>
                          <w:bCs/>
                          <w:color w:val="000000" w:themeColor="text1"/>
                          <w:sz w:val="20"/>
                          <w:szCs w:val="20"/>
                          <w:lang w:val="en-US"/>
                        </w:rPr>
                        <w:t>Extraordinary Support</w:t>
                      </w:r>
                    </w:p>
                    <w:p w14:paraId="36FDDA98" w14:textId="77777777" w:rsidR="00282A48" w:rsidRPr="00FB00CA" w:rsidRDefault="00282A48" w:rsidP="009840A6">
                      <w:pPr>
                        <w:shd w:val="clear" w:color="auto" w:fill="D9F2D0" w:themeFill="accent6" w:themeFillTint="33"/>
                        <w:jc w:val="center"/>
                        <w:rPr>
                          <w:rFonts w:ascii="Arial Hebrew" w:hAnsi="Arial Hebrew" w:cs="Arial Hebrew"/>
                          <w:b/>
                          <w:bCs/>
                          <w:color w:val="000000" w:themeColor="text1"/>
                          <w:sz w:val="11"/>
                          <w:szCs w:val="11"/>
                          <w:lang w:val="en-US"/>
                        </w:rPr>
                      </w:pPr>
                    </w:p>
                    <w:p w14:paraId="547EF949" w14:textId="50CFC09B" w:rsidR="00282A48" w:rsidRPr="00FB00CA" w:rsidRDefault="008F114A"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Likelihood of Support</w:t>
                      </w:r>
                    </w:p>
                    <w:p w14:paraId="659C0C21" w14:textId="2EE7C0A3"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Legal Framework / Policy</w:t>
                      </w:r>
                    </w:p>
                    <w:p w14:paraId="2CC83689" w14:textId="641F4252"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Reputational Risk</w:t>
                      </w:r>
                    </w:p>
                    <w:p w14:paraId="1CEDA104" w14:textId="164FB6AB"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3"/>
                          <w:szCs w:val="13"/>
                          <w:lang w:val="en-US"/>
                        </w:rPr>
                      </w:pPr>
                      <w:r w:rsidRPr="00FB00CA">
                        <w:rPr>
                          <w:rFonts w:ascii="Arial Hebrew" w:hAnsi="Arial Hebrew" w:cs="Arial Hebrew" w:hint="cs"/>
                          <w:color w:val="000000" w:themeColor="text1"/>
                          <w:sz w:val="13"/>
                          <w:szCs w:val="13"/>
                          <w:lang w:val="en-US"/>
                        </w:rPr>
                        <w:t>Moral Hazard</w:t>
                      </w:r>
                    </w:p>
                    <w:p w14:paraId="504A4CC5" w14:textId="67F91992" w:rsidR="00AF32D8" w:rsidRPr="00FB00CA" w:rsidRDefault="00AF32D8" w:rsidP="003E1325">
                      <w:pPr>
                        <w:pStyle w:val="ListParagraph"/>
                        <w:numPr>
                          <w:ilvl w:val="0"/>
                          <w:numId w:val="38"/>
                        </w:numPr>
                        <w:shd w:val="clear" w:color="auto" w:fill="D9F2D0" w:themeFill="accent6" w:themeFillTint="33"/>
                        <w:rPr>
                          <w:rFonts w:ascii="Arial Hebrew" w:hAnsi="Arial Hebrew" w:cs="Arial Hebrew"/>
                          <w:color w:val="000000" w:themeColor="text1"/>
                          <w:sz w:val="11"/>
                          <w:szCs w:val="11"/>
                          <w:lang w:val="en-US"/>
                        </w:rPr>
                      </w:pPr>
                      <w:r w:rsidRPr="00FB00CA">
                        <w:rPr>
                          <w:rFonts w:ascii="Arial Hebrew" w:hAnsi="Arial Hebrew" w:cs="Arial Hebrew" w:hint="cs"/>
                          <w:color w:val="000000" w:themeColor="text1"/>
                          <w:sz w:val="13"/>
                          <w:szCs w:val="13"/>
                          <w:lang w:val="en-US"/>
                        </w:rPr>
                        <w:t>Strategic Role</w:t>
                      </w:r>
                    </w:p>
                    <w:p w14:paraId="30C54610" w14:textId="77777777" w:rsidR="001F3782" w:rsidRPr="00FB00CA" w:rsidRDefault="001F3782" w:rsidP="009840A6">
                      <w:pPr>
                        <w:shd w:val="clear" w:color="auto" w:fill="D9F2D0" w:themeFill="accent6" w:themeFillTint="33"/>
                        <w:rPr>
                          <w:rFonts w:ascii="Arial Hebrew" w:hAnsi="Arial Hebrew" w:cs="Arial Hebrew"/>
                          <w:b/>
                          <w:bCs/>
                          <w:color w:val="000000" w:themeColor="text1"/>
                          <w:sz w:val="11"/>
                          <w:szCs w:val="11"/>
                          <w:lang w:val="en-US"/>
                        </w:rPr>
                      </w:pPr>
                    </w:p>
                    <w:p w14:paraId="3A91BB5D" w14:textId="3F6F6D6A" w:rsidR="00AF32D8" w:rsidRPr="00FB00CA" w:rsidRDefault="00AF32D8" w:rsidP="009840A6">
                      <w:pPr>
                        <w:shd w:val="clear" w:color="auto" w:fill="D9F2D0" w:themeFill="accent6" w:themeFillTint="33"/>
                        <w:rPr>
                          <w:rFonts w:ascii="Arial Hebrew" w:hAnsi="Arial Hebrew" w:cs="Arial Hebrew"/>
                          <w:b/>
                          <w:bCs/>
                          <w:color w:val="000000" w:themeColor="text1"/>
                          <w:sz w:val="14"/>
                          <w:szCs w:val="14"/>
                          <w:lang w:val="en-US"/>
                        </w:rPr>
                      </w:pPr>
                      <w:r w:rsidRPr="00FB00CA">
                        <w:rPr>
                          <w:rFonts w:ascii="Arial Hebrew" w:hAnsi="Arial Hebrew" w:cs="Arial Hebrew" w:hint="cs"/>
                          <w:b/>
                          <w:bCs/>
                          <w:color w:val="000000" w:themeColor="text1"/>
                          <w:sz w:val="14"/>
                          <w:szCs w:val="14"/>
                          <w:lang w:val="en-US"/>
                        </w:rPr>
                        <w:t>Joint Default Analysis</w:t>
                      </w:r>
                    </w:p>
                  </w:txbxContent>
                </v:textbox>
              </v:shape>
            </w:pict>
          </mc:Fallback>
        </mc:AlternateContent>
      </w:r>
      <w:r w:rsidR="00282A48" w:rsidRPr="00147D0A">
        <w:rPr>
          <w:rFonts w:ascii="Arial Hebrew" w:hAnsi="Arial Hebrew" w:cs="Arial Hebrew" w:hint="cs"/>
          <w:noProof/>
        </w:rPr>
        <w:t xml:space="preserve"> </w:t>
      </w:r>
    </w:p>
    <w:p w14:paraId="3978859A" w14:textId="039CD0C1" w:rsidR="00282A48" w:rsidRPr="00147D0A" w:rsidRDefault="0028676A"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495" behindDoc="0" locked="0" layoutInCell="1" allowOverlap="1" wp14:anchorId="2836CE3E" wp14:editId="662BA57E">
                <wp:simplePos x="0" y="0"/>
                <wp:positionH relativeFrom="column">
                  <wp:posOffset>3092450</wp:posOffset>
                </wp:positionH>
                <wp:positionV relativeFrom="paragraph">
                  <wp:posOffset>185420</wp:posOffset>
                </wp:positionV>
                <wp:extent cx="991235" cy="457200"/>
                <wp:effectExtent l="0" t="0" r="12065" b="12700"/>
                <wp:wrapNone/>
                <wp:docPr id="596238214" name="Text Box 4"/>
                <wp:cNvGraphicFramePr/>
                <a:graphic xmlns:a="http://schemas.openxmlformats.org/drawingml/2006/main">
                  <a:graphicData uri="http://schemas.microsoft.com/office/word/2010/wordprocessingShape">
                    <wps:wsp>
                      <wps:cNvSpPr txBox="1"/>
                      <wps:spPr>
                        <a:xfrm>
                          <a:off x="0" y="0"/>
                          <a:ext cx="991235" cy="457200"/>
                        </a:xfrm>
                        <a:prstGeom prst="rect">
                          <a:avLst/>
                        </a:prstGeom>
                        <a:solidFill>
                          <a:schemeClr val="lt1"/>
                        </a:solidFill>
                        <a:ln w="3175">
                          <a:solidFill>
                            <a:schemeClr val="tx1"/>
                          </a:solidFill>
                        </a:ln>
                      </wps:spPr>
                      <wps:txbx>
                        <w:txbxContent>
                          <w:p w14:paraId="381E6D8F" w14:textId="73C8318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Leverage 25%</w:t>
                            </w:r>
                          </w:p>
                          <w:p w14:paraId="025DD4E1" w14:textId="1C2C1CA7"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FFBA00"/>
                                <w:sz w:val="15"/>
                                <w:szCs w:val="15"/>
                                <w:lang w:val="en-US"/>
                              </w:rPr>
                              <w:t>- debt burden</w:t>
                            </w:r>
                          </w:p>
                          <w:p w14:paraId="25ADDFBC" w14:textId="169E2293"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FFBA00"/>
                                <w:sz w:val="15"/>
                                <w:szCs w:val="15"/>
                                <w:lang w:val="en-US"/>
                              </w:rPr>
                              <w:t xml:space="preserve">  - interest burden</w:t>
                            </w:r>
                          </w:p>
                          <w:p w14:paraId="64BC6B9E" w14:textId="49F94ABE" w:rsidR="009F657C" w:rsidRPr="00FB00CA" w:rsidRDefault="009F657C" w:rsidP="009F657C">
                            <w:pPr>
                              <w:rPr>
                                <w:rFonts w:ascii="Arial Hebrew" w:hAnsi="Arial Hebrew" w:cs="Arial Hebrew"/>
                                <w:b/>
                                <w:bCs/>
                                <w:color w:val="0F9ED5" w:themeColor="accent4"/>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6CE3E" id="_x0000_s1040" type="#_x0000_t202" style="position:absolute;left:0;text-align:left;margin-left:243.5pt;margin-top:14.6pt;width:78.05pt;height:36pt;z-index:251714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" fillcolor="white [3201]" strokecolor="black [3213]" strokeweight=".25pt">
                <v:textbox>
                  <w:txbxContent>
                    <w:p w14:paraId="381E6D8F" w14:textId="73C8318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Leverage 25%</w:t>
                      </w:r>
                    </w:p>
                    <w:p w14:paraId="025DD4E1" w14:textId="1C2C1CA7"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FFBA00"/>
                          <w:sz w:val="15"/>
                          <w:szCs w:val="15"/>
                          <w:lang w:val="en-US"/>
                        </w:rPr>
                        <w:t>- debt burden</w:t>
                      </w:r>
                    </w:p>
                    <w:p w14:paraId="25ADDFBC" w14:textId="169E2293" w:rsidR="009F657C" w:rsidRPr="00FB00CA" w:rsidRDefault="009F657C" w:rsidP="009F657C">
                      <w:pPr>
                        <w:rPr>
                          <w:rFonts w:ascii="Arial Hebrew" w:hAnsi="Arial Hebrew" w:cs="Arial Hebrew"/>
                          <w:b/>
                          <w:bCs/>
                          <w:color w:val="FFBA00"/>
                          <w:sz w:val="15"/>
                          <w:szCs w:val="15"/>
                          <w:lang w:val="en-US"/>
                        </w:rPr>
                      </w:pPr>
                      <w:r w:rsidRPr="00FB00CA">
                        <w:rPr>
                          <w:rFonts w:ascii="Arial Hebrew" w:hAnsi="Arial Hebrew" w:cs="Arial Hebrew" w:hint="cs"/>
                          <w:b/>
                          <w:bCs/>
                          <w:color w:val="FFBA00"/>
                          <w:sz w:val="15"/>
                          <w:szCs w:val="15"/>
                          <w:lang w:val="en-US"/>
                        </w:rPr>
                        <w:t xml:space="preserve">  - interest burden</w:t>
                      </w:r>
                    </w:p>
                    <w:p w14:paraId="64BC6B9E" w14:textId="49F94ABE" w:rsidR="009F657C" w:rsidRPr="00FB00CA" w:rsidRDefault="009F657C" w:rsidP="009F657C">
                      <w:pPr>
                        <w:rPr>
                          <w:rFonts w:ascii="Arial Hebrew" w:hAnsi="Arial Hebrew" w:cs="Arial Hebrew"/>
                          <w:b/>
                          <w:bCs/>
                          <w:color w:val="0F9ED5" w:themeColor="accent4"/>
                          <w:sz w:val="15"/>
                          <w:szCs w:val="15"/>
                          <w:lang w:val="en-US"/>
                        </w:rPr>
                      </w:pP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04320" behindDoc="0" locked="0" layoutInCell="1" allowOverlap="1" wp14:anchorId="0FB656C4" wp14:editId="50DC63EC">
                <wp:simplePos x="0" y="0"/>
                <wp:positionH relativeFrom="column">
                  <wp:posOffset>2916860</wp:posOffset>
                </wp:positionH>
                <wp:positionV relativeFrom="paragraph">
                  <wp:posOffset>188595</wp:posOffset>
                </wp:positionV>
                <wp:extent cx="186690" cy="0"/>
                <wp:effectExtent l="25400" t="63500" r="0" b="76200"/>
                <wp:wrapNone/>
                <wp:docPr id="1588501669" name="Straight Arrow Connector 5"/>
                <wp:cNvGraphicFramePr/>
                <a:graphic xmlns:a="http://schemas.openxmlformats.org/drawingml/2006/main">
                  <a:graphicData uri="http://schemas.microsoft.com/office/word/2010/wordprocessingShape">
                    <wps:wsp>
                      <wps:cNvCnPr/>
                      <wps:spPr>
                        <a:xfrm flipH="1">
                          <a:off x="0" y="0"/>
                          <a:ext cx="18669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76349" id="Straight Arrow Connector 5" o:spid="_x0000_s1026" type="#_x0000_t32" style="position:absolute;margin-left:229.65pt;margin-top:14.85pt;width:14.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" strokecolor="black [3213]" strokeweight="1.25pt">
                <v:stroke endarrow="block" joinstyle="miter"/>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4303" behindDoc="0" locked="0" layoutInCell="1" allowOverlap="1" wp14:anchorId="479DEE85" wp14:editId="24A03DE2">
                <wp:simplePos x="0" y="0"/>
                <wp:positionH relativeFrom="column">
                  <wp:posOffset>4202430</wp:posOffset>
                </wp:positionH>
                <wp:positionV relativeFrom="paragraph">
                  <wp:posOffset>1558925</wp:posOffset>
                </wp:positionV>
                <wp:extent cx="1381760" cy="611505"/>
                <wp:effectExtent l="0" t="0" r="15240" b="10795"/>
                <wp:wrapNone/>
                <wp:docPr id="1471277748" name="Text Box 4"/>
                <wp:cNvGraphicFramePr/>
                <a:graphic xmlns:a="http://schemas.openxmlformats.org/drawingml/2006/main">
                  <a:graphicData uri="http://schemas.microsoft.com/office/word/2010/wordprocessingShape">
                    <wps:wsp>
                      <wps:cNvSpPr txBox="1"/>
                      <wps:spPr>
                        <a:xfrm>
                          <a:off x="0" y="0"/>
                          <a:ext cx="1381760" cy="611505"/>
                        </a:xfrm>
                        <a:prstGeom prst="rect">
                          <a:avLst/>
                        </a:prstGeom>
                        <a:solidFill>
                          <a:schemeClr val="lt1"/>
                        </a:solidFill>
                        <a:ln w="3175">
                          <a:solidFill>
                            <a:schemeClr val="tx1"/>
                          </a:solidFill>
                        </a:ln>
                      </wps:spPr>
                      <wps:txbx>
                        <w:txbxContent>
                          <w:p w14:paraId="79E5C46C" w14:textId="2F67A00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Institutional Framework &amp; Governance 30%</w:t>
                            </w:r>
                          </w:p>
                          <w:p w14:paraId="7EAD56EC" w14:textId="28F418B2"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0F9ED5" w:themeColor="accent4"/>
                                <w:sz w:val="15"/>
                                <w:szCs w:val="15"/>
                                <w:lang w:val="en-US"/>
                              </w:rPr>
                              <w:t>- institutional framework</w:t>
                            </w:r>
                          </w:p>
                          <w:p w14:paraId="3F023C25" w14:textId="01A96550"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5"/>
                                <w:szCs w:val="15"/>
                                <w:lang w:val="en-US"/>
                              </w:rPr>
                              <w:t xml:space="preserve">  </w:t>
                            </w:r>
                            <w:r w:rsidRPr="00FB00CA">
                              <w:rPr>
                                <w:rFonts w:ascii="Arial Hebrew" w:hAnsi="Arial Hebrew" w:cs="Arial Hebrew" w:hint="cs"/>
                                <w:b/>
                                <w:bCs/>
                                <w:color w:val="0F9ED5" w:themeColor="accent4"/>
                                <w:sz w:val="15"/>
                                <w:szCs w:val="15"/>
                                <w:lang w:val="en-US"/>
                              </w:rPr>
                              <w: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EE85" id="_x0000_s1041" type="#_x0000_t202" style="position:absolute;left:0;text-align:left;margin-left:330.9pt;margin-top:122.75pt;width:108.8pt;height:48.15pt;z-index:251714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" fillcolor="white [3201]" strokecolor="black [3213]" strokeweight=".25pt">
                <v:textbox>
                  <w:txbxContent>
                    <w:p w14:paraId="79E5C46C" w14:textId="2F67A007"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Institutional Framework &amp; Governance 30%</w:t>
                      </w:r>
                    </w:p>
                    <w:p w14:paraId="7EAD56EC" w14:textId="28F418B2"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6"/>
                          <w:szCs w:val="16"/>
                          <w:lang w:val="en-US"/>
                        </w:rPr>
                        <w:t xml:space="preserve">  </w:t>
                      </w:r>
                      <w:r w:rsidRPr="00FB00CA">
                        <w:rPr>
                          <w:rFonts w:ascii="Arial Hebrew" w:hAnsi="Arial Hebrew" w:cs="Arial Hebrew" w:hint="cs"/>
                          <w:b/>
                          <w:bCs/>
                          <w:color w:val="0F9ED5" w:themeColor="accent4"/>
                          <w:sz w:val="15"/>
                          <w:szCs w:val="15"/>
                          <w:lang w:val="en-US"/>
                        </w:rPr>
                        <w:t>- institutional framework</w:t>
                      </w:r>
                    </w:p>
                    <w:p w14:paraId="3F023C25" w14:textId="01A96550"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4EA72E" w:themeColor="accent6"/>
                          <w:sz w:val="15"/>
                          <w:szCs w:val="15"/>
                          <w:lang w:val="en-US"/>
                        </w:rPr>
                        <w:t xml:space="preserve">  </w:t>
                      </w:r>
                      <w:r w:rsidRPr="00FB00CA">
                        <w:rPr>
                          <w:rFonts w:ascii="Arial Hebrew" w:hAnsi="Arial Hebrew" w:cs="Arial Hebrew" w:hint="cs"/>
                          <w:b/>
                          <w:bCs/>
                          <w:color w:val="0F9ED5" w:themeColor="accent4"/>
                          <w:sz w:val="15"/>
                          <w:szCs w:val="15"/>
                          <w:lang w:val="en-US"/>
                        </w:rPr>
                        <w:t>- governance</w:t>
                      </w:r>
                    </w:p>
                  </w:txbxContent>
                </v:textbox>
              </v:shape>
            </w:pict>
          </mc:Fallback>
        </mc:AlternateContent>
      </w:r>
      <w:r w:rsidR="003315BB" w:rsidRPr="00147D0A">
        <w:rPr>
          <w:rFonts w:ascii="Arial Hebrew" w:hAnsi="Arial Hebrew" w:cs="Arial Hebrew" w:hint="cs"/>
          <w:noProof/>
        </w:rPr>
        <mc:AlternateContent>
          <mc:Choice Requires="wps">
            <w:drawing>
              <wp:anchor distT="0" distB="0" distL="114300" distR="114300" simplePos="0" relativeHeight="251717632" behindDoc="0" locked="0" layoutInCell="1" allowOverlap="1" wp14:anchorId="76721F67" wp14:editId="0814E4F5">
                <wp:simplePos x="0" y="0"/>
                <wp:positionH relativeFrom="column">
                  <wp:posOffset>1532255</wp:posOffset>
                </wp:positionH>
                <wp:positionV relativeFrom="paragraph">
                  <wp:posOffset>1483360</wp:posOffset>
                </wp:positionV>
                <wp:extent cx="1318260" cy="708660"/>
                <wp:effectExtent l="0" t="0" r="15240" b="15240"/>
                <wp:wrapNone/>
                <wp:docPr id="8039056" name="Text Box 4"/>
                <wp:cNvGraphicFramePr/>
                <a:graphic xmlns:a="http://schemas.openxmlformats.org/drawingml/2006/main">
                  <a:graphicData uri="http://schemas.microsoft.com/office/word/2010/wordprocessingShape">
                    <wps:wsp>
                      <wps:cNvSpPr txBox="1"/>
                      <wps:spPr>
                        <a:xfrm>
                          <a:off x="0" y="0"/>
                          <a:ext cx="1318260" cy="708660"/>
                        </a:xfrm>
                        <a:prstGeom prst="rect">
                          <a:avLst/>
                        </a:prstGeom>
                        <a:solidFill>
                          <a:schemeClr val="accent4">
                            <a:lumMod val="40000"/>
                            <a:lumOff val="60000"/>
                          </a:schemeClr>
                        </a:solidFill>
                        <a:ln w="6350">
                          <a:solidFill>
                            <a:schemeClr val="tx1"/>
                          </a:solidFill>
                        </a:ln>
                      </wps:spPr>
                      <wps:txbx>
                        <w:txbxContent>
                          <w:p w14:paraId="2BDEA9AF" w14:textId="77777777" w:rsidR="008F114A" w:rsidRPr="00CD3C50" w:rsidRDefault="008F114A"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Operating Environment</w:t>
                            </w:r>
                          </w:p>
                          <w:p w14:paraId="70165364" w14:textId="41FF8925" w:rsidR="008877C2" w:rsidRPr="00CD3C50" w:rsidRDefault="008F114A" w:rsidP="008C6796">
                            <w:pPr>
                              <w:pStyle w:val="ListParagraph"/>
                              <w:numPr>
                                <w:ilvl w:val="0"/>
                                <w:numId w:val="37"/>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Macroeconomic Environment</w:t>
                            </w:r>
                          </w:p>
                          <w:p w14:paraId="59D43D20" w14:textId="37A1F31F" w:rsidR="008F114A" w:rsidRPr="00CD3C50" w:rsidRDefault="008F114A" w:rsidP="008C6796">
                            <w:pPr>
                              <w:pStyle w:val="ListParagraph"/>
                              <w:numPr>
                                <w:ilvl w:val="0"/>
                                <w:numId w:val="37"/>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Institutional Framework</w:t>
                            </w:r>
                          </w:p>
                          <w:p w14:paraId="11D80785" w14:textId="20103713" w:rsidR="008F114A" w:rsidRPr="00CD3C50" w:rsidRDefault="008F114A" w:rsidP="008C6796">
                            <w:pPr>
                              <w:pStyle w:val="ListParagraph"/>
                              <w:numPr>
                                <w:ilvl w:val="0"/>
                                <w:numId w:val="37"/>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 xml:space="preserve">Ordinary Support from Higher-Tier Governments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21F67" id="_x0000_s1042" type="#_x0000_t202" style="position:absolute;left:0;text-align:left;margin-left:120.65pt;margin-top:116.8pt;width:103.8pt;height:55.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" fillcolor="#95dcf7 [1303]" strokecolor="black [3213]" strokeweight=".5pt">
                <v:textbox>
                  <w:txbxContent>
                    <w:p w14:paraId="2BDEA9AF" w14:textId="77777777" w:rsidR="008F114A" w:rsidRPr="00CD3C50" w:rsidRDefault="008F114A"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Operating Environment</w:t>
                      </w:r>
                    </w:p>
                    <w:p w14:paraId="70165364" w14:textId="41FF8925" w:rsidR="008877C2" w:rsidRPr="00CD3C50" w:rsidRDefault="008F114A" w:rsidP="008C6796">
                      <w:pPr>
                        <w:pStyle w:val="ListParagraph"/>
                        <w:numPr>
                          <w:ilvl w:val="0"/>
                          <w:numId w:val="37"/>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Macroeconomic Environment</w:t>
                      </w:r>
                    </w:p>
                    <w:p w14:paraId="59D43D20" w14:textId="37A1F31F" w:rsidR="008F114A" w:rsidRPr="00CD3C50" w:rsidRDefault="008F114A" w:rsidP="008C6796">
                      <w:pPr>
                        <w:pStyle w:val="ListParagraph"/>
                        <w:numPr>
                          <w:ilvl w:val="0"/>
                          <w:numId w:val="37"/>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Institutional Framework</w:t>
                      </w:r>
                    </w:p>
                    <w:p w14:paraId="11D80785" w14:textId="20103713" w:rsidR="008F114A" w:rsidRPr="00CD3C50" w:rsidRDefault="008F114A" w:rsidP="008C6796">
                      <w:pPr>
                        <w:pStyle w:val="ListParagraph"/>
                        <w:numPr>
                          <w:ilvl w:val="0"/>
                          <w:numId w:val="37"/>
                        </w:numPr>
                        <w:rPr>
                          <w:rFonts w:ascii="Arial Hebrew" w:hAnsi="Arial Hebrew" w:cs="Arial Hebrew"/>
                          <w:color w:val="000000" w:themeColor="text1"/>
                          <w:sz w:val="13"/>
                          <w:szCs w:val="13"/>
                          <w:lang w:val="en-US"/>
                        </w:rPr>
                      </w:pPr>
                      <w:r w:rsidRPr="00CD3C50">
                        <w:rPr>
                          <w:rFonts w:ascii="Arial Hebrew" w:hAnsi="Arial Hebrew" w:cs="Arial Hebrew" w:hint="cs"/>
                          <w:color w:val="000000" w:themeColor="text1"/>
                          <w:sz w:val="13"/>
                          <w:szCs w:val="13"/>
                          <w:lang w:val="en-US"/>
                        </w:rPr>
                        <w:t xml:space="preserve">Ordinary Support from Higher-Tier Governments </w:t>
                      </w:r>
                    </w:p>
                  </w:txbxContent>
                </v:textbox>
              </v:shape>
            </w:pict>
          </mc:Fallback>
        </mc:AlternateContent>
      </w:r>
      <w:r w:rsidR="001968C3" w:rsidRPr="00147D0A">
        <w:rPr>
          <w:rFonts w:ascii="Arial Hebrew" w:hAnsi="Arial Hebrew" w:cs="Arial Hebrew" w:hint="cs"/>
          <w:noProof/>
        </w:rPr>
        <w:drawing>
          <wp:anchor distT="0" distB="0" distL="114300" distR="114300" simplePos="0" relativeHeight="251714560" behindDoc="0" locked="0" layoutInCell="1" allowOverlap="1" wp14:anchorId="20C3A761" wp14:editId="74856EC3">
            <wp:simplePos x="0" y="0"/>
            <wp:positionH relativeFrom="column">
              <wp:posOffset>3388030</wp:posOffset>
            </wp:positionH>
            <wp:positionV relativeFrom="paragraph">
              <wp:posOffset>135890</wp:posOffset>
            </wp:positionV>
            <wp:extent cx="1786255" cy="1516380"/>
            <wp:effectExtent l="0" t="0" r="0" b="0"/>
            <wp:wrapNone/>
            <wp:docPr id="416158767" name="Chart 1">
              <a:extLst xmlns:a="http://schemas.openxmlformats.org/drawingml/2006/main">
                <a:ext uri="{FF2B5EF4-FFF2-40B4-BE49-F238E27FC236}">
                  <a16:creationId xmlns:a16="http://schemas.microsoft.com/office/drawing/2014/main" id="{410FC96F-F4E3-BE34-A0CA-0F259E1A3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FAA27B4" w14:textId="0911E827" w:rsidR="00282A48" w:rsidRPr="00147D0A" w:rsidRDefault="000F25EB"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88960" behindDoc="0" locked="0" layoutInCell="1" allowOverlap="1" wp14:anchorId="44D880AE" wp14:editId="3BC9E88C">
                <wp:simplePos x="0" y="0"/>
                <wp:positionH relativeFrom="column">
                  <wp:posOffset>2259965</wp:posOffset>
                </wp:positionH>
                <wp:positionV relativeFrom="paragraph">
                  <wp:posOffset>138967</wp:posOffset>
                </wp:positionV>
                <wp:extent cx="0" cy="153670"/>
                <wp:effectExtent l="50800" t="0" r="38100" b="36830"/>
                <wp:wrapNone/>
                <wp:docPr id="902167984" name="Straight Arrow Connector 6"/>
                <wp:cNvGraphicFramePr/>
                <a:graphic xmlns:a="http://schemas.openxmlformats.org/drawingml/2006/main">
                  <a:graphicData uri="http://schemas.microsoft.com/office/word/2010/wordprocessingShape">
                    <wps:wsp>
                      <wps:cNvCnPr/>
                      <wps:spPr>
                        <a:xfrm>
                          <a:off x="0" y="0"/>
                          <a:ext cx="0" cy="15367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A4C69" id="Straight Arrow Connector 6" o:spid="_x0000_s1026" type="#_x0000_t32" style="position:absolute;margin-left:177.95pt;margin-top:10.95pt;width:0;height: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" strokecolor="black [3213]" strokeweight="1.25pt">
                <v:stroke endarrow="block" joinstyle="miter"/>
              </v:shape>
            </w:pict>
          </mc:Fallback>
        </mc:AlternateContent>
      </w:r>
    </w:p>
    <w:p w14:paraId="1DC21E87" w14:textId="755C27B3" w:rsidR="00282A48" w:rsidRPr="00147D0A" w:rsidRDefault="007B1AE9"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9167" behindDoc="0" locked="0" layoutInCell="1" allowOverlap="1" wp14:anchorId="6426406C" wp14:editId="59D9CF4E">
                <wp:simplePos x="0" y="0"/>
                <wp:positionH relativeFrom="column">
                  <wp:posOffset>2185365</wp:posOffset>
                </wp:positionH>
                <wp:positionV relativeFrom="paragraph">
                  <wp:posOffset>168910</wp:posOffset>
                </wp:positionV>
                <wp:extent cx="0" cy="217158"/>
                <wp:effectExtent l="63500" t="0" r="50800" b="37465"/>
                <wp:wrapNone/>
                <wp:docPr id="125272795" name="Straight Arrow Connector 5"/>
                <wp:cNvGraphicFramePr/>
                <a:graphic xmlns:a="http://schemas.openxmlformats.org/drawingml/2006/main">
                  <a:graphicData uri="http://schemas.microsoft.com/office/word/2010/wordprocessingShape">
                    <wps:wsp>
                      <wps:cNvCnPr/>
                      <wps:spPr>
                        <a:xfrm flipH="1">
                          <a:off x="0" y="0"/>
                          <a:ext cx="0" cy="217158"/>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5A1C9" id="Straight Arrow Connector 5" o:spid="_x0000_s1026" type="#_x0000_t32" style="position:absolute;margin-left:172.1pt;margin-top:13.3pt;width:0;height:17.1pt;flip:x;z-index:251719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" strokecolor="black [3213]" strokeweight="1.25pt">
                <v:stroke endarrow="block" joinstyle="miter"/>
              </v:shape>
            </w:pict>
          </mc:Fallback>
        </mc:AlternateContent>
      </w:r>
    </w:p>
    <w:p w14:paraId="3B19D75E" w14:textId="6E770427" w:rsidR="00282A48" w:rsidRPr="00147D0A" w:rsidRDefault="00C666EB"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366" behindDoc="0" locked="0" layoutInCell="1" allowOverlap="1" wp14:anchorId="210FED7B" wp14:editId="6F295A88">
                <wp:simplePos x="0" y="0"/>
                <wp:positionH relativeFrom="column">
                  <wp:posOffset>1483030</wp:posOffset>
                </wp:positionH>
                <wp:positionV relativeFrom="paragraph">
                  <wp:posOffset>180340</wp:posOffset>
                </wp:positionV>
                <wp:extent cx="1424305" cy="1450442"/>
                <wp:effectExtent l="0" t="0" r="10795" b="10160"/>
                <wp:wrapNone/>
                <wp:docPr id="1313999626" name="Text Box 4"/>
                <wp:cNvGraphicFramePr/>
                <a:graphic xmlns:a="http://schemas.openxmlformats.org/drawingml/2006/main">
                  <a:graphicData uri="http://schemas.microsoft.com/office/word/2010/wordprocessingShape">
                    <wps:wsp>
                      <wps:cNvSpPr txBox="1"/>
                      <wps:spPr>
                        <a:xfrm>
                          <a:off x="0" y="0"/>
                          <a:ext cx="1424305" cy="1450442"/>
                        </a:xfrm>
                        <a:prstGeom prst="rect">
                          <a:avLst/>
                        </a:prstGeom>
                        <a:solidFill>
                          <a:schemeClr val="accent4">
                            <a:lumMod val="20000"/>
                            <a:lumOff val="80000"/>
                          </a:schemeClr>
                        </a:solidFill>
                        <a:ln w="9525">
                          <a:solidFill>
                            <a:schemeClr val="tx1"/>
                          </a:solidFill>
                        </a:ln>
                      </wps:spPr>
                      <wps:txbx>
                        <w:txbxContent>
                          <w:p w14:paraId="063A4B0E" w14:textId="6B7F6251" w:rsidR="008877C2"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Macro Operating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FED7B" id="_x0000_s1043" type="#_x0000_t202" style="position:absolute;left:0;text-align:left;margin-left:116.75pt;margin-top:14.2pt;width:112.15pt;height:114.2pt;z-index:251714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" fillcolor="#caedfb [663]" strokecolor="black [3213]">
                <v:textbox>
                  <w:txbxContent>
                    <w:p w14:paraId="063A4B0E" w14:textId="6B7F6251" w:rsidR="008877C2" w:rsidRPr="00CD3C50" w:rsidRDefault="008877C2" w:rsidP="00C11651">
                      <w:pPr>
                        <w:rPr>
                          <w:rFonts w:ascii="Arial Hebrew" w:hAnsi="Arial Hebrew" w:cs="Arial Hebrew"/>
                          <w:b/>
                          <w:bCs/>
                          <w:color w:val="000000" w:themeColor="text1"/>
                          <w:sz w:val="16"/>
                          <w:szCs w:val="16"/>
                          <w:lang w:val="en-US"/>
                        </w:rPr>
                      </w:pPr>
                      <w:r w:rsidRPr="00CD3C50">
                        <w:rPr>
                          <w:rFonts w:ascii="Arial Hebrew" w:hAnsi="Arial Hebrew" w:cs="Arial Hebrew" w:hint="cs"/>
                          <w:b/>
                          <w:bCs/>
                          <w:color w:val="000000" w:themeColor="text1"/>
                          <w:sz w:val="16"/>
                          <w:szCs w:val="16"/>
                          <w:lang w:val="en-US"/>
                        </w:rPr>
                        <w:t>Macro Operating Assessment</w:t>
                      </w:r>
                    </w:p>
                  </w:txbxContent>
                </v:textbox>
              </v:shape>
            </w:pict>
          </mc:Fallback>
        </mc:AlternateContent>
      </w:r>
    </w:p>
    <w:p w14:paraId="6967FF12" w14:textId="0A2CA9B4" w:rsidR="00282A48" w:rsidRPr="00147D0A" w:rsidRDefault="00282A48" w:rsidP="00282A48">
      <w:pPr>
        <w:spacing w:line="360" w:lineRule="auto"/>
        <w:ind w:firstLine="360"/>
        <w:jc w:val="both"/>
        <w:rPr>
          <w:rFonts w:ascii="Arial Hebrew" w:hAnsi="Arial Hebrew" w:cs="Arial Hebrew"/>
          <w:sz w:val="20"/>
          <w:szCs w:val="20"/>
        </w:rPr>
      </w:pPr>
    </w:p>
    <w:p w14:paraId="55B15225" w14:textId="32013CC7" w:rsidR="00282A48" w:rsidRPr="00147D0A" w:rsidRDefault="0028676A" w:rsidP="00282A48">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14431" behindDoc="0" locked="0" layoutInCell="1" allowOverlap="1" wp14:anchorId="4EF059BF" wp14:editId="339EC961">
                <wp:simplePos x="0" y="0"/>
                <wp:positionH relativeFrom="column">
                  <wp:posOffset>3100233</wp:posOffset>
                </wp:positionH>
                <wp:positionV relativeFrom="paragraph">
                  <wp:posOffset>198755</wp:posOffset>
                </wp:positionV>
                <wp:extent cx="1054735" cy="948690"/>
                <wp:effectExtent l="0" t="0" r="12065" b="16510"/>
                <wp:wrapNone/>
                <wp:docPr id="1197758989" name="Text Box 4"/>
                <wp:cNvGraphicFramePr/>
                <a:graphic xmlns:a="http://schemas.openxmlformats.org/drawingml/2006/main">
                  <a:graphicData uri="http://schemas.microsoft.com/office/word/2010/wordprocessingShape">
                    <wps:wsp>
                      <wps:cNvSpPr txBox="1"/>
                      <wps:spPr>
                        <a:xfrm>
                          <a:off x="0" y="0"/>
                          <a:ext cx="1054735" cy="948690"/>
                        </a:xfrm>
                        <a:prstGeom prst="rect">
                          <a:avLst/>
                        </a:prstGeom>
                        <a:solidFill>
                          <a:schemeClr val="lt1"/>
                        </a:solidFill>
                        <a:ln w="3175">
                          <a:solidFill>
                            <a:schemeClr val="tx1"/>
                          </a:solidFill>
                        </a:ln>
                      </wps:spPr>
                      <wps:txbx>
                        <w:txbxContent>
                          <w:p w14:paraId="7C007AE0" w14:textId="720AC93D"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Financial Performance 20%</w:t>
                            </w:r>
                          </w:p>
                          <w:p w14:paraId="223EC858" w14:textId="45A531F5"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2600"/>
                                <w:sz w:val="16"/>
                                <w:szCs w:val="16"/>
                                <w:lang w:val="en-US"/>
                              </w:rPr>
                              <w:t xml:space="preserve">  </w:t>
                            </w:r>
                            <w:r w:rsidRPr="00FB00CA">
                              <w:rPr>
                                <w:rFonts w:ascii="Arial Hebrew" w:hAnsi="Arial Hebrew" w:cs="Arial Hebrew" w:hint="cs"/>
                                <w:b/>
                                <w:bCs/>
                                <w:color w:val="FF7E79"/>
                                <w:sz w:val="15"/>
                                <w:szCs w:val="15"/>
                                <w:lang w:val="en-US"/>
                              </w:rPr>
                              <w:t>- operating margin</w:t>
                            </w:r>
                          </w:p>
                          <w:p w14:paraId="0869906C" w14:textId="6EB70872"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liquidity ratio</w:t>
                            </w:r>
                          </w:p>
                          <w:p w14:paraId="7943B772" w14:textId="3D7C38BC"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ease of access to funding</w:t>
                            </w:r>
                          </w:p>
                          <w:p w14:paraId="6F43F0CE" w14:textId="69982ED7"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0F9ED5" w:themeColor="accent4"/>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59BF" id="_x0000_s1044" type="#_x0000_t202" style="position:absolute;left:0;text-align:left;margin-left:244.1pt;margin-top:15.65pt;width:83.05pt;height:74.7pt;z-index:251714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" fillcolor="white [3201]" strokecolor="black [3213]" strokeweight=".25pt">
                <v:textbox>
                  <w:txbxContent>
                    <w:p w14:paraId="7C007AE0" w14:textId="720AC93D" w:rsidR="009F657C" w:rsidRPr="00FB00CA" w:rsidRDefault="009F657C" w:rsidP="009F657C">
                      <w:pPr>
                        <w:rPr>
                          <w:rFonts w:ascii="Arial Hebrew" w:hAnsi="Arial Hebrew" w:cs="Arial Hebrew"/>
                          <w:b/>
                          <w:bCs/>
                          <w:sz w:val="16"/>
                          <w:szCs w:val="16"/>
                          <w:lang w:val="en-US"/>
                        </w:rPr>
                      </w:pPr>
                      <w:r w:rsidRPr="00FB00CA">
                        <w:rPr>
                          <w:rFonts w:ascii="Arial Hebrew" w:hAnsi="Arial Hebrew" w:cs="Arial Hebrew" w:hint="cs"/>
                          <w:b/>
                          <w:bCs/>
                          <w:sz w:val="16"/>
                          <w:szCs w:val="16"/>
                          <w:lang w:val="en-US"/>
                        </w:rPr>
                        <w:t>Financial Performance 20%</w:t>
                      </w:r>
                    </w:p>
                    <w:p w14:paraId="223EC858" w14:textId="45A531F5"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2600"/>
                          <w:sz w:val="16"/>
                          <w:szCs w:val="16"/>
                          <w:lang w:val="en-US"/>
                        </w:rPr>
                        <w:t xml:space="preserve">  </w:t>
                      </w:r>
                      <w:r w:rsidRPr="00FB00CA">
                        <w:rPr>
                          <w:rFonts w:ascii="Arial Hebrew" w:hAnsi="Arial Hebrew" w:cs="Arial Hebrew" w:hint="cs"/>
                          <w:b/>
                          <w:bCs/>
                          <w:color w:val="FF7E79"/>
                          <w:sz w:val="15"/>
                          <w:szCs w:val="15"/>
                          <w:lang w:val="en-US"/>
                        </w:rPr>
                        <w:t>- operating margin</w:t>
                      </w:r>
                    </w:p>
                    <w:p w14:paraId="0869906C" w14:textId="6EB70872"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liquidity ratio</w:t>
                      </w:r>
                    </w:p>
                    <w:p w14:paraId="7943B772" w14:textId="3D7C38BC" w:rsidR="009F657C" w:rsidRPr="00FB00CA" w:rsidRDefault="009F657C" w:rsidP="009F657C">
                      <w:pPr>
                        <w:rPr>
                          <w:rFonts w:ascii="Arial Hebrew" w:hAnsi="Arial Hebrew" w:cs="Arial Hebrew"/>
                          <w:b/>
                          <w:bCs/>
                          <w:color w:val="FF7E79"/>
                          <w:sz w:val="15"/>
                          <w:szCs w:val="15"/>
                          <w:lang w:val="en-US"/>
                        </w:rPr>
                      </w:pPr>
                      <w:r w:rsidRPr="00FB00CA">
                        <w:rPr>
                          <w:rFonts w:ascii="Arial Hebrew" w:hAnsi="Arial Hebrew" w:cs="Arial Hebrew" w:hint="cs"/>
                          <w:b/>
                          <w:bCs/>
                          <w:color w:val="FF7E79"/>
                          <w:sz w:val="15"/>
                          <w:szCs w:val="15"/>
                          <w:lang w:val="en-US"/>
                        </w:rPr>
                        <w:t xml:space="preserve">  - ease of access to funding</w:t>
                      </w:r>
                    </w:p>
                    <w:p w14:paraId="6F43F0CE" w14:textId="69982ED7" w:rsidR="009F657C" w:rsidRPr="00FB00CA" w:rsidRDefault="009F657C" w:rsidP="009F657C">
                      <w:pPr>
                        <w:rPr>
                          <w:rFonts w:ascii="Arial Hebrew" w:hAnsi="Arial Hebrew" w:cs="Arial Hebrew"/>
                          <w:b/>
                          <w:bCs/>
                          <w:color w:val="0F9ED5" w:themeColor="accent4"/>
                          <w:sz w:val="15"/>
                          <w:szCs w:val="15"/>
                          <w:lang w:val="en-US"/>
                        </w:rPr>
                      </w:pPr>
                      <w:r w:rsidRPr="00FB00CA">
                        <w:rPr>
                          <w:rFonts w:ascii="Arial Hebrew" w:hAnsi="Arial Hebrew" w:cs="Arial Hebrew" w:hint="cs"/>
                          <w:b/>
                          <w:bCs/>
                          <w:color w:val="0F9ED5" w:themeColor="accent4"/>
                          <w:sz w:val="15"/>
                          <w:szCs w:val="15"/>
                          <w:lang w:val="en-US"/>
                        </w:rPr>
                        <w:t xml:space="preserve">  </w:t>
                      </w:r>
                    </w:p>
                  </w:txbxContent>
                </v:textbox>
              </v:shape>
            </w:pict>
          </mc:Fallback>
        </mc:AlternateContent>
      </w:r>
      <w:r w:rsidR="007B1AE9" w:rsidRPr="00147D0A">
        <w:rPr>
          <w:rFonts w:ascii="Arial Hebrew" w:hAnsi="Arial Hebrew" w:cs="Arial Hebrew" w:hint="cs"/>
          <w:noProof/>
        </w:rPr>
        <mc:AlternateContent>
          <mc:Choice Requires="wps">
            <w:drawing>
              <wp:anchor distT="0" distB="0" distL="114300" distR="114300" simplePos="0" relativeHeight="251715584" behindDoc="0" locked="0" layoutInCell="1" allowOverlap="1" wp14:anchorId="0486BFE5" wp14:editId="5B0DAD76">
                <wp:simplePos x="0" y="0"/>
                <wp:positionH relativeFrom="column">
                  <wp:posOffset>1533830</wp:posOffset>
                </wp:positionH>
                <wp:positionV relativeFrom="paragraph">
                  <wp:posOffset>121285</wp:posOffset>
                </wp:positionV>
                <wp:extent cx="1318260" cy="308229"/>
                <wp:effectExtent l="0" t="0" r="15240" b="9525"/>
                <wp:wrapNone/>
                <wp:docPr id="765311756" name="Text Box 4"/>
                <wp:cNvGraphicFramePr/>
                <a:graphic xmlns:a="http://schemas.openxmlformats.org/drawingml/2006/main">
                  <a:graphicData uri="http://schemas.microsoft.com/office/word/2010/wordprocessingShape">
                    <wps:wsp>
                      <wps:cNvSpPr txBox="1"/>
                      <wps:spPr>
                        <a:xfrm>
                          <a:off x="0" y="0"/>
                          <a:ext cx="1318260" cy="308229"/>
                        </a:xfrm>
                        <a:prstGeom prst="rect">
                          <a:avLst/>
                        </a:prstGeom>
                        <a:solidFill>
                          <a:schemeClr val="accent4">
                            <a:lumMod val="40000"/>
                            <a:lumOff val="60000"/>
                          </a:schemeClr>
                        </a:solidFill>
                        <a:ln w="6350">
                          <a:solidFill>
                            <a:schemeClr val="tx1"/>
                          </a:solidFill>
                        </a:ln>
                      </wps:spPr>
                      <wps:txbx>
                        <w:txbxContent>
                          <w:p w14:paraId="1CC68AB5" w14:textId="6547CDD7" w:rsidR="009F1D4C" w:rsidRPr="00CD3C50" w:rsidRDefault="0080687F"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S</w:t>
                            </w:r>
                            <w:r w:rsidR="008877C2" w:rsidRPr="00CD3C50">
                              <w:rPr>
                                <w:rFonts w:ascii="Arial Hebrew" w:hAnsi="Arial Hebrew" w:cs="Arial Hebrew" w:hint="cs"/>
                                <w:b/>
                                <w:bCs/>
                                <w:color w:val="000000" w:themeColor="text1"/>
                                <w:sz w:val="15"/>
                                <w:szCs w:val="15"/>
                                <w:lang w:val="en-US"/>
                              </w:rPr>
                              <w:t xml:space="preserve">overeign Rating Threshold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BFE5" id="_x0000_s1045" type="#_x0000_t202" style="position:absolute;left:0;text-align:left;margin-left:120.75pt;margin-top:9.55pt;width:103.8pt;height:2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" fillcolor="#95dcf7 [1303]" strokecolor="black [3213]" strokeweight=".5pt">
                <v:textbox>
                  <w:txbxContent>
                    <w:p w14:paraId="1CC68AB5" w14:textId="6547CDD7" w:rsidR="009F1D4C" w:rsidRPr="00CD3C50" w:rsidRDefault="0080687F" w:rsidP="00C11651">
                      <w:pPr>
                        <w:rPr>
                          <w:rFonts w:ascii="Arial Hebrew" w:hAnsi="Arial Hebrew" w:cs="Arial Hebrew"/>
                          <w:b/>
                          <w:bCs/>
                          <w:color w:val="000000" w:themeColor="text1"/>
                          <w:sz w:val="15"/>
                          <w:szCs w:val="15"/>
                          <w:lang w:val="en-US"/>
                        </w:rPr>
                      </w:pPr>
                      <w:r w:rsidRPr="00CD3C50">
                        <w:rPr>
                          <w:rFonts w:ascii="Arial Hebrew" w:hAnsi="Arial Hebrew" w:cs="Arial Hebrew" w:hint="cs"/>
                          <w:b/>
                          <w:bCs/>
                          <w:color w:val="000000" w:themeColor="text1"/>
                          <w:sz w:val="15"/>
                          <w:szCs w:val="15"/>
                          <w:lang w:val="en-US"/>
                        </w:rPr>
                        <w:t>S</w:t>
                      </w:r>
                      <w:r w:rsidR="008877C2" w:rsidRPr="00CD3C50">
                        <w:rPr>
                          <w:rFonts w:ascii="Arial Hebrew" w:hAnsi="Arial Hebrew" w:cs="Arial Hebrew" w:hint="cs"/>
                          <w:b/>
                          <w:bCs/>
                          <w:color w:val="000000" w:themeColor="text1"/>
                          <w:sz w:val="15"/>
                          <w:szCs w:val="15"/>
                          <w:lang w:val="en-US"/>
                        </w:rPr>
                        <w:t xml:space="preserve">overeign Rating Threshold </w:t>
                      </w:r>
                    </w:p>
                  </w:txbxContent>
                </v:textbox>
              </v:shape>
            </w:pict>
          </mc:Fallback>
        </mc:AlternateContent>
      </w:r>
    </w:p>
    <w:p w14:paraId="31132E9C" w14:textId="193BFCD0" w:rsidR="00282A48" w:rsidRPr="00147D0A" w:rsidRDefault="003315BB" w:rsidP="008E45DE">
      <w:pPr>
        <w:spacing w:line="360" w:lineRule="auto"/>
        <w:ind w:firstLine="360"/>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53626" behindDoc="0" locked="0" layoutInCell="1" allowOverlap="1" wp14:anchorId="7745F0CB" wp14:editId="39FC8678">
                <wp:simplePos x="0" y="0"/>
                <wp:positionH relativeFrom="column">
                  <wp:posOffset>1225550</wp:posOffset>
                </wp:positionH>
                <wp:positionV relativeFrom="paragraph">
                  <wp:posOffset>96520</wp:posOffset>
                </wp:positionV>
                <wp:extent cx="287655" cy="0"/>
                <wp:effectExtent l="25400" t="63500" r="0" b="76200"/>
                <wp:wrapNone/>
                <wp:docPr id="2124956206" name="Straight Arrow Connector 5"/>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61515" id="Straight Arrow Connector 5" o:spid="_x0000_s1026" type="#_x0000_t32" style="position:absolute;margin-left:96.5pt;margin-top:7.6pt;width:22.65pt;height:0;flip:x;z-index:251653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" strokecolor="black [3213]" strokeweight="1.25pt">
                <v:stroke endarrow="block" joinstyle="miter"/>
              </v:shape>
            </w:pict>
          </mc:Fallback>
        </mc:AlternateContent>
      </w:r>
      <w:r w:rsidR="001968C3" w:rsidRPr="00147D0A">
        <w:rPr>
          <w:rFonts w:ascii="Arial Hebrew" w:hAnsi="Arial Hebrew" w:cs="Arial Hebrew" w:hint="cs"/>
          <w:noProof/>
        </w:rPr>
        <mc:AlternateContent>
          <mc:Choice Requires="wps">
            <w:drawing>
              <wp:anchor distT="0" distB="0" distL="114300" distR="114300" simplePos="0" relativeHeight="251651576" behindDoc="0" locked="0" layoutInCell="1" allowOverlap="1" wp14:anchorId="40C71042" wp14:editId="2D5E7C59">
                <wp:simplePos x="0" y="0"/>
                <wp:positionH relativeFrom="column">
                  <wp:posOffset>697865</wp:posOffset>
                </wp:positionH>
                <wp:positionV relativeFrom="paragraph">
                  <wp:posOffset>195275</wp:posOffset>
                </wp:positionV>
                <wp:extent cx="0" cy="156845"/>
                <wp:effectExtent l="63500" t="0" r="38100" b="33655"/>
                <wp:wrapNone/>
                <wp:docPr id="2046882166" name="Straight Arrow Connector 6"/>
                <wp:cNvGraphicFramePr/>
                <a:graphic xmlns:a="http://schemas.openxmlformats.org/drawingml/2006/main">
                  <a:graphicData uri="http://schemas.microsoft.com/office/word/2010/wordprocessingShape">
                    <wps:wsp>
                      <wps:cNvCnPr/>
                      <wps:spPr>
                        <a:xfrm>
                          <a:off x="0" y="0"/>
                          <a:ext cx="0" cy="15684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AAD6B" id="Straight Arrow Connector 6" o:spid="_x0000_s1026" type="#_x0000_t32" style="position:absolute;margin-left:54.95pt;margin-top:15.4pt;width:0;height:12.35pt;z-index:251651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" strokecolor="black [3213]" strokeweight="1.25pt">
                <v:stroke endarrow="block" joinstyle="miter"/>
              </v:shape>
            </w:pict>
          </mc:Fallback>
        </mc:AlternateContent>
      </w:r>
      <w:r w:rsidR="00282A48" w:rsidRPr="00147D0A">
        <w:rPr>
          <w:rFonts w:ascii="Arial Hebrew" w:hAnsi="Arial Hebrew" w:cs="Arial Hebrew" w:hint="cs"/>
          <w:noProof/>
        </w:rPr>
        <mc:AlternateContent>
          <mc:Choice Requires="wps">
            <w:drawing>
              <wp:anchor distT="0" distB="0" distL="114300" distR="114300" simplePos="0" relativeHeight="251691008" behindDoc="0" locked="0" layoutInCell="1" allowOverlap="1" wp14:anchorId="496988DA" wp14:editId="095517AC">
                <wp:simplePos x="0" y="0"/>
                <wp:positionH relativeFrom="column">
                  <wp:posOffset>1740535</wp:posOffset>
                </wp:positionH>
                <wp:positionV relativeFrom="paragraph">
                  <wp:posOffset>183660</wp:posOffset>
                </wp:positionV>
                <wp:extent cx="0" cy="138897"/>
                <wp:effectExtent l="50800" t="0" r="38100" b="39370"/>
                <wp:wrapNone/>
                <wp:docPr id="1413141430" name="Straight Arrow Connector 6"/>
                <wp:cNvGraphicFramePr/>
                <a:graphic xmlns:a="http://schemas.openxmlformats.org/drawingml/2006/main">
                  <a:graphicData uri="http://schemas.microsoft.com/office/word/2010/wordprocessingShape">
                    <wps:wsp>
                      <wps:cNvCnPr/>
                      <wps:spPr>
                        <a:xfrm>
                          <a:off x="0" y="0"/>
                          <a:ext cx="0" cy="138897"/>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9404E" id="Straight Arrow Connector 6" o:spid="_x0000_s1026" type="#_x0000_t32" style="position:absolute;margin-left:137.05pt;margin-top:14.45pt;width:0;height:1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" strokecolor="#c00000" strokeweight="1.25pt">
                <v:stroke endarrow="block" joinstyle="miter"/>
              </v:shape>
            </w:pict>
          </mc:Fallback>
        </mc:AlternateContent>
      </w:r>
    </w:p>
    <w:p w14:paraId="29357F94" w14:textId="3CA10771" w:rsidR="004E620C" w:rsidRPr="00147D0A" w:rsidRDefault="0027716B" w:rsidP="008E45DE">
      <w:pPr>
        <w:spacing w:before="240" w:line="360" w:lineRule="auto"/>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708416" behindDoc="0" locked="0" layoutInCell="1" allowOverlap="1" wp14:anchorId="3B71B01A" wp14:editId="2079CE12">
                <wp:simplePos x="0" y="0"/>
                <wp:positionH relativeFrom="column">
                  <wp:posOffset>193040</wp:posOffset>
                </wp:positionH>
                <wp:positionV relativeFrom="paragraph">
                  <wp:posOffset>152095</wp:posOffset>
                </wp:positionV>
                <wp:extent cx="1036320" cy="342900"/>
                <wp:effectExtent l="0" t="0" r="17780" b="12700"/>
                <wp:wrapNone/>
                <wp:docPr id="852470691"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FFFFC7"/>
                        </a:solidFill>
                        <a:ln w="12700">
                          <a:solidFill>
                            <a:schemeClr val="tx1"/>
                          </a:solidFill>
                        </a:ln>
                      </wps:spPr>
                      <wps:txbx>
                        <w:txbxContent>
                          <w:p w14:paraId="4C30BDB5" w14:textId="77777777" w:rsidR="00EE05DA" w:rsidRPr="00FB00CA" w:rsidRDefault="00EE05DA" w:rsidP="00EE05DA">
                            <w:pPr>
                              <w:jc w:val="center"/>
                              <w:rPr>
                                <w:rFonts w:ascii="Arial Hebrew" w:hAnsi="Arial Hebrew" w:cs="Arial Hebrew"/>
                                <w:b/>
                                <w:bCs/>
                                <w:color w:val="000000" w:themeColor="text1"/>
                                <w:sz w:val="15"/>
                                <w:szCs w:val="15"/>
                                <w:lang w:val="en-US"/>
                              </w:rPr>
                            </w:pPr>
                            <w:r w:rsidRPr="00FB00CA">
                              <w:rPr>
                                <w:rFonts w:ascii="Arial Hebrew" w:hAnsi="Arial Hebrew" w:cs="Arial Hebrew" w:hint="cs"/>
                                <w:b/>
                                <w:bCs/>
                                <w:color w:val="000000" w:themeColor="text1"/>
                                <w:sz w:val="13"/>
                                <w:szCs w:val="13"/>
                                <w:lang w:val="en-US"/>
                              </w:rPr>
                              <w:t xml:space="preserve">Ratings </w:t>
                            </w:r>
                            <w:r w:rsidRPr="00FB00CA">
                              <w:rPr>
                                <w:rFonts w:ascii="Arial Hebrew" w:hAnsi="Arial Hebrew" w:cs="Arial Hebrew" w:hint="cs"/>
                                <w:b/>
                                <w:bCs/>
                                <w:color w:val="000000" w:themeColor="text1"/>
                                <w:sz w:val="15"/>
                                <w:szCs w:val="15"/>
                                <w:lang w:val="en-US"/>
                              </w:rPr>
                              <w:t>Committee</w:t>
                            </w:r>
                          </w:p>
                          <w:p w14:paraId="2ACFCDBF" w14:textId="35C8DB58" w:rsidR="00AF32D8" w:rsidRPr="00FB00CA" w:rsidRDefault="00AF32D8" w:rsidP="00EE05DA">
                            <w:pPr>
                              <w:jc w:val="center"/>
                              <w:rPr>
                                <w:rFonts w:ascii="Arial Hebrew" w:hAnsi="Arial Hebrew" w:cs="Arial Hebrew"/>
                                <w:color w:val="000000" w:themeColor="text1"/>
                                <w:sz w:val="12"/>
                                <w:szCs w:val="12"/>
                                <w:lang w:val="en-US"/>
                              </w:rPr>
                            </w:pPr>
                            <w:r w:rsidRPr="00FB00CA">
                              <w:rPr>
                                <w:rFonts w:ascii="Arial Hebrew" w:hAnsi="Arial Hebrew" w:cs="Arial Hebrew" w:hint="cs"/>
                                <w:color w:val="000000" w:themeColor="text1"/>
                                <w:sz w:val="12"/>
                                <w:szCs w:val="12"/>
                                <w:lang w:val="en-US"/>
                              </w:rPr>
                              <w:t>Qualitative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B01A" id="_x0000_s1046" type="#_x0000_t202" style="position:absolute;left:0;text-align:left;margin-left:15.2pt;margin-top:12pt;width:81.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" fillcolor="#ffffc7" strokecolor="black [3213]" strokeweight="1pt">
                <v:textbox>
                  <w:txbxContent>
                    <w:p w14:paraId="4C30BDB5" w14:textId="77777777" w:rsidR="00EE05DA" w:rsidRPr="00FB00CA" w:rsidRDefault="00EE05DA" w:rsidP="00EE05DA">
                      <w:pPr>
                        <w:jc w:val="center"/>
                        <w:rPr>
                          <w:rFonts w:ascii="Arial Hebrew" w:hAnsi="Arial Hebrew" w:cs="Arial Hebrew"/>
                          <w:b/>
                          <w:bCs/>
                          <w:color w:val="000000" w:themeColor="text1"/>
                          <w:sz w:val="15"/>
                          <w:szCs w:val="15"/>
                          <w:lang w:val="en-US"/>
                        </w:rPr>
                      </w:pPr>
                      <w:r w:rsidRPr="00FB00CA">
                        <w:rPr>
                          <w:rFonts w:ascii="Arial Hebrew" w:hAnsi="Arial Hebrew" w:cs="Arial Hebrew" w:hint="cs"/>
                          <w:b/>
                          <w:bCs/>
                          <w:color w:val="000000" w:themeColor="text1"/>
                          <w:sz w:val="13"/>
                          <w:szCs w:val="13"/>
                          <w:lang w:val="en-US"/>
                        </w:rPr>
                        <w:t xml:space="preserve">Ratings </w:t>
                      </w:r>
                      <w:r w:rsidRPr="00FB00CA">
                        <w:rPr>
                          <w:rFonts w:ascii="Arial Hebrew" w:hAnsi="Arial Hebrew" w:cs="Arial Hebrew" w:hint="cs"/>
                          <w:b/>
                          <w:bCs/>
                          <w:color w:val="000000" w:themeColor="text1"/>
                          <w:sz w:val="15"/>
                          <w:szCs w:val="15"/>
                          <w:lang w:val="en-US"/>
                        </w:rPr>
                        <w:t>Committee</w:t>
                      </w:r>
                    </w:p>
                    <w:p w14:paraId="2ACFCDBF" w14:textId="35C8DB58" w:rsidR="00AF32D8" w:rsidRPr="00FB00CA" w:rsidRDefault="00AF32D8" w:rsidP="00EE05DA">
                      <w:pPr>
                        <w:jc w:val="center"/>
                        <w:rPr>
                          <w:rFonts w:ascii="Arial Hebrew" w:hAnsi="Arial Hebrew" w:cs="Arial Hebrew"/>
                          <w:color w:val="000000" w:themeColor="text1"/>
                          <w:sz w:val="12"/>
                          <w:szCs w:val="12"/>
                          <w:lang w:val="en-US"/>
                        </w:rPr>
                      </w:pPr>
                      <w:r w:rsidRPr="00FB00CA">
                        <w:rPr>
                          <w:rFonts w:ascii="Arial Hebrew" w:hAnsi="Arial Hebrew" w:cs="Arial Hebrew" w:hint="cs"/>
                          <w:color w:val="000000" w:themeColor="text1"/>
                          <w:sz w:val="12"/>
                          <w:szCs w:val="12"/>
                          <w:lang w:val="en-US"/>
                        </w:rPr>
                        <w:t>Qualitative Assessment</w:t>
                      </w:r>
                    </w:p>
                  </w:txbxContent>
                </v:textbox>
              </v:shape>
            </w:pict>
          </mc:Fallback>
        </mc:AlternateContent>
      </w:r>
    </w:p>
    <w:p w14:paraId="317C46B8" w14:textId="121D9693" w:rsidR="008E45DE" w:rsidRPr="00147D0A" w:rsidRDefault="0027716B" w:rsidP="00DC62A1">
      <w:pPr>
        <w:spacing w:after="200" w:line="360" w:lineRule="auto"/>
        <w:jc w:val="both"/>
        <w:rPr>
          <w:rFonts w:ascii="Arial Hebrew" w:hAnsi="Arial Hebrew" w:cs="Arial Hebrew"/>
          <w:sz w:val="20"/>
          <w:szCs w:val="20"/>
        </w:rPr>
      </w:pPr>
      <w:r w:rsidRPr="00147D0A">
        <w:rPr>
          <w:rFonts w:ascii="Arial Hebrew" w:hAnsi="Arial Hebrew" w:cs="Arial Hebrew" w:hint="cs"/>
          <w:noProof/>
        </w:rPr>
        <mc:AlternateContent>
          <mc:Choice Requires="wps">
            <w:drawing>
              <wp:anchor distT="0" distB="0" distL="114300" distR="114300" simplePos="0" relativeHeight="251689984" behindDoc="0" locked="0" layoutInCell="1" allowOverlap="1" wp14:anchorId="3BAD189F" wp14:editId="13B36C7D">
                <wp:simplePos x="0" y="0"/>
                <wp:positionH relativeFrom="column">
                  <wp:posOffset>33960</wp:posOffset>
                </wp:positionH>
                <wp:positionV relativeFrom="paragraph">
                  <wp:posOffset>283845</wp:posOffset>
                </wp:positionV>
                <wp:extent cx="1379220" cy="394970"/>
                <wp:effectExtent l="0" t="0" r="0" b="0"/>
                <wp:wrapNone/>
                <wp:docPr id="749604980" name="Text Box 4"/>
                <wp:cNvGraphicFramePr/>
                <a:graphic xmlns:a="http://schemas.openxmlformats.org/drawingml/2006/main">
                  <a:graphicData uri="http://schemas.microsoft.com/office/word/2010/wordprocessingShape">
                    <wps:wsp>
                      <wps:cNvSpPr txBox="1"/>
                      <wps:spPr>
                        <a:xfrm>
                          <a:off x="0" y="0"/>
                          <a:ext cx="1379220" cy="394970"/>
                        </a:xfrm>
                        <a:prstGeom prst="rect">
                          <a:avLst/>
                        </a:prstGeom>
                        <a:noFill/>
                        <a:ln w="3175">
                          <a:noFill/>
                        </a:ln>
                      </wps:spPr>
                      <wps:txbx>
                        <w:txbxContent>
                          <w:p w14:paraId="608EFA3E" w14:textId="42C75BAC" w:rsidR="00282A48" w:rsidRPr="00FB00CA" w:rsidRDefault="0080687F" w:rsidP="00282A48">
                            <w:pPr>
                              <w:jc w:val="cente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Sub-Sovereign</w:t>
                            </w:r>
                            <w:r w:rsidR="00AF32D8" w:rsidRPr="00FB00CA">
                              <w:rPr>
                                <w:rFonts w:ascii="Arial Hebrew" w:hAnsi="Arial Hebrew" w:cs="Arial Hebrew" w:hint="cs"/>
                                <w:color w:val="C00000"/>
                                <w:sz w:val="19"/>
                                <w:szCs w:val="19"/>
                                <w:lang w:val="en-US"/>
                              </w:rPr>
                              <w:t xml:space="preserve"> Rating</w:t>
                            </w:r>
                          </w:p>
                          <w:p w14:paraId="682312AF" w14:textId="77777777" w:rsidR="00282A48" w:rsidRPr="00FB00CA" w:rsidRDefault="00282A48" w:rsidP="00282A48">
                            <w:pPr>
                              <w:rPr>
                                <w:rFonts w:ascii="Arial Hebrew" w:hAnsi="Arial Hebrew" w:cs="Arial Hebrew"/>
                                <w:color w:val="C00000"/>
                                <w:sz w:val="19"/>
                                <w:szCs w:val="19"/>
                                <w:lang w:val="en-US"/>
                              </w:rPr>
                            </w:pPr>
                          </w:p>
                          <w:p w14:paraId="2490AE93"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5D85FF90"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78AA200F" w14:textId="77777777" w:rsidR="00282A48" w:rsidRPr="00FB00CA" w:rsidRDefault="00282A48" w:rsidP="00282A48">
                            <w:pPr>
                              <w:rPr>
                                <w:rFonts w:ascii="Arial Hebrew" w:hAnsi="Arial Hebrew" w:cs="Arial Hebrew"/>
                                <w:color w:val="C00000"/>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189F" id="_x0000_s1047" type="#_x0000_t202" style="position:absolute;left:0;text-align:left;margin-left:2.65pt;margin-top:22.35pt;width:108.6pt;height:3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" filled="f" stroked="f" strokeweight=".25pt">
                <v:textbox>
                  <w:txbxContent>
                    <w:p w14:paraId="608EFA3E" w14:textId="42C75BAC" w:rsidR="00282A48" w:rsidRPr="00FB00CA" w:rsidRDefault="0080687F" w:rsidP="00282A48">
                      <w:pPr>
                        <w:jc w:val="cente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Sub-Sovereign</w:t>
                      </w:r>
                      <w:r w:rsidR="00AF32D8" w:rsidRPr="00FB00CA">
                        <w:rPr>
                          <w:rFonts w:ascii="Arial Hebrew" w:hAnsi="Arial Hebrew" w:cs="Arial Hebrew" w:hint="cs"/>
                          <w:color w:val="C00000"/>
                          <w:sz w:val="19"/>
                          <w:szCs w:val="19"/>
                          <w:lang w:val="en-US"/>
                        </w:rPr>
                        <w:t xml:space="preserve"> Rating</w:t>
                      </w:r>
                    </w:p>
                    <w:p w14:paraId="682312AF" w14:textId="77777777" w:rsidR="00282A48" w:rsidRPr="00FB00CA" w:rsidRDefault="00282A48" w:rsidP="00282A48">
                      <w:pPr>
                        <w:rPr>
                          <w:rFonts w:ascii="Arial Hebrew" w:hAnsi="Arial Hebrew" w:cs="Arial Hebrew"/>
                          <w:color w:val="C00000"/>
                          <w:sz w:val="19"/>
                          <w:szCs w:val="19"/>
                          <w:lang w:val="en-US"/>
                        </w:rPr>
                      </w:pPr>
                    </w:p>
                    <w:p w14:paraId="2490AE93"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5D85FF90" w14:textId="77777777" w:rsidR="00282A48" w:rsidRPr="00FB00CA" w:rsidRDefault="00282A48" w:rsidP="00282A48">
                      <w:pPr>
                        <w:rPr>
                          <w:rFonts w:ascii="Arial Hebrew" w:hAnsi="Arial Hebrew" w:cs="Arial Hebrew"/>
                          <w:color w:val="C00000"/>
                          <w:sz w:val="19"/>
                          <w:szCs w:val="19"/>
                          <w:lang w:val="en-US"/>
                        </w:rPr>
                      </w:pPr>
                      <w:r w:rsidRPr="00FB00CA">
                        <w:rPr>
                          <w:rFonts w:ascii="Arial Hebrew" w:hAnsi="Arial Hebrew" w:cs="Arial Hebrew" w:hint="cs"/>
                          <w:color w:val="C00000"/>
                          <w:sz w:val="19"/>
                          <w:szCs w:val="19"/>
                          <w:lang w:val="en-US"/>
                        </w:rPr>
                        <w:t xml:space="preserve">  </w:t>
                      </w:r>
                    </w:p>
                    <w:p w14:paraId="78AA200F" w14:textId="77777777" w:rsidR="00282A48" w:rsidRPr="00FB00CA" w:rsidRDefault="00282A48" w:rsidP="00282A48">
                      <w:pPr>
                        <w:rPr>
                          <w:rFonts w:ascii="Arial Hebrew" w:hAnsi="Arial Hebrew" w:cs="Arial Hebrew"/>
                          <w:color w:val="C00000"/>
                          <w:sz w:val="19"/>
                          <w:szCs w:val="19"/>
                          <w:lang w:val="en-US"/>
                        </w:rPr>
                      </w:pPr>
                    </w:p>
                  </w:txbxContent>
                </v:textbox>
              </v:shape>
            </w:pict>
          </mc:Fallback>
        </mc:AlternateContent>
      </w:r>
      <w:r w:rsidRPr="00147D0A">
        <w:rPr>
          <w:rFonts w:ascii="Arial Hebrew" w:hAnsi="Arial Hebrew" w:cs="Arial Hebrew" w:hint="cs"/>
          <w:b/>
          <w:bCs/>
          <w:noProof/>
          <w:sz w:val="18"/>
          <w:szCs w:val="18"/>
        </w:rPr>
        <mc:AlternateContent>
          <mc:Choice Requires="wps">
            <w:drawing>
              <wp:anchor distT="0" distB="0" distL="114300" distR="114300" simplePos="0" relativeHeight="251652601" behindDoc="0" locked="0" layoutInCell="1" allowOverlap="1" wp14:anchorId="65119E6C" wp14:editId="14264C36">
                <wp:simplePos x="0" y="0"/>
                <wp:positionH relativeFrom="column">
                  <wp:posOffset>706120</wp:posOffset>
                </wp:positionH>
                <wp:positionV relativeFrom="paragraph">
                  <wp:posOffset>144475</wp:posOffset>
                </wp:positionV>
                <wp:extent cx="3810" cy="177800"/>
                <wp:effectExtent l="63500" t="0" r="34290" b="38100"/>
                <wp:wrapNone/>
                <wp:docPr id="196743405" name="Straight Arrow Connector 8"/>
                <wp:cNvGraphicFramePr/>
                <a:graphic xmlns:a="http://schemas.openxmlformats.org/drawingml/2006/main">
                  <a:graphicData uri="http://schemas.microsoft.com/office/word/2010/wordprocessingShape">
                    <wps:wsp>
                      <wps:cNvCnPr/>
                      <wps:spPr>
                        <a:xfrm>
                          <a:off x="0" y="0"/>
                          <a:ext cx="3810" cy="17780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0DAFA" id="Straight Arrow Connector 8" o:spid="_x0000_s1026" type="#_x0000_t32" style="position:absolute;margin-left:55.6pt;margin-top:11.4pt;width:.3pt;height:14pt;z-index:25165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" strokecolor="#c00000" strokeweight="1.25pt">
                <v:stroke endarrow="block" joinstyle="miter"/>
              </v:shape>
            </w:pict>
          </mc:Fallback>
        </mc:AlternateContent>
      </w:r>
    </w:p>
    <w:p w14:paraId="2EB1EE8C" w14:textId="77777777" w:rsidR="00DC62A1" w:rsidRPr="00147D0A" w:rsidRDefault="00DC62A1" w:rsidP="00DC62A1">
      <w:pPr>
        <w:spacing w:before="240" w:after="200" w:line="360" w:lineRule="auto"/>
        <w:jc w:val="both"/>
        <w:rPr>
          <w:rFonts w:ascii="Arial Hebrew" w:hAnsi="Arial Hebrew" w:cs="Arial Hebrew"/>
          <w:sz w:val="20"/>
          <w:szCs w:val="20"/>
        </w:rPr>
      </w:pPr>
    </w:p>
    <w:p w14:paraId="44A193F8" w14:textId="77777777" w:rsidR="00DC62A1" w:rsidRPr="00147D0A" w:rsidRDefault="00DC62A1" w:rsidP="00203174">
      <w:pPr>
        <w:spacing w:before="240" w:after="200" w:line="360" w:lineRule="auto"/>
        <w:ind w:firstLine="720"/>
        <w:jc w:val="both"/>
        <w:rPr>
          <w:rFonts w:ascii="Arial Hebrew" w:hAnsi="Arial Hebrew" w:cs="Arial Hebrew"/>
          <w:sz w:val="20"/>
          <w:szCs w:val="20"/>
        </w:rPr>
      </w:pPr>
    </w:p>
    <w:p w14:paraId="285E18F8" w14:textId="42428CA3" w:rsidR="00DC62A1" w:rsidRPr="00147D0A" w:rsidRDefault="00D9004F" w:rsidP="0027716B">
      <w:pPr>
        <w:spacing w:before="240" w:after="200" w:line="360" w:lineRule="auto"/>
        <w:ind w:firstLine="720"/>
        <w:jc w:val="both"/>
        <w:rPr>
          <w:rFonts w:ascii="Arial Hebrew" w:hAnsi="Arial Hebrew" w:cs="Arial Hebrew"/>
          <w:b/>
          <w:bCs/>
          <w:i/>
          <w:iCs/>
          <w:sz w:val="16"/>
          <w:szCs w:val="16"/>
        </w:rPr>
      </w:pPr>
      <w:r w:rsidRPr="00147D0A">
        <w:rPr>
          <w:rFonts w:ascii="Arial Hebrew" w:hAnsi="Arial Hebrew" w:cs="Arial Hebrew" w:hint="cs"/>
          <w:sz w:val="20"/>
          <w:szCs w:val="20"/>
        </w:rPr>
        <w:t>Because</w:t>
      </w:r>
      <w:r w:rsidR="00FF5E8D" w:rsidRPr="00147D0A">
        <w:rPr>
          <w:rFonts w:ascii="Arial Hebrew" w:hAnsi="Arial Hebrew" w:cs="Arial Hebrew" w:hint="cs"/>
          <w:sz w:val="20"/>
          <w:szCs w:val="20"/>
        </w:rPr>
        <w:t xml:space="preserve"> the influence of the sovereign rating </w:t>
      </w:r>
      <w:r w:rsidR="00E13AA9" w:rsidRPr="00147D0A">
        <w:rPr>
          <w:rFonts w:ascii="Arial Hebrew" w:hAnsi="Arial Hebrew" w:cs="Arial Hebrew" w:hint="cs"/>
          <w:sz w:val="20"/>
          <w:szCs w:val="20"/>
        </w:rPr>
        <w:t>on</w:t>
      </w:r>
      <w:r w:rsidR="00FF5E8D" w:rsidRPr="00147D0A">
        <w:rPr>
          <w:rFonts w:ascii="Arial Hebrew" w:hAnsi="Arial Hebrew" w:cs="Arial Hebrew" w:hint="cs"/>
          <w:sz w:val="20"/>
          <w:szCs w:val="20"/>
        </w:rPr>
        <w:t xml:space="preserve"> the sub-sovereign rating </w:t>
      </w:r>
      <w:r w:rsidRPr="00147D0A">
        <w:rPr>
          <w:rFonts w:ascii="Arial Hebrew" w:hAnsi="Arial Hebrew" w:cs="Arial Hebrew" w:hint="cs"/>
          <w:sz w:val="20"/>
          <w:szCs w:val="20"/>
        </w:rPr>
        <w:t>is</w:t>
      </w:r>
      <w:r w:rsidR="00E13AA9" w:rsidRPr="00147D0A">
        <w:rPr>
          <w:rFonts w:ascii="Arial Hebrew" w:hAnsi="Arial Hebrew" w:cs="Arial Hebrew" w:hint="cs"/>
          <w:sz w:val="20"/>
          <w:szCs w:val="20"/>
        </w:rPr>
        <w:t xml:space="preserve"> </w:t>
      </w:r>
      <w:r w:rsidR="00FF5E8D" w:rsidRPr="00147D0A">
        <w:rPr>
          <w:rFonts w:ascii="Arial Hebrew" w:hAnsi="Arial Hebrew" w:cs="Arial Hebrew" w:hint="cs"/>
          <w:sz w:val="20"/>
          <w:szCs w:val="20"/>
        </w:rPr>
        <w:t xml:space="preserve">much less </w:t>
      </w:r>
      <w:r w:rsidRPr="00147D0A">
        <w:rPr>
          <w:rFonts w:ascii="Arial Hebrew" w:hAnsi="Arial Hebrew" w:cs="Arial Hebrew" w:hint="cs"/>
          <w:sz w:val="20"/>
          <w:szCs w:val="20"/>
        </w:rPr>
        <w:t>important</w:t>
      </w:r>
      <w:r w:rsidR="00FF5E8D"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for RLGs </w:t>
      </w:r>
      <w:r w:rsidR="00FF5E8D" w:rsidRPr="00147D0A">
        <w:rPr>
          <w:rFonts w:ascii="Arial Hebrew" w:hAnsi="Arial Hebrew" w:cs="Arial Hebrew" w:hint="cs"/>
          <w:sz w:val="20"/>
          <w:szCs w:val="20"/>
        </w:rPr>
        <w:t xml:space="preserve">inside the United States than internationally, </w:t>
      </w:r>
      <w:r w:rsidR="00F4411F" w:rsidRPr="00147D0A">
        <w:rPr>
          <w:rFonts w:ascii="Arial Hebrew" w:hAnsi="Arial Hebrew" w:cs="Arial Hebrew" w:hint="cs"/>
          <w:sz w:val="20"/>
          <w:szCs w:val="20"/>
        </w:rPr>
        <w:t xml:space="preserve">Moody’s </w:t>
      </w:r>
      <w:r w:rsidR="005D1B24" w:rsidRPr="00147D0A">
        <w:rPr>
          <w:rFonts w:ascii="Arial Hebrew" w:hAnsi="Arial Hebrew" w:cs="Arial Hebrew" w:hint="cs"/>
          <w:sz w:val="20"/>
          <w:szCs w:val="20"/>
        </w:rPr>
        <w:t xml:space="preserve">uses </w:t>
      </w:r>
      <w:r w:rsidR="00FF5E8D" w:rsidRPr="00147D0A">
        <w:rPr>
          <w:rFonts w:ascii="Arial Hebrew" w:hAnsi="Arial Hebrew" w:cs="Arial Hebrew" w:hint="cs"/>
          <w:sz w:val="20"/>
          <w:szCs w:val="20"/>
        </w:rPr>
        <w:t>different</w:t>
      </w:r>
      <w:r w:rsidR="005D1B24" w:rsidRPr="00147D0A">
        <w:rPr>
          <w:rFonts w:ascii="Arial Hebrew" w:hAnsi="Arial Hebrew" w:cs="Arial Hebrew" w:hint="cs"/>
          <w:sz w:val="20"/>
          <w:szCs w:val="20"/>
        </w:rPr>
        <w:t xml:space="preserve"> </w:t>
      </w:r>
      <w:r w:rsidR="00F4411F" w:rsidRPr="00147D0A">
        <w:rPr>
          <w:rFonts w:ascii="Arial Hebrew" w:hAnsi="Arial Hebrew" w:cs="Arial Hebrew" w:hint="cs"/>
          <w:sz w:val="20"/>
          <w:szCs w:val="20"/>
        </w:rPr>
        <w:t>framework</w:t>
      </w:r>
      <w:r w:rsidR="005D1B24" w:rsidRPr="00147D0A">
        <w:rPr>
          <w:rFonts w:ascii="Arial Hebrew" w:hAnsi="Arial Hebrew" w:cs="Arial Hebrew" w:hint="cs"/>
          <w:sz w:val="20"/>
          <w:szCs w:val="20"/>
        </w:rPr>
        <w:t>s</w:t>
      </w:r>
      <w:r w:rsidR="00F4411F" w:rsidRPr="00147D0A">
        <w:rPr>
          <w:rFonts w:ascii="Arial Hebrew" w:hAnsi="Arial Hebrew" w:cs="Arial Hebrew" w:hint="cs"/>
          <w:sz w:val="20"/>
          <w:szCs w:val="20"/>
        </w:rPr>
        <w:t xml:space="preserve"> f</w:t>
      </w:r>
      <w:r w:rsidR="00B554EA" w:rsidRPr="00147D0A">
        <w:rPr>
          <w:rFonts w:ascii="Arial Hebrew" w:hAnsi="Arial Hebrew" w:cs="Arial Hebrew" w:hint="cs"/>
          <w:sz w:val="20"/>
          <w:szCs w:val="20"/>
        </w:rPr>
        <w:t>or</w:t>
      </w:r>
      <w:r w:rsidRPr="00147D0A">
        <w:rPr>
          <w:rFonts w:ascii="Arial Hebrew" w:hAnsi="Arial Hebrew" w:cs="Arial Hebrew" w:hint="cs"/>
          <w:sz w:val="20"/>
          <w:szCs w:val="20"/>
        </w:rPr>
        <w:t xml:space="preserve"> credit</w:t>
      </w:r>
      <w:r w:rsidR="00FF5E8D" w:rsidRPr="00147D0A">
        <w:rPr>
          <w:rFonts w:ascii="Arial Hebrew" w:hAnsi="Arial Hebrew" w:cs="Arial Hebrew" w:hint="cs"/>
          <w:sz w:val="20"/>
          <w:szCs w:val="20"/>
        </w:rPr>
        <w:t xml:space="preserve"> </w:t>
      </w:r>
      <w:r w:rsidR="003F53C7" w:rsidRPr="00147D0A">
        <w:rPr>
          <w:rFonts w:ascii="Arial Hebrew" w:hAnsi="Arial Hebrew" w:cs="Arial Hebrew" w:hint="cs"/>
          <w:sz w:val="20"/>
          <w:szCs w:val="20"/>
        </w:rPr>
        <w:t xml:space="preserve">assessments of </w:t>
      </w:r>
      <w:r w:rsidR="00203174" w:rsidRPr="00147D0A">
        <w:rPr>
          <w:rFonts w:ascii="Arial Hebrew" w:hAnsi="Arial Hebrew" w:cs="Arial Hebrew" w:hint="cs"/>
          <w:sz w:val="20"/>
          <w:szCs w:val="20"/>
        </w:rPr>
        <w:t xml:space="preserve">U.S. </w:t>
      </w:r>
      <w:r w:rsidR="005D1B24" w:rsidRPr="00147D0A">
        <w:rPr>
          <w:rFonts w:ascii="Arial Hebrew" w:hAnsi="Arial Hebrew" w:cs="Arial Hebrew" w:hint="cs"/>
          <w:sz w:val="20"/>
          <w:szCs w:val="20"/>
        </w:rPr>
        <w:t>sub-sovereign</w:t>
      </w:r>
      <w:r w:rsidR="003F53C7" w:rsidRPr="00147D0A">
        <w:rPr>
          <w:rFonts w:ascii="Arial Hebrew" w:hAnsi="Arial Hebrew" w:cs="Arial Hebrew" w:hint="cs"/>
          <w:sz w:val="20"/>
          <w:szCs w:val="20"/>
        </w:rPr>
        <w:t>s</w:t>
      </w:r>
      <w:r w:rsidR="00FF5E8D" w:rsidRPr="00147D0A">
        <w:rPr>
          <w:rFonts w:ascii="Arial Hebrew" w:hAnsi="Arial Hebrew" w:cs="Arial Hebrew" w:hint="cs"/>
          <w:sz w:val="20"/>
          <w:szCs w:val="20"/>
        </w:rPr>
        <w:t>. The</w:t>
      </w:r>
      <w:r w:rsidR="00203174" w:rsidRPr="00147D0A">
        <w:rPr>
          <w:rFonts w:ascii="Arial Hebrew" w:hAnsi="Arial Hebrew" w:cs="Arial Hebrew" w:hint="cs"/>
          <w:sz w:val="20"/>
          <w:szCs w:val="20"/>
        </w:rPr>
        <w:t>se</w:t>
      </w:r>
      <w:r w:rsidR="0045429E" w:rsidRPr="00147D0A">
        <w:rPr>
          <w:rFonts w:ascii="Arial Hebrew" w:hAnsi="Arial Hebrew" w:cs="Arial Hebrew" w:hint="cs"/>
          <w:sz w:val="20"/>
          <w:szCs w:val="20"/>
        </w:rPr>
        <w:t xml:space="preserve"> U.S.</w:t>
      </w:r>
      <w:r w:rsidR="003F53C7" w:rsidRPr="00147D0A">
        <w:rPr>
          <w:rFonts w:ascii="Arial Hebrew" w:hAnsi="Arial Hebrew" w:cs="Arial Hebrew" w:hint="cs"/>
          <w:sz w:val="20"/>
          <w:szCs w:val="20"/>
        </w:rPr>
        <w:t xml:space="preserve"> frameworks</w:t>
      </w:r>
      <w:r w:rsidR="00FF5E8D" w:rsidRPr="00147D0A">
        <w:rPr>
          <w:rFonts w:ascii="Arial Hebrew" w:hAnsi="Arial Hebrew" w:cs="Arial Hebrew" w:hint="cs"/>
          <w:sz w:val="20"/>
          <w:szCs w:val="20"/>
        </w:rPr>
        <w:t xml:space="preserve"> do not </w:t>
      </w:r>
      <w:r w:rsidR="001641A5" w:rsidRPr="00147D0A">
        <w:rPr>
          <w:rFonts w:ascii="Arial Hebrew" w:hAnsi="Arial Hebrew" w:cs="Arial Hebrew" w:hint="cs"/>
          <w:sz w:val="20"/>
          <w:szCs w:val="20"/>
        </w:rPr>
        <w:t>reference the sovereign rating</w:t>
      </w:r>
      <w:r w:rsidR="0045429E" w:rsidRPr="00147D0A">
        <w:rPr>
          <w:rFonts w:ascii="Arial Hebrew" w:hAnsi="Arial Hebrew" w:cs="Arial Hebrew" w:hint="cs"/>
          <w:sz w:val="20"/>
          <w:szCs w:val="20"/>
        </w:rPr>
        <w:t>, with no</w:t>
      </w:r>
      <w:r w:rsidR="00D919A8" w:rsidRPr="00147D0A">
        <w:rPr>
          <w:rFonts w:ascii="Arial Hebrew" w:hAnsi="Arial Hebrew" w:cs="Arial Hebrew" w:hint="cs"/>
          <w:sz w:val="20"/>
          <w:szCs w:val="20"/>
        </w:rPr>
        <w:t xml:space="preserve"> </w:t>
      </w:r>
      <w:r w:rsidR="00DC7009" w:rsidRPr="00147D0A">
        <w:rPr>
          <w:rFonts w:ascii="Arial Hebrew" w:hAnsi="Arial Hebrew" w:cs="Arial Hebrew" w:hint="cs"/>
          <w:b/>
          <w:bCs/>
          <w:sz w:val="20"/>
          <w:szCs w:val="20"/>
        </w:rPr>
        <w:t>Extraordinary Support</w:t>
      </w:r>
      <w:r w:rsidR="00DC7009" w:rsidRPr="00147D0A">
        <w:rPr>
          <w:rFonts w:ascii="Arial Hebrew" w:hAnsi="Arial Hebrew" w:cs="Arial Hebrew" w:hint="cs"/>
          <w:sz w:val="20"/>
          <w:szCs w:val="20"/>
        </w:rPr>
        <w:t xml:space="preserve"> assessment</w:t>
      </w:r>
      <w:r w:rsidR="000F25EB" w:rsidRPr="00147D0A">
        <w:rPr>
          <w:rFonts w:ascii="Arial Hebrew" w:hAnsi="Arial Hebrew" w:cs="Arial Hebrew" w:hint="cs"/>
          <w:sz w:val="20"/>
          <w:szCs w:val="20"/>
        </w:rPr>
        <w:t xml:space="preserve"> made</w:t>
      </w:r>
      <w:r w:rsidR="00D919A8" w:rsidRPr="00147D0A">
        <w:rPr>
          <w:rFonts w:ascii="Arial Hebrew" w:hAnsi="Arial Hebrew" w:cs="Arial Hebrew" w:hint="cs"/>
          <w:sz w:val="20"/>
          <w:szCs w:val="20"/>
        </w:rPr>
        <w:t xml:space="preserve"> </w:t>
      </w:r>
      <w:r w:rsidR="006C7AF9" w:rsidRPr="00147D0A">
        <w:rPr>
          <w:rFonts w:ascii="Arial Hebrew" w:hAnsi="Arial Hebrew" w:cs="Arial Hebrew" w:hint="cs"/>
          <w:sz w:val="20"/>
          <w:szCs w:val="20"/>
        </w:rPr>
        <w:t xml:space="preserve">due to </w:t>
      </w:r>
      <w:r w:rsidR="00196050" w:rsidRPr="00147D0A">
        <w:rPr>
          <w:rFonts w:ascii="Arial Hebrew" w:hAnsi="Arial Hebrew" w:cs="Arial Hebrew" w:hint="cs"/>
          <w:sz w:val="20"/>
          <w:szCs w:val="20"/>
        </w:rPr>
        <w:t>a</w:t>
      </w:r>
      <w:r w:rsidR="006C7AF9" w:rsidRPr="00147D0A">
        <w:rPr>
          <w:rFonts w:ascii="Arial Hebrew" w:hAnsi="Arial Hebrew" w:cs="Arial Hebrew" w:hint="cs"/>
          <w:sz w:val="20"/>
          <w:szCs w:val="20"/>
        </w:rPr>
        <w:t xml:space="preserve"> long-standing precedent against U.S. federal bailouts of subnational governments.</w:t>
      </w:r>
      <w:r w:rsidR="00F4411F" w:rsidRPr="00147D0A">
        <w:rPr>
          <w:rFonts w:ascii="Arial Hebrew" w:hAnsi="Arial Hebrew" w:cs="Arial Hebrew" w:hint="cs"/>
          <w:sz w:val="20"/>
          <w:szCs w:val="20"/>
        </w:rPr>
        <w:t xml:space="preserve"> </w:t>
      </w:r>
      <w:r w:rsidR="003F53C7" w:rsidRPr="00147D0A">
        <w:rPr>
          <w:rFonts w:ascii="Arial Hebrew" w:hAnsi="Arial Hebrew" w:cs="Arial Hebrew" w:hint="cs"/>
          <w:sz w:val="20"/>
          <w:szCs w:val="20"/>
        </w:rPr>
        <w:t xml:space="preserve">The same four </w:t>
      </w:r>
      <w:r w:rsidR="001641A5" w:rsidRPr="00147D0A">
        <w:rPr>
          <w:rFonts w:ascii="Arial Hebrew" w:hAnsi="Arial Hebrew" w:cs="Arial Hebrew" w:hint="cs"/>
          <w:b/>
          <w:bCs/>
          <w:sz w:val="20"/>
          <w:szCs w:val="20"/>
        </w:rPr>
        <w:t>Weighted Factors</w:t>
      </w:r>
      <w:r w:rsidR="001641A5" w:rsidRPr="00147D0A">
        <w:rPr>
          <w:rFonts w:ascii="Arial Hebrew" w:hAnsi="Arial Hebrew" w:cs="Arial Hebrew" w:hint="cs"/>
          <w:sz w:val="20"/>
          <w:szCs w:val="20"/>
        </w:rPr>
        <w:t xml:space="preserve"> are used</w:t>
      </w:r>
      <w:r w:rsidR="00FF5E8D" w:rsidRPr="00147D0A">
        <w:rPr>
          <w:rFonts w:ascii="Arial Hebrew" w:hAnsi="Arial Hebrew" w:cs="Arial Hebrew" w:hint="cs"/>
          <w:sz w:val="20"/>
          <w:szCs w:val="20"/>
        </w:rPr>
        <w:t xml:space="preserve">, with differences in </w:t>
      </w:r>
      <w:r w:rsidR="00203174" w:rsidRPr="00147D0A">
        <w:rPr>
          <w:rFonts w:ascii="Arial Hebrew" w:hAnsi="Arial Hebrew" w:cs="Arial Hebrew" w:hint="cs"/>
          <w:sz w:val="20"/>
          <w:szCs w:val="20"/>
        </w:rPr>
        <w:t xml:space="preserve">factor </w:t>
      </w:r>
      <w:r w:rsidR="003F53C7" w:rsidRPr="00147D0A">
        <w:rPr>
          <w:rFonts w:ascii="Arial Hebrew" w:hAnsi="Arial Hebrew" w:cs="Arial Hebrew" w:hint="cs"/>
          <w:sz w:val="20"/>
          <w:szCs w:val="20"/>
        </w:rPr>
        <w:t xml:space="preserve">weights and in </w:t>
      </w:r>
      <w:r w:rsidR="00FF5E8D" w:rsidRPr="00147D0A">
        <w:rPr>
          <w:rFonts w:ascii="Arial Hebrew" w:hAnsi="Arial Hebrew" w:cs="Arial Hebrew" w:hint="cs"/>
          <w:sz w:val="20"/>
          <w:szCs w:val="20"/>
        </w:rPr>
        <w:t>the component sub-factors</w:t>
      </w:r>
      <w:r w:rsidR="00117C4A" w:rsidRPr="00147D0A">
        <w:rPr>
          <w:rFonts w:ascii="Arial Hebrew" w:hAnsi="Arial Hebrew" w:cs="Arial Hebrew" w:hint="cs"/>
          <w:sz w:val="20"/>
          <w:szCs w:val="20"/>
        </w:rPr>
        <w:t>.</w:t>
      </w:r>
      <w:r w:rsidR="00FF5E8D" w:rsidRPr="00147D0A">
        <w:rPr>
          <w:rFonts w:ascii="Arial Hebrew" w:hAnsi="Arial Hebrew" w:cs="Arial Hebrew" w:hint="cs"/>
          <w:sz w:val="20"/>
          <w:szCs w:val="20"/>
        </w:rPr>
        <w:t xml:space="preserve"> </w:t>
      </w:r>
      <w:r w:rsidR="00117C4A" w:rsidRPr="00147D0A">
        <w:rPr>
          <w:rFonts w:ascii="Arial Hebrew" w:hAnsi="Arial Hebrew" w:cs="Arial Hebrew" w:hint="cs"/>
          <w:sz w:val="20"/>
          <w:szCs w:val="20"/>
        </w:rPr>
        <w:t>O</w:t>
      </w:r>
      <w:r w:rsidR="00015A87" w:rsidRPr="00147D0A">
        <w:rPr>
          <w:rFonts w:ascii="Arial Hebrew" w:hAnsi="Arial Hebrew" w:cs="Arial Hebrew" w:hint="cs"/>
          <w:sz w:val="20"/>
          <w:szCs w:val="20"/>
        </w:rPr>
        <w:t>ne set</w:t>
      </w:r>
      <w:r w:rsidR="00203174" w:rsidRPr="00147D0A">
        <w:rPr>
          <w:rFonts w:ascii="Arial Hebrew" w:hAnsi="Arial Hebrew" w:cs="Arial Hebrew" w:hint="cs"/>
          <w:sz w:val="20"/>
          <w:szCs w:val="20"/>
        </w:rPr>
        <w:t xml:space="preserve"> of weights and sub-factors</w:t>
      </w:r>
      <w:r w:rsidR="00117C4A" w:rsidRPr="00147D0A">
        <w:rPr>
          <w:rFonts w:ascii="Arial Hebrew" w:hAnsi="Arial Hebrew" w:cs="Arial Hebrew" w:hint="cs"/>
          <w:sz w:val="20"/>
          <w:szCs w:val="20"/>
        </w:rPr>
        <w:t xml:space="preserve"> is</w:t>
      </w:r>
      <w:r w:rsidR="00015A87" w:rsidRPr="00147D0A">
        <w:rPr>
          <w:rFonts w:ascii="Arial Hebrew" w:hAnsi="Arial Hebrew" w:cs="Arial Hebrew" w:hint="cs"/>
          <w:sz w:val="20"/>
          <w:szCs w:val="20"/>
        </w:rPr>
        <w:t xml:space="preserve"> used for U.S. state </w:t>
      </w:r>
      <w:r w:rsidR="0045429E" w:rsidRPr="00147D0A">
        <w:rPr>
          <w:rFonts w:ascii="Arial Hebrew" w:hAnsi="Arial Hebrew" w:cs="Arial Hebrew" w:hint="cs"/>
          <w:sz w:val="20"/>
          <w:szCs w:val="20"/>
        </w:rPr>
        <w:t xml:space="preserve">(and territory) </w:t>
      </w:r>
      <w:r w:rsidR="00015A87" w:rsidRPr="00147D0A">
        <w:rPr>
          <w:rFonts w:ascii="Arial Hebrew" w:hAnsi="Arial Hebrew" w:cs="Arial Hebrew" w:hint="cs"/>
          <w:sz w:val="20"/>
          <w:szCs w:val="20"/>
        </w:rPr>
        <w:t>governments</w:t>
      </w:r>
      <w:r w:rsidR="00203174" w:rsidRPr="00147D0A">
        <w:rPr>
          <w:rFonts w:ascii="Arial Hebrew" w:hAnsi="Arial Hebrew" w:cs="Arial Hebrew" w:hint="cs"/>
          <w:sz w:val="20"/>
          <w:szCs w:val="20"/>
        </w:rPr>
        <w:t>,</w:t>
      </w:r>
      <w:r w:rsidR="00015A87" w:rsidRPr="00147D0A">
        <w:rPr>
          <w:rFonts w:ascii="Arial Hebrew" w:hAnsi="Arial Hebrew" w:cs="Arial Hebrew" w:hint="cs"/>
          <w:sz w:val="20"/>
          <w:szCs w:val="20"/>
        </w:rPr>
        <w:t xml:space="preserve"> and another for municipal</w:t>
      </w:r>
      <w:r w:rsidR="0045429E" w:rsidRPr="00147D0A">
        <w:rPr>
          <w:rFonts w:ascii="Arial Hebrew" w:hAnsi="Arial Hebrew" w:cs="Arial Hebrew" w:hint="cs"/>
          <w:sz w:val="20"/>
          <w:szCs w:val="20"/>
        </w:rPr>
        <w:t xml:space="preserve"> (city and country)</w:t>
      </w:r>
      <w:r w:rsidR="00015A87" w:rsidRPr="00147D0A">
        <w:rPr>
          <w:rFonts w:ascii="Arial Hebrew" w:hAnsi="Arial Hebrew" w:cs="Arial Hebrew" w:hint="cs"/>
          <w:sz w:val="20"/>
          <w:szCs w:val="20"/>
        </w:rPr>
        <w:t xml:space="preserve"> governments</w:t>
      </w:r>
      <w:r w:rsidR="00203174" w:rsidRPr="00147D0A">
        <w:rPr>
          <w:rFonts w:ascii="Arial Hebrew" w:hAnsi="Arial Hebrew" w:cs="Arial Hebrew" w:hint="cs"/>
          <w:sz w:val="20"/>
          <w:szCs w:val="20"/>
        </w:rPr>
        <w:t xml:space="preserve"> (</w:t>
      </w:r>
      <w:r w:rsidR="00203174" w:rsidRPr="00147D0A">
        <w:rPr>
          <w:rFonts w:ascii="Arial Hebrew" w:hAnsi="Arial Hebrew" w:cs="Arial Hebrew" w:hint="cs"/>
          <w:b/>
          <w:bCs/>
          <w:sz w:val="20"/>
          <w:szCs w:val="20"/>
        </w:rPr>
        <w:t>Table 2</w:t>
      </w:r>
      <w:r w:rsidR="00203174" w:rsidRPr="00147D0A">
        <w:rPr>
          <w:rFonts w:ascii="Arial Hebrew" w:hAnsi="Arial Hebrew" w:cs="Arial Hebrew" w:hint="cs"/>
          <w:sz w:val="20"/>
          <w:szCs w:val="20"/>
        </w:rPr>
        <w:t>).</w:t>
      </w:r>
      <w:r w:rsidR="00015A87" w:rsidRPr="00147D0A">
        <w:rPr>
          <w:rFonts w:ascii="Arial Hebrew" w:hAnsi="Arial Hebrew" w:cs="Arial Hebrew" w:hint="cs"/>
          <w:sz w:val="20"/>
          <w:szCs w:val="20"/>
        </w:rPr>
        <w:t xml:space="preserve"> </w:t>
      </w:r>
      <w:r w:rsidR="00203174" w:rsidRPr="00147D0A">
        <w:rPr>
          <w:rFonts w:ascii="Arial Hebrew" w:hAnsi="Arial Hebrew" w:cs="Arial Hebrew" w:hint="cs"/>
          <w:sz w:val="20"/>
          <w:szCs w:val="20"/>
        </w:rPr>
        <w:t xml:space="preserve">Alternative quantitative inputs for sub-factors </w:t>
      </w:r>
      <w:r w:rsidR="00FB00CA" w:rsidRPr="00147D0A">
        <w:rPr>
          <w:rFonts w:ascii="Arial Hebrew" w:hAnsi="Arial Hebrew" w:cs="Arial Hebrew" w:hint="cs"/>
          <w:sz w:val="20"/>
          <w:szCs w:val="20"/>
        </w:rPr>
        <w:t xml:space="preserve">in U.S. RLG sub-sovereign assessments </w:t>
      </w:r>
      <w:r w:rsidR="00203174" w:rsidRPr="00147D0A">
        <w:rPr>
          <w:rFonts w:ascii="Arial Hebrew" w:hAnsi="Arial Hebrew" w:cs="Arial Hebrew" w:hint="cs"/>
          <w:sz w:val="20"/>
          <w:szCs w:val="20"/>
        </w:rPr>
        <w:t xml:space="preserve">leverage the availability of consistent data based on U.S. financial reporting standards. Lower weights for the </w:t>
      </w:r>
      <w:r w:rsidR="00203174" w:rsidRPr="00147D0A">
        <w:rPr>
          <w:rFonts w:ascii="Arial Hebrew" w:hAnsi="Arial Hebrew" w:cs="Arial Hebrew" w:hint="cs"/>
          <w:b/>
          <w:bCs/>
          <w:sz w:val="20"/>
          <w:szCs w:val="20"/>
        </w:rPr>
        <w:t>Institutional Framework</w:t>
      </w:r>
      <w:r w:rsidR="00203174" w:rsidRPr="00147D0A">
        <w:rPr>
          <w:rFonts w:ascii="Arial Hebrew" w:hAnsi="Arial Hebrew" w:cs="Arial Hebrew" w:hint="cs"/>
          <w:sz w:val="20"/>
          <w:szCs w:val="20"/>
        </w:rPr>
        <w:t xml:space="preserve"> factor reflect the </w:t>
      </w:r>
      <w:r w:rsidR="00FB00CA" w:rsidRPr="00147D0A">
        <w:rPr>
          <w:rFonts w:ascii="Arial Hebrew" w:hAnsi="Arial Hebrew" w:cs="Arial Hebrew" w:hint="cs"/>
          <w:sz w:val="20"/>
          <w:szCs w:val="20"/>
        </w:rPr>
        <w:t>United States’</w:t>
      </w:r>
      <w:r w:rsidR="00203174" w:rsidRPr="00147D0A">
        <w:rPr>
          <w:rFonts w:ascii="Arial Hebrew" w:hAnsi="Arial Hebrew" w:cs="Arial Hebrew" w:hint="cs"/>
          <w:sz w:val="20"/>
          <w:szCs w:val="20"/>
        </w:rPr>
        <w:t xml:space="preserve"> more homogenous institutional and legal environment</w:t>
      </w:r>
      <w:r w:rsidR="00FB00CA" w:rsidRPr="00147D0A">
        <w:rPr>
          <w:rFonts w:ascii="Arial Hebrew" w:hAnsi="Arial Hebrew" w:cs="Arial Hebrew" w:hint="cs"/>
          <w:sz w:val="20"/>
          <w:szCs w:val="20"/>
        </w:rPr>
        <w:t>.</w:t>
      </w:r>
      <w:r w:rsidR="00203174" w:rsidRPr="00147D0A">
        <w:rPr>
          <w:rFonts w:ascii="Arial Hebrew" w:hAnsi="Arial Hebrew" w:cs="Arial Hebrew" w:hint="cs"/>
          <w:sz w:val="20"/>
          <w:szCs w:val="20"/>
        </w:rPr>
        <w:t xml:space="preserve"> </w:t>
      </w:r>
      <w:r w:rsidR="00FB00CA" w:rsidRPr="00147D0A">
        <w:rPr>
          <w:rFonts w:ascii="Arial Hebrew" w:hAnsi="Arial Hebrew" w:cs="Arial Hebrew" w:hint="cs"/>
          <w:sz w:val="20"/>
          <w:szCs w:val="20"/>
        </w:rPr>
        <w:t>T</w:t>
      </w:r>
      <w:r w:rsidR="00203174" w:rsidRPr="00147D0A">
        <w:rPr>
          <w:rFonts w:ascii="Arial Hebrew" w:hAnsi="Arial Hebrew" w:cs="Arial Hebrew" w:hint="cs"/>
          <w:sz w:val="20"/>
          <w:szCs w:val="20"/>
        </w:rPr>
        <w:t xml:space="preserve">he </w:t>
      </w:r>
      <w:r w:rsidR="00203174" w:rsidRPr="00147D0A">
        <w:rPr>
          <w:rFonts w:ascii="Arial Hebrew" w:hAnsi="Arial Hebrew" w:cs="Arial Hebrew" w:hint="cs"/>
          <w:b/>
          <w:bCs/>
          <w:i/>
          <w:iCs/>
          <w:sz w:val="20"/>
          <w:szCs w:val="20"/>
        </w:rPr>
        <w:t>Macro Operating Assessment</w:t>
      </w:r>
      <w:r w:rsidR="00203174" w:rsidRPr="00147D0A">
        <w:rPr>
          <w:rFonts w:ascii="Arial Hebrew" w:hAnsi="Arial Hebrew" w:cs="Arial Hebrew" w:hint="cs"/>
          <w:i/>
          <w:iCs/>
          <w:sz w:val="20"/>
          <w:szCs w:val="20"/>
        </w:rPr>
        <w:t xml:space="preserve"> </w:t>
      </w:r>
      <w:r w:rsidR="00203174" w:rsidRPr="00147D0A">
        <w:rPr>
          <w:rFonts w:ascii="Arial Hebrew" w:hAnsi="Arial Hebrew" w:cs="Arial Hebrew" w:hint="cs"/>
          <w:sz w:val="20"/>
          <w:szCs w:val="20"/>
        </w:rPr>
        <w:t>also omitted</w:t>
      </w:r>
      <w:r w:rsidR="00F75426" w:rsidRPr="00147D0A">
        <w:rPr>
          <w:rFonts w:ascii="Arial Hebrew" w:hAnsi="Arial Hebrew" w:cs="Arial Hebrew" w:hint="cs"/>
          <w:sz w:val="20"/>
          <w:szCs w:val="20"/>
        </w:rPr>
        <w:t xml:space="preserve">, and alternate </w:t>
      </w:r>
      <w:r w:rsidR="00F75426" w:rsidRPr="00147D0A">
        <w:rPr>
          <w:rFonts w:ascii="Arial Hebrew" w:hAnsi="Arial Hebrew" w:cs="Arial Hebrew" w:hint="cs"/>
          <w:b/>
          <w:bCs/>
          <w:i/>
          <w:iCs/>
          <w:sz w:val="20"/>
          <w:szCs w:val="20"/>
        </w:rPr>
        <w:t>Notching Factors</w:t>
      </w:r>
      <w:r w:rsidR="00F75426" w:rsidRPr="00147D0A">
        <w:rPr>
          <w:rFonts w:ascii="Arial Hebrew" w:hAnsi="Arial Hebrew" w:cs="Arial Hebrew" w:hint="cs"/>
          <w:sz w:val="20"/>
          <w:szCs w:val="20"/>
        </w:rPr>
        <w:t xml:space="preserve"> </w:t>
      </w:r>
      <w:r w:rsidR="00FB00CA" w:rsidRPr="00147D0A">
        <w:rPr>
          <w:rFonts w:ascii="Arial Hebrew" w:hAnsi="Arial Hebrew" w:cs="Arial Hebrew" w:hint="cs"/>
          <w:sz w:val="20"/>
          <w:szCs w:val="20"/>
        </w:rPr>
        <w:t xml:space="preserve">are </w:t>
      </w:r>
      <w:r w:rsidR="00F75426" w:rsidRPr="00147D0A">
        <w:rPr>
          <w:rFonts w:ascii="Arial Hebrew" w:hAnsi="Arial Hebrew" w:cs="Arial Hebrew" w:hint="cs"/>
          <w:sz w:val="20"/>
          <w:szCs w:val="20"/>
        </w:rPr>
        <w:t>used to adjust the preliminary assessment.</w:t>
      </w:r>
      <w:r w:rsidR="00203174" w:rsidRPr="00147D0A">
        <w:rPr>
          <w:rStyle w:val="FootnoteReference"/>
          <w:rFonts w:ascii="Arial Hebrew" w:hAnsi="Arial Hebrew" w:cs="Arial Hebrew" w:hint="cs"/>
          <w:sz w:val="20"/>
          <w:szCs w:val="20"/>
        </w:rPr>
        <w:footnoteReference w:id="5"/>
      </w:r>
      <w:bookmarkStart w:id="7" w:name="_Toc199450888"/>
    </w:p>
    <w:p w14:paraId="4F23788B" w14:textId="77777777" w:rsidR="00C73DA4" w:rsidRPr="00147D0A" w:rsidRDefault="00C73DA4" w:rsidP="00DC62A1">
      <w:pPr>
        <w:spacing w:before="240"/>
        <w:jc w:val="center"/>
        <w:rPr>
          <w:rFonts w:ascii="Arial Hebrew" w:hAnsi="Arial Hebrew" w:cs="Arial Hebrew"/>
          <w:b/>
          <w:bCs/>
          <w:i/>
          <w:iCs/>
          <w:sz w:val="16"/>
          <w:szCs w:val="16"/>
        </w:rPr>
      </w:pPr>
    </w:p>
    <w:p w14:paraId="1E57FB34" w14:textId="305BDC69" w:rsidR="00DC62A1" w:rsidRPr="00147D0A" w:rsidRDefault="00DC62A1" w:rsidP="00DC62A1">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lastRenderedPageBreak/>
        <w:t>Table 2.</w:t>
      </w:r>
      <w:r w:rsidRPr="00147D0A">
        <w:rPr>
          <w:rFonts w:ascii="Arial Hebrew" w:hAnsi="Arial Hebrew" w:cs="Arial Hebrew" w:hint="cs"/>
          <w:i/>
          <w:iCs/>
          <w:sz w:val="16"/>
          <w:szCs w:val="16"/>
        </w:rPr>
        <w:t xml:space="preserve"> Moody’s Sub-Sovereign Weighted Factors Weight</w:t>
      </w:r>
    </w:p>
    <w:tbl>
      <w:tblPr>
        <w:tblStyle w:val="TableGrid"/>
        <w:tblW w:w="8931" w:type="dxa"/>
        <w:jc w:val="center"/>
        <w:tblLook w:val="04A0" w:firstRow="1" w:lastRow="0" w:firstColumn="1" w:lastColumn="0" w:noHBand="0" w:noVBand="1"/>
      </w:tblPr>
      <w:tblGrid>
        <w:gridCol w:w="1276"/>
        <w:gridCol w:w="2268"/>
        <w:gridCol w:w="2693"/>
        <w:gridCol w:w="2694"/>
      </w:tblGrid>
      <w:tr w:rsidR="00DC62A1" w:rsidRPr="00147D0A" w14:paraId="20D44E33" w14:textId="77777777" w:rsidTr="00AE50D6">
        <w:trPr>
          <w:trHeight w:val="139"/>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304CC4AC"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Factor</w:t>
            </w:r>
          </w:p>
        </w:tc>
        <w:tc>
          <w:tcPr>
            <w:tcW w:w="2268" w:type="dxa"/>
            <w:tcBorders>
              <w:top w:val="single" w:sz="4" w:space="0" w:color="auto"/>
              <w:left w:val="nil"/>
              <w:bottom w:val="single" w:sz="4" w:space="0" w:color="auto"/>
              <w:right w:val="nil"/>
            </w:tcBorders>
            <w:shd w:val="clear" w:color="auto" w:fill="F2F2F2" w:themeFill="background1" w:themeFillShade="F2"/>
            <w:vAlign w:val="center"/>
          </w:tcPr>
          <w:p w14:paraId="0C21B89A"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International (non-U.S.)</w:t>
            </w:r>
          </w:p>
        </w:tc>
        <w:tc>
          <w:tcPr>
            <w:tcW w:w="2693" w:type="dxa"/>
            <w:tcBorders>
              <w:top w:val="single" w:sz="4" w:space="0" w:color="auto"/>
              <w:left w:val="nil"/>
              <w:bottom w:val="single" w:sz="4" w:space="0" w:color="auto"/>
              <w:right w:val="nil"/>
            </w:tcBorders>
            <w:shd w:val="clear" w:color="auto" w:fill="F2F2F2" w:themeFill="background1" w:themeFillShade="F2"/>
            <w:vAlign w:val="center"/>
          </w:tcPr>
          <w:p w14:paraId="04B3B5AE"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U.S. States &amp; Territories</w:t>
            </w:r>
          </w:p>
        </w:tc>
        <w:tc>
          <w:tcPr>
            <w:tcW w:w="2694" w:type="dxa"/>
            <w:tcBorders>
              <w:top w:val="single" w:sz="4" w:space="0" w:color="auto"/>
              <w:left w:val="nil"/>
              <w:bottom w:val="single" w:sz="4" w:space="0" w:color="auto"/>
              <w:right w:val="nil"/>
            </w:tcBorders>
            <w:shd w:val="clear" w:color="auto" w:fill="F2F2F2" w:themeFill="background1" w:themeFillShade="F2"/>
            <w:vAlign w:val="center"/>
          </w:tcPr>
          <w:p w14:paraId="7D4D7D7E" w14:textId="77777777" w:rsidR="00DC62A1" w:rsidRPr="00147D0A" w:rsidRDefault="00DC62A1" w:rsidP="00AE50D6">
            <w:pPr>
              <w:jc w:val="center"/>
              <w:rPr>
                <w:rFonts w:ascii="Arial Hebrew" w:hAnsi="Arial Hebrew" w:cs="Arial Hebrew"/>
                <w:b/>
                <w:bCs/>
                <w:sz w:val="16"/>
                <w:szCs w:val="16"/>
              </w:rPr>
            </w:pPr>
            <w:r w:rsidRPr="00147D0A">
              <w:rPr>
                <w:rFonts w:ascii="Arial Hebrew" w:hAnsi="Arial Hebrew" w:cs="Arial Hebrew" w:hint="cs"/>
                <w:b/>
                <w:bCs/>
                <w:sz w:val="16"/>
                <w:szCs w:val="16"/>
              </w:rPr>
              <w:t>U.S. Cities &amp; Counties</w:t>
            </w:r>
          </w:p>
        </w:tc>
      </w:tr>
      <w:tr w:rsidR="00DC62A1" w:rsidRPr="00147D0A" w14:paraId="045F0169" w14:textId="77777777" w:rsidTr="00AE50D6">
        <w:trPr>
          <w:trHeight w:val="490"/>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0BC8C516"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Economy</w:t>
            </w:r>
          </w:p>
        </w:tc>
        <w:tc>
          <w:tcPr>
            <w:tcW w:w="2268" w:type="dxa"/>
            <w:tcBorders>
              <w:top w:val="single" w:sz="4" w:space="0" w:color="auto"/>
              <w:left w:val="nil"/>
              <w:bottom w:val="single" w:sz="4" w:space="0" w:color="auto"/>
              <w:right w:val="nil"/>
            </w:tcBorders>
          </w:tcPr>
          <w:p w14:paraId="303D8634"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25%</w:t>
            </w:r>
          </w:p>
          <w:p w14:paraId="43524EFC"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Regional Income / GDP PPP (15)</w:t>
            </w:r>
          </w:p>
          <w:p w14:paraId="47ACE812"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Growth (5)</w:t>
            </w:r>
          </w:p>
          <w:p w14:paraId="4F4FE22A"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sz w:val="12"/>
                <w:szCs w:val="12"/>
              </w:rPr>
            </w:pPr>
            <w:r w:rsidRPr="00147D0A">
              <w:rPr>
                <w:rFonts w:ascii="Arial Hebrew" w:hAnsi="Arial Hebrew" w:cs="Arial Hebrew" w:hint="cs"/>
                <w:i/>
                <w:iCs/>
                <w:sz w:val="14"/>
                <w:szCs w:val="14"/>
              </w:rPr>
              <w:t>Diversification (5)</w:t>
            </w:r>
          </w:p>
        </w:tc>
        <w:tc>
          <w:tcPr>
            <w:tcW w:w="2693" w:type="dxa"/>
            <w:tcBorders>
              <w:top w:val="single" w:sz="4" w:space="0" w:color="auto"/>
              <w:left w:val="nil"/>
              <w:bottom w:val="single" w:sz="4" w:space="0" w:color="auto"/>
              <w:right w:val="nil"/>
            </w:tcBorders>
          </w:tcPr>
          <w:p w14:paraId="46A4471D"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274905EB"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Resident Personal Consumption Income (15)</w:t>
            </w:r>
          </w:p>
          <w:p w14:paraId="3774CECE"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Growth vs U.S. National Growth (15)</w:t>
            </w:r>
          </w:p>
          <w:p w14:paraId="172E84CA" w14:textId="77777777" w:rsidR="00DC62A1" w:rsidRPr="00147D0A" w:rsidRDefault="00DC62A1" w:rsidP="00AE50D6">
            <w:pPr>
              <w:spacing w:beforeLines="10" w:before="24" w:afterLines="10" w:after="24"/>
              <w:rPr>
                <w:rFonts w:ascii="Arial Hebrew" w:hAnsi="Arial Hebrew" w:cs="Arial Hebrew"/>
                <w:sz w:val="12"/>
                <w:szCs w:val="12"/>
              </w:rPr>
            </w:pPr>
          </w:p>
        </w:tc>
        <w:tc>
          <w:tcPr>
            <w:tcW w:w="2694" w:type="dxa"/>
            <w:tcBorders>
              <w:top w:val="single" w:sz="4" w:space="0" w:color="auto"/>
              <w:left w:val="nil"/>
              <w:bottom w:val="single" w:sz="4" w:space="0" w:color="auto"/>
              <w:right w:val="nil"/>
            </w:tcBorders>
          </w:tcPr>
          <w:p w14:paraId="6EA8E597"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607CB223"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Resident Median Household Income (10)</w:t>
            </w:r>
          </w:p>
          <w:p w14:paraId="2ACAD24A"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Property Tax Base (10)</w:t>
            </w:r>
          </w:p>
          <w:p w14:paraId="41F23819"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sz w:val="12"/>
                <w:szCs w:val="12"/>
              </w:rPr>
            </w:pPr>
            <w:r w:rsidRPr="00147D0A">
              <w:rPr>
                <w:rFonts w:ascii="Arial Hebrew" w:hAnsi="Arial Hebrew" w:cs="Arial Hebrew" w:hint="cs"/>
                <w:i/>
                <w:iCs/>
                <w:sz w:val="14"/>
                <w:szCs w:val="14"/>
              </w:rPr>
              <w:t>Growth vs U.S. National Growth (10)</w:t>
            </w:r>
          </w:p>
        </w:tc>
      </w:tr>
      <w:tr w:rsidR="00DC62A1" w:rsidRPr="00147D0A" w14:paraId="178DD081" w14:textId="77777777" w:rsidTr="00AE50D6">
        <w:trPr>
          <w:trHeight w:val="490"/>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4BC5C2F4"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Institutional Framework &amp; Governance</w:t>
            </w:r>
          </w:p>
        </w:tc>
        <w:tc>
          <w:tcPr>
            <w:tcW w:w="2268" w:type="dxa"/>
            <w:tcBorders>
              <w:top w:val="single" w:sz="4" w:space="0" w:color="auto"/>
              <w:left w:val="nil"/>
              <w:bottom w:val="single" w:sz="4" w:space="0" w:color="auto"/>
              <w:right w:val="nil"/>
            </w:tcBorders>
          </w:tcPr>
          <w:p w14:paraId="7CD4F21D"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10593CD2"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Institutional Framework (15)</w:t>
            </w:r>
          </w:p>
          <w:p w14:paraId="4A7F088C"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sz w:val="12"/>
                <w:szCs w:val="12"/>
              </w:rPr>
            </w:pPr>
            <w:r w:rsidRPr="00147D0A">
              <w:rPr>
                <w:rFonts w:ascii="Arial Hebrew" w:hAnsi="Arial Hebrew" w:cs="Arial Hebrew" w:hint="cs"/>
                <w:i/>
                <w:iCs/>
                <w:sz w:val="14"/>
                <w:szCs w:val="14"/>
              </w:rPr>
              <w:t>Governance (15)</w:t>
            </w:r>
          </w:p>
        </w:tc>
        <w:tc>
          <w:tcPr>
            <w:tcW w:w="2693" w:type="dxa"/>
            <w:tcBorders>
              <w:top w:val="single" w:sz="4" w:space="0" w:color="auto"/>
              <w:left w:val="nil"/>
              <w:bottom w:val="single" w:sz="4" w:space="0" w:color="auto"/>
              <w:right w:val="nil"/>
            </w:tcBorders>
          </w:tcPr>
          <w:p w14:paraId="0677CEE9"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20%</w:t>
            </w:r>
          </w:p>
          <w:p w14:paraId="3D497146" w14:textId="77777777" w:rsidR="00DC62A1" w:rsidRPr="00147D0A" w:rsidRDefault="00DC62A1" w:rsidP="00AE50D6">
            <w:p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Qualitative assessment of fiscal planning &amp; management, debt management, revenue expenditure and flexibility</w:t>
            </w:r>
          </w:p>
        </w:tc>
        <w:tc>
          <w:tcPr>
            <w:tcW w:w="2694" w:type="dxa"/>
            <w:tcBorders>
              <w:top w:val="single" w:sz="4" w:space="0" w:color="auto"/>
              <w:left w:val="nil"/>
              <w:bottom w:val="single" w:sz="4" w:space="0" w:color="auto"/>
              <w:right w:val="nil"/>
            </w:tcBorders>
          </w:tcPr>
          <w:p w14:paraId="458B5FD9"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10%</w:t>
            </w:r>
          </w:p>
          <w:p w14:paraId="0EE8E45F" w14:textId="77777777" w:rsidR="00DC62A1" w:rsidRPr="00147D0A" w:rsidRDefault="00DC62A1" w:rsidP="00AE50D6">
            <w:p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Qualitative assessment of fiscal planning &amp; management, debt management, revenue expenditure and flexibility</w:t>
            </w:r>
          </w:p>
        </w:tc>
      </w:tr>
      <w:tr w:rsidR="00DC62A1" w:rsidRPr="00147D0A" w14:paraId="0483EE0A" w14:textId="77777777" w:rsidTr="00AE50D6">
        <w:trPr>
          <w:trHeight w:val="490"/>
          <w:jc w:val="center"/>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36849CFC"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Financial Performance</w:t>
            </w:r>
          </w:p>
        </w:tc>
        <w:tc>
          <w:tcPr>
            <w:tcW w:w="2268" w:type="dxa"/>
            <w:tcBorders>
              <w:top w:val="single" w:sz="4" w:space="0" w:color="auto"/>
              <w:left w:val="nil"/>
              <w:bottom w:val="single" w:sz="4" w:space="0" w:color="auto"/>
              <w:right w:val="nil"/>
            </w:tcBorders>
          </w:tcPr>
          <w:p w14:paraId="18874B43"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20%</w:t>
            </w:r>
          </w:p>
          <w:p w14:paraId="195F0968"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Operating Margin (10)</w:t>
            </w:r>
          </w:p>
          <w:p w14:paraId="6DF899DE"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Liquidity Ratio (5)</w:t>
            </w:r>
          </w:p>
          <w:p w14:paraId="7533D79A"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sz w:val="12"/>
                <w:szCs w:val="12"/>
              </w:rPr>
            </w:pPr>
            <w:r w:rsidRPr="00147D0A">
              <w:rPr>
                <w:rFonts w:ascii="Arial Hebrew" w:hAnsi="Arial Hebrew" w:cs="Arial Hebrew" w:hint="cs"/>
                <w:i/>
                <w:iCs/>
                <w:sz w:val="14"/>
                <w:szCs w:val="14"/>
              </w:rPr>
              <w:t>Ease of Access to Funding (5)</w:t>
            </w:r>
          </w:p>
        </w:tc>
        <w:tc>
          <w:tcPr>
            <w:tcW w:w="2693" w:type="dxa"/>
            <w:tcBorders>
              <w:top w:val="single" w:sz="4" w:space="0" w:color="auto"/>
              <w:left w:val="nil"/>
              <w:bottom w:val="single" w:sz="4" w:space="0" w:color="auto"/>
              <w:right w:val="nil"/>
            </w:tcBorders>
          </w:tcPr>
          <w:p w14:paraId="60E315D2"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20%</w:t>
            </w:r>
          </w:p>
          <w:p w14:paraId="02C90245" w14:textId="77777777" w:rsidR="00DC62A1" w:rsidRPr="00147D0A" w:rsidRDefault="00DC62A1" w:rsidP="00AE50D6">
            <w:p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Qualitative assessment of fund balance levels, liquidity strength, and structural balance</w:t>
            </w:r>
          </w:p>
        </w:tc>
        <w:tc>
          <w:tcPr>
            <w:tcW w:w="2694" w:type="dxa"/>
            <w:tcBorders>
              <w:top w:val="single" w:sz="4" w:space="0" w:color="auto"/>
              <w:left w:val="nil"/>
              <w:bottom w:val="single" w:sz="4" w:space="0" w:color="auto"/>
              <w:right w:val="nil"/>
            </w:tcBorders>
          </w:tcPr>
          <w:p w14:paraId="7468B089"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6F495CB3"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Available Fund Balance Ratio (20)</w:t>
            </w:r>
          </w:p>
          <w:p w14:paraId="6C762334"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Liquidity Ratio (10)</w:t>
            </w:r>
          </w:p>
          <w:p w14:paraId="0B317C8D" w14:textId="77777777" w:rsidR="00DC62A1" w:rsidRPr="00147D0A" w:rsidRDefault="00DC62A1" w:rsidP="00AE50D6">
            <w:pPr>
              <w:spacing w:beforeLines="10" w:before="24" w:afterLines="10" w:after="24"/>
              <w:rPr>
                <w:rFonts w:ascii="Arial Hebrew" w:hAnsi="Arial Hebrew" w:cs="Arial Hebrew"/>
                <w:sz w:val="12"/>
                <w:szCs w:val="12"/>
              </w:rPr>
            </w:pPr>
          </w:p>
        </w:tc>
      </w:tr>
      <w:tr w:rsidR="00DC62A1" w:rsidRPr="00147D0A" w14:paraId="52B170B2" w14:textId="77777777" w:rsidTr="00AE50D6">
        <w:trPr>
          <w:trHeight w:val="490"/>
          <w:jc w:val="center"/>
        </w:trPr>
        <w:tc>
          <w:tcPr>
            <w:tcW w:w="1276" w:type="dxa"/>
            <w:tcBorders>
              <w:top w:val="single" w:sz="4" w:space="0" w:color="auto"/>
              <w:left w:val="nil"/>
              <w:bottom w:val="double" w:sz="4" w:space="0" w:color="auto"/>
              <w:right w:val="nil"/>
            </w:tcBorders>
            <w:shd w:val="clear" w:color="auto" w:fill="F2F2F2" w:themeFill="background1" w:themeFillShade="F2"/>
            <w:vAlign w:val="center"/>
          </w:tcPr>
          <w:p w14:paraId="544FADAE" w14:textId="77777777" w:rsidR="00DC62A1" w:rsidRPr="00147D0A" w:rsidRDefault="00DC62A1" w:rsidP="00AE50D6">
            <w:pPr>
              <w:rPr>
                <w:rFonts w:ascii="Arial Hebrew" w:hAnsi="Arial Hebrew" w:cs="Arial Hebrew"/>
                <w:sz w:val="16"/>
                <w:szCs w:val="16"/>
              </w:rPr>
            </w:pPr>
            <w:r w:rsidRPr="00147D0A">
              <w:rPr>
                <w:rFonts w:ascii="Arial Hebrew" w:hAnsi="Arial Hebrew" w:cs="Arial Hebrew" w:hint="cs"/>
                <w:sz w:val="16"/>
                <w:szCs w:val="16"/>
              </w:rPr>
              <w:t>Leverage</w:t>
            </w:r>
          </w:p>
        </w:tc>
        <w:tc>
          <w:tcPr>
            <w:tcW w:w="2268" w:type="dxa"/>
            <w:tcBorders>
              <w:top w:val="single" w:sz="4" w:space="0" w:color="auto"/>
              <w:left w:val="nil"/>
              <w:bottom w:val="double" w:sz="4" w:space="0" w:color="auto"/>
              <w:right w:val="nil"/>
            </w:tcBorders>
          </w:tcPr>
          <w:p w14:paraId="0FC6C0F5"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25%</w:t>
            </w:r>
          </w:p>
          <w:p w14:paraId="56E53B30"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Debt Burden (15)</w:t>
            </w:r>
          </w:p>
          <w:p w14:paraId="331C8584"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sz w:val="12"/>
                <w:szCs w:val="12"/>
              </w:rPr>
            </w:pPr>
            <w:r w:rsidRPr="00147D0A">
              <w:rPr>
                <w:rFonts w:ascii="Arial Hebrew" w:hAnsi="Arial Hebrew" w:cs="Arial Hebrew" w:hint="cs"/>
                <w:i/>
                <w:iCs/>
                <w:sz w:val="14"/>
                <w:szCs w:val="14"/>
              </w:rPr>
              <w:t>Interest Burden (10)</w:t>
            </w:r>
          </w:p>
        </w:tc>
        <w:tc>
          <w:tcPr>
            <w:tcW w:w="2693" w:type="dxa"/>
            <w:tcBorders>
              <w:top w:val="single" w:sz="4" w:space="0" w:color="auto"/>
              <w:left w:val="nil"/>
              <w:bottom w:val="double" w:sz="4" w:space="0" w:color="auto"/>
              <w:right w:val="nil"/>
            </w:tcBorders>
          </w:tcPr>
          <w:p w14:paraId="683AF410"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38B20538"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Long-term Liabilities Ratio (20)</w:t>
            </w:r>
          </w:p>
          <w:p w14:paraId="207F1567"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sz w:val="12"/>
                <w:szCs w:val="12"/>
              </w:rPr>
            </w:pPr>
            <w:r w:rsidRPr="00147D0A">
              <w:rPr>
                <w:rFonts w:ascii="Arial Hebrew" w:hAnsi="Arial Hebrew" w:cs="Arial Hebrew" w:hint="cs"/>
                <w:i/>
                <w:iCs/>
                <w:sz w:val="14"/>
                <w:szCs w:val="14"/>
              </w:rPr>
              <w:t>Fixed-costs Ratio (10)</w:t>
            </w:r>
          </w:p>
        </w:tc>
        <w:tc>
          <w:tcPr>
            <w:tcW w:w="2694" w:type="dxa"/>
            <w:tcBorders>
              <w:top w:val="single" w:sz="4" w:space="0" w:color="auto"/>
              <w:left w:val="nil"/>
              <w:bottom w:val="double" w:sz="4" w:space="0" w:color="auto"/>
              <w:right w:val="nil"/>
            </w:tcBorders>
          </w:tcPr>
          <w:p w14:paraId="4664E503" w14:textId="77777777" w:rsidR="00DC62A1" w:rsidRPr="00147D0A" w:rsidRDefault="00DC62A1" w:rsidP="00AE50D6">
            <w:pPr>
              <w:spacing w:beforeLines="10" w:before="24" w:afterLines="10" w:after="24"/>
              <w:rPr>
                <w:rFonts w:ascii="Arial Hebrew" w:hAnsi="Arial Hebrew" w:cs="Arial Hebrew"/>
                <w:b/>
                <w:bCs/>
                <w:sz w:val="16"/>
                <w:szCs w:val="16"/>
              </w:rPr>
            </w:pPr>
            <w:r w:rsidRPr="00147D0A">
              <w:rPr>
                <w:rFonts w:ascii="Arial Hebrew" w:hAnsi="Arial Hebrew" w:cs="Arial Hebrew" w:hint="cs"/>
                <w:b/>
                <w:bCs/>
                <w:sz w:val="16"/>
                <w:szCs w:val="16"/>
              </w:rPr>
              <w:t>30%</w:t>
            </w:r>
          </w:p>
          <w:p w14:paraId="27B280B4"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i/>
                <w:iCs/>
                <w:sz w:val="14"/>
                <w:szCs w:val="14"/>
              </w:rPr>
            </w:pPr>
            <w:r w:rsidRPr="00147D0A">
              <w:rPr>
                <w:rFonts w:ascii="Arial Hebrew" w:hAnsi="Arial Hebrew" w:cs="Arial Hebrew" w:hint="cs"/>
                <w:i/>
                <w:iCs/>
                <w:sz w:val="14"/>
                <w:szCs w:val="14"/>
              </w:rPr>
              <w:t>Long-term Liabilities Ratio (20)</w:t>
            </w:r>
          </w:p>
          <w:p w14:paraId="0600405A" w14:textId="77777777" w:rsidR="00DC62A1" w:rsidRPr="00147D0A" w:rsidRDefault="00DC62A1" w:rsidP="00AE50D6">
            <w:pPr>
              <w:pStyle w:val="ListParagraph"/>
              <w:numPr>
                <w:ilvl w:val="0"/>
                <w:numId w:val="39"/>
              </w:numPr>
              <w:spacing w:beforeLines="10" w:before="24" w:afterLines="10" w:after="24"/>
              <w:rPr>
                <w:rFonts w:ascii="Arial Hebrew" w:hAnsi="Arial Hebrew" w:cs="Arial Hebrew"/>
                <w:sz w:val="12"/>
                <w:szCs w:val="12"/>
              </w:rPr>
            </w:pPr>
            <w:r w:rsidRPr="00147D0A">
              <w:rPr>
                <w:rFonts w:ascii="Arial Hebrew" w:hAnsi="Arial Hebrew" w:cs="Arial Hebrew" w:hint="cs"/>
                <w:i/>
                <w:iCs/>
                <w:sz w:val="14"/>
                <w:szCs w:val="14"/>
              </w:rPr>
              <w:t>Fixed-costs Ratio (10)</w:t>
            </w:r>
          </w:p>
        </w:tc>
      </w:tr>
    </w:tbl>
    <w:p w14:paraId="5980EE4B" w14:textId="77777777" w:rsidR="0027716B" w:rsidRPr="00147D0A" w:rsidRDefault="0027716B" w:rsidP="0027716B">
      <w:pPr>
        <w:pStyle w:val="Heading2"/>
        <w:rPr>
          <w:rFonts w:ascii="Arial Hebrew" w:hAnsi="Arial Hebrew" w:cs="Arial Hebrew"/>
          <w:sz w:val="22"/>
          <w:szCs w:val="22"/>
        </w:rPr>
      </w:pPr>
    </w:p>
    <w:p w14:paraId="4446FF0B" w14:textId="3693A72B" w:rsidR="003731C9" w:rsidRPr="00147D0A" w:rsidRDefault="003731C9" w:rsidP="0027716B">
      <w:pPr>
        <w:pStyle w:val="Heading2"/>
        <w:rPr>
          <w:rFonts w:ascii="Arial Hebrew" w:hAnsi="Arial Hebrew" w:cs="Arial Hebrew"/>
          <w:sz w:val="22"/>
          <w:szCs w:val="22"/>
        </w:rPr>
      </w:pPr>
      <w:r w:rsidRPr="00147D0A">
        <w:rPr>
          <w:rFonts w:ascii="Arial Hebrew" w:hAnsi="Arial Hebrew" w:cs="Arial Hebrew" w:hint="cs"/>
          <w:sz w:val="22"/>
          <w:szCs w:val="22"/>
        </w:rPr>
        <w:t xml:space="preserve">Standard &amp; Poor’s </w:t>
      </w:r>
      <w:r w:rsidR="00DB187D" w:rsidRPr="00147D0A">
        <w:rPr>
          <w:rFonts w:ascii="Arial Hebrew" w:hAnsi="Arial Hebrew" w:cs="Arial Hebrew" w:hint="cs"/>
          <w:sz w:val="22"/>
          <w:szCs w:val="22"/>
        </w:rPr>
        <w:t>(S&amp;P’s)</w:t>
      </w:r>
      <w:bookmarkEnd w:id="7"/>
      <w:r w:rsidR="002E26C3" w:rsidRPr="00147D0A">
        <w:rPr>
          <w:rFonts w:ascii="Arial Hebrew" w:hAnsi="Arial Hebrew" w:cs="Arial Hebrew" w:hint="cs"/>
          <w:noProof/>
        </w:rPr>
        <w:t xml:space="preserve"> </w:t>
      </w:r>
    </w:p>
    <w:p w14:paraId="72B3332B" w14:textId="0E1E3D9D" w:rsidR="003731C9" w:rsidRPr="00147D0A" w:rsidRDefault="003C3929" w:rsidP="00490EC2">
      <w:pPr>
        <w:spacing w:before="240" w:line="360" w:lineRule="auto"/>
        <w:ind w:firstLine="720"/>
        <w:jc w:val="both"/>
        <w:rPr>
          <w:rFonts w:ascii="Arial Hebrew" w:hAnsi="Arial Hebrew" w:cs="Arial Hebrew"/>
          <w:sz w:val="20"/>
          <w:szCs w:val="20"/>
        </w:rPr>
      </w:pPr>
      <w:bookmarkStart w:id="8" w:name="OLE_LINK7"/>
      <w:r w:rsidRPr="00147D0A">
        <w:rPr>
          <w:rFonts w:ascii="Arial Hebrew" w:hAnsi="Arial Hebrew" w:cs="Arial Hebrew" w:hint="cs"/>
          <w:sz w:val="20"/>
          <w:szCs w:val="20"/>
        </w:rPr>
        <w:t xml:space="preserve">The </w:t>
      </w:r>
      <w:r w:rsidR="00482183" w:rsidRPr="00147D0A">
        <w:rPr>
          <w:rFonts w:ascii="Arial Hebrew" w:hAnsi="Arial Hebrew" w:cs="Arial Hebrew" w:hint="cs"/>
          <w:sz w:val="20"/>
          <w:szCs w:val="20"/>
        </w:rPr>
        <w:t>S&amp;P</w:t>
      </w:r>
      <w:r w:rsidRPr="00147D0A">
        <w:rPr>
          <w:rFonts w:ascii="Arial Hebrew" w:hAnsi="Arial Hebrew" w:cs="Arial Hebrew" w:hint="cs"/>
          <w:sz w:val="20"/>
          <w:szCs w:val="20"/>
        </w:rPr>
        <w:t>’</w:t>
      </w:r>
      <w:r w:rsidR="00482183" w:rsidRPr="00147D0A">
        <w:rPr>
          <w:rFonts w:ascii="Arial Hebrew" w:hAnsi="Arial Hebrew" w:cs="Arial Hebrew" w:hint="cs"/>
          <w:sz w:val="20"/>
          <w:szCs w:val="20"/>
        </w:rPr>
        <w:t xml:space="preserve">s </w:t>
      </w:r>
      <w:r w:rsidR="00C24547" w:rsidRPr="00147D0A">
        <w:rPr>
          <w:rFonts w:ascii="Arial Hebrew" w:hAnsi="Arial Hebrew" w:cs="Arial Hebrew" w:hint="cs"/>
          <w:sz w:val="20"/>
          <w:szCs w:val="20"/>
        </w:rPr>
        <w:t xml:space="preserve">sovereign assessment methodology is based on </w:t>
      </w:r>
      <w:r w:rsidR="00D919A8" w:rsidRPr="00147D0A">
        <w:rPr>
          <w:rFonts w:ascii="Arial Hebrew" w:hAnsi="Arial Hebrew" w:cs="Arial Hebrew" w:hint="cs"/>
          <w:sz w:val="20"/>
          <w:szCs w:val="20"/>
        </w:rPr>
        <w:t>two profiles</w:t>
      </w:r>
      <w:r w:rsidR="00D258DC" w:rsidRPr="00147D0A">
        <w:rPr>
          <w:rFonts w:ascii="Arial Hebrew" w:hAnsi="Arial Hebrew" w:cs="Arial Hebrew" w:hint="cs"/>
          <w:sz w:val="20"/>
          <w:szCs w:val="20"/>
        </w:rPr>
        <w:t xml:space="preserve"> incorporat</w:t>
      </w:r>
      <w:r w:rsidRPr="00147D0A">
        <w:rPr>
          <w:rFonts w:ascii="Arial Hebrew" w:hAnsi="Arial Hebrew" w:cs="Arial Hebrew" w:hint="cs"/>
          <w:sz w:val="20"/>
          <w:szCs w:val="20"/>
        </w:rPr>
        <w:t>ing</w:t>
      </w:r>
      <w:r w:rsidR="00D258DC" w:rsidRPr="00147D0A">
        <w:rPr>
          <w:rFonts w:ascii="Arial Hebrew" w:hAnsi="Arial Hebrew" w:cs="Arial Hebrew" w:hint="cs"/>
          <w:sz w:val="20"/>
          <w:szCs w:val="20"/>
        </w:rPr>
        <w:t xml:space="preserve"> five assessments</w:t>
      </w:r>
      <w:r w:rsidR="001F3782" w:rsidRPr="00147D0A">
        <w:rPr>
          <w:rFonts w:ascii="Arial Hebrew" w:hAnsi="Arial Hebrew" w:cs="Arial Hebrew" w:hint="cs"/>
          <w:sz w:val="20"/>
          <w:szCs w:val="20"/>
        </w:rPr>
        <w:t>:</w:t>
      </w:r>
      <w:r w:rsidR="003B06B7" w:rsidRPr="00147D0A">
        <w:rPr>
          <w:rFonts w:ascii="Arial Hebrew" w:hAnsi="Arial Hebrew" w:cs="Arial Hebrew" w:hint="cs"/>
          <w:sz w:val="20"/>
          <w:szCs w:val="20"/>
        </w:rPr>
        <w:t xml:space="preserve"> </w:t>
      </w:r>
    </w:p>
    <w:bookmarkEnd w:id="8"/>
    <w:p w14:paraId="59075414" w14:textId="479AEEDE" w:rsidR="00D919A8" w:rsidRPr="00147D0A" w:rsidRDefault="00D919A8" w:rsidP="00BB235A">
      <w:pPr>
        <w:pStyle w:val="ListParagraph"/>
        <w:numPr>
          <w:ilvl w:val="0"/>
          <w:numId w:val="11"/>
        </w:numPr>
        <w:spacing w:line="360" w:lineRule="auto"/>
        <w:jc w:val="both"/>
        <w:rPr>
          <w:rFonts w:ascii="Arial Hebrew" w:hAnsi="Arial Hebrew" w:cs="Arial Hebrew"/>
          <w:color w:val="000000" w:themeColor="text1"/>
          <w:sz w:val="20"/>
          <w:szCs w:val="20"/>
        </w:rPr>
      </w:pPr>
      <w:r w:rsidRPr="00147D0A">
        <w:rPr>
          <w:rFonts w:ascii="Arial Hebrew" w:hAnsi="Arial Hebrew" w:cs="Arial Hebrew" w:hint="cs"/>
          <w:b/>
          <w:bCs/>
          <w:sz w:val="20"/>
          <w:szCs w:val="20"/>
        </w:rPr>
        <w:t xml:space="preserve">Institutional and Economic Profile: </w:t>
      </w:r>
      <w:r w:rsidR="00341FA9" w:rsidRPr="00147D0A">
        <w:rPr>
          <w:rFonts w:ascii="Arial Hebrew" w:hAnsi="Arial Hebrew" w:cs="Arial Hebrew" w:hint="cs"/>
          <w:sz w:val="20"/>
          <w:szCs w:val="20"/>
        </w:rPr>
        <w:t>the average score from two assessments:</w:t>
      </w:r>
      <w:r w:rsidRPr="00147D0A">
        <w:rPr>
          <w:rFonts w:ascii="Arial Hebrew" w:hAnsi="Arial Hebrew" w:cs="Arial Hebrew" w:hint="cs"/>
          <w:b/>
          <w:bCs/>
          <w:sz w:val="20"/>
          <w:szCs w:val="20"/>
        </w:rPr>
        <w:t xml:space="preserve"> </w:t>
      </w:r>
    </w:p>
    <w:p w14:paraId="3B807FB6" w14:textId="09EDD319" w:rsidR="00C24547" w:rsidRPr="00147D0A" w:rsidRDefault="00341FA9" w:rsidP="00D258DC">
      <w:pPr>
        <w:pStyle w:val="ListParagraph"/>
        <w:numPr>
          <w:ilvl w:val="0"/>
          <w:numId w:val="43"/>
        </w:numPr>
        <w:spacing w:line="360" w:lineRule="auto"/>
        <w:jc w:val="both"/>
        <w:rPr>
          <w:rFonts w:ascii="Arial Hebrew" w:hAnsi="Arial Hebrew" w:cs="Arial Hebrew"/>
          <w:color w:val="000000" w:themeColor="text1"/>
          <w:sz w:val="20"/>
          <w:szCs w:val="20"/>
        </w:rPr>
      </w:pPr>
      <w:r w:rsidRPr="00147D0A">
        <w:rPr>
          <w:rFonts w:ascii="Arial Hebrew" w:hAnsi="Arial Hebrew" w:cs="Arial Hebrew" w:hint="cs"/>
          <w:b/>
          <w:bCs/>
          <w:i/>
          <w:iCs/>
          <w:sz w:val="20"/>
          <w:szCs w:val="20"/>
        </w:rPr>
        <w:t>Institutional Assessment</w:t>
      </w:r>
      <w:r w:rsidR="00C24547" w:rsidRPr="00147D0A">
        <w:rPr>
          <w:rFonts w:ascii="Arial Hebrew" w:hAnsi="Arial Hebrew" w:cs="Arial Hebrew" w:hint="cs"/>
          <w:b/>
          <w:bCs/>
          <w:i/>
          <w:iCs/>
          <w:sz w:val="20"/>
          <w:szCs w:val="20"/>
        </w:rPr>
        <w:t>:</w:t>
      </w:r>
      <w:r w:rsidR="00C24547" w:rsidRPr="00147D0A">
        <w:rPr>
          <w:rFonts w:ascii="Arial Hebrew" w:hAnsi="Arial Hebrew" w:cs="Arial Hebrew" w:hint="cs"/>
          <w:sz w:val="20"/>
          <w:szCs w:val="20"/>
        </w:rPr>
        <w:t xml:space="preserve"> </w:t>
      </w:r>
      <w:r w:rsidR="00E709DE" w:rsidRPr="00147D0A">
        <w:rPr>
          <w:rFonts w:ascii="Arial Hebrew" w:hAnsi="Arial Hebrew" w:cs="Arial Hebrew" w:hint="cs"/>
          <w:sz w:val="20"/>
          <w:szCs w:val="20"/>
        </w:rPr>
        <w:t xml:space="preserve">the </w:t>
      </w:r>
      <w:r w:rsidR="00C24547" w:rsidRPr="00147D0A">
        <w:rPr>
          <w:rFonts w:ascii="Arial Hebrew" w:hAnsi="Arial Hebrew" w:cs="Arial Hebrew" w:hint="cs"/>
          <w:sz w:val="20"/>
          <w:szCs w:val="20"/>
        </w:rPr>
        <w:t xml:space="preserve">capacity to deliver sustainable public finances and balanced economic growth, and to respond effectively to economic and political </w:t>
      </w:r>
      <w:r w:rsidR="00C24547" w:rsidRPr="00147D0A">
        <w:rPr>
          <w:rFonts w:ascii="Arial Hebrew" w:hAnsi="Arial Hebrew" w:cs="Arial Hebrew" w:hint="cs"/>
          <w:color w:val="000000" w:themeColor="text1"/>
          <w:sz w:val="20"/>
          <w:szCs w:val="20"/>
        </w:rPr>
        <w:t>shocks.</w:t>
      </w:r>
      <w:r w:rsidR="006E7ECE" w:rsidRPr="00147D0A">
        <w:rPr>
          <w:rStyle w:val="FootnoteReference"/>
          <w:rFonts w:ascii="Arial Hebrew" w:hAnsi="Arial Hebrew" w:cs="Arial Hebrew" w:hint="cs"/>
          <w:color w:val="000000" w:themeColor="text1"/>
          <w:sz w:val="20"/>
          <w:szCs w:val="20"/>
        </w:rPr>
        <w:footnoteReference w:id="6"/>
      </w:r>
      <w:r w:rsidR="00BA3C7A" w:rsidRPr="00147D0A">
        <w:rPr>
          <w:rFonts w:ascii="Arial Hebrew" w:hAnsi="Arial Hebrew" w:cs="Arial Hebrew" w:hint="cs"/>
          <w:color w:val="000000" w:themeColor="text1"/>
          <w:sz w:val="20"/>
          <w:szCs w:val="20"/>
        </w:rPr>
        <w:t xml:space="preserve"> </w:t>
      </w:r>
    </w:p>
    <w:p w14:paraId="0B053687" w14:textId="417FF0E7" w:rsidR="00C24547" w:rsidRPr="00147D0A" w:rsidRDefault="00C24547" w:rsidP="00D258DC">
      <w:pPr>
        <w:pStyle w:val="ListParagraph"/>
        <w:numPr>
          <w:ilvl w:val="0"/>
          <w:numId w:val="43"/>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Economic Assessment:</w:t>
      </w:r>
      <w:r w:rsidRPr="00147D0A">
        <w:rPr>
          <w:rFonts w:ascii="Arial Hebrew" w:hAnsi="Arial Hebrew" w:cs="Arial Hebrew" w:hint="cs"/>
          <w:sz w:val="20"/>
          <w:szCs w:val="20"/>
        </w:rPr>
        <w:t xml:space="preserve"> income levels</w:t>
      </w:r>
      <w:r w:rsidR="00821FB8" w:rsidRPr="00147D0A">
        <w:rPr>
          <w:rFonts w:ascii="Arial Hebrew" w:hAnsi="Arial Hebrew" w:cs="Arial Hebrew" w:hint="cs"/>
          <w:sz w:val="20"/>
          <w:szCs w:val="20"/>
        </w:rPr>
        <w:t xml:space="preserve"> (GDP per capita at PPP)</w:t>
      </w:r>
      <w:r w:rsidRPr="00147D0A">
        <w:rPr>
          <w:rFonts w:ascii="Arial Hebrew" w:hAnsi="Arial Hebrew" w:cs="Arial Hebrew" w:hint="cs"/>
          <w:sz w:val="20"/>
          <w:szCs w:val="20"/>
        </w:rPr>
        <w:t>, economic growth prospects</w:t>
      </w:r>
      <w:r w:rsidR="00BA3C7A" w:rsidRPr="00147D0A">
        <w:rPr>
          <w:rFonts w:ascii="Arial Hebrew" w:hAnsi="Arial Hebrew" w:cs="Arial Hebrew" w:hint="cs"/>
          <w:sz w:val="20"/>
          <w:szCs w:val="20"/>
        </w:rPr>
        <w:t>,</w:t>
      </w:r>
      <w:r w:rsidRPr="00147D0A">
        <w:rPr>
          <w:rFonts w:ascii="Arial Hebrew" w:hAnsi="Arial Hebrew" w:cs="Arial Hebrew" w:hint="cs"/>
          <w:sz w:val="20"/>
          <w:szCs w:val="20"/>
        </w:rPr>
        <w:t xml:space="preserve"> and economic diversity and volatility</w:t>
      </w:r>
      <w:r w:rsidR="00BA3C7A" w:rsidRPr="00147D0A">
        <w:rPr>
          <w:rFonts w:ascii="Arial Hebrew" w:hAnsi="Arial Hebrew" w:cs="Arial Hebrew" w:hint="cs"/>
          <w:sz w:val="20"/>
          <w:szCs w:val="20"/>
        </w:rPr>
        <w:t xml:space="preserve"> (based on sectoral composition of production and exports)</w:t>
      </w:r>
      <w:r w:rsidRPr="00147D0A">
        <w:rPr>
          <w:rFonts w:ascii="Arial Hebrew" w:hAnsi="Arial Hebrew" w:cs="Arial Hebrew" w:hint="cs"/>
          <w:sz w:val="20"/>
          <w:szCs w:val="20"/>
        </w:rPr>
        <w:t>.</w:t>
      </w:r>
    </w:p>
    <w:p w14:paraId="4E49B870" w14:textId="796BDE91" w:rsidR="00D258DC" w:rsidRPr="00147D0A" w:rsidRDefault="00D258DC" w:rsidP="00BB235A">
      <w:pPr>
        <w:pStyle w:val="ListParagraph"/>
        <w:numPr>
          <w:ilvl w:val="0"/>
          <w:numId w:val="11"/>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 xml:space="preserve">Flexibility and Performance Profile: </w:t>
      </w:r>
      <w:r w:rsidRPr="00147D0A">
        <w:rPr>
          <w:rFonts w:ascii="Arial Hebrew" w:hAnsi="Arial Hebrew" w:cs="Arial Hebrew" w:hint="cs"/>
          <w:sz w:val="20"/>
          <w:szCs w:val="20"/>
        </w:rPr>
        <w:t>the average score from three assessments:</w:t>
      </w:r>
    </w:p>
    <w:p w14:paraId="7B964B48" w14:textId="0F8DCEF8" w:rsidR="00C24547" w:rsidRPr="00147D0A" w:rsidRDefault="00C24547" w:rsidP="00D258DC">
      <w:pPr>
        <w:pStyle w:val="ListParagraph"/>
        <w:numPr>
          <w:ilvl w:val="0"/>
          <w:numId w:val="44"/>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External Assessment:</w:t>
      </w:r>
      <w:r w:rsidRPr="00147D0A">
        <w:rPr>
          <w:rFonts w:ascii="Arial Hebrew" w:hAnsi="Arial Hebrew" w:cs="Arial Hebrew" w:hint="cs"/>
          <w:sz w:val="20"/>
          <w:szCs w:val="20"/>
        </w:rPr>
        <w:t xml:space="preserve"> external position </w:t>
      </w:r>
      <w:r w:rsidR="00BA3C7A" w:rsidRPr="00147D0A">
        <w:rPr>
          <w:rFonts w:ascii="Arial Hebrew" w:hAnsi="Arial Hebrew" w:cs="Arial Hebrew" w:hint="cs"/>
          <w:sz w:val="20"/>
          <w:szCs w:val="20"/>
        </w:rPr>
        <w:t xml:space="preserve">and liquidity </w:t>
      </w:r>
      <w:r w:rsidRPr="00147D0A">
        <w:rPr>
          <w:rFonts w:ascii="Arial Hebrew" w:hAnsi="Arial Hebrew" w:cs="Arial Hebrew" w:hint="cs"/>
          <w:sz w:val="20"/>
          <w:szCs w:val="20"/>
        </w:rPr>
        <w:t>with the rest of the world</w:t>
      </w:r>
      <w:r w:rsidR="00BA3C7A" w:rsidRPr="00147D0A">
        <w:rPr>
          <w:rFonts w:ascii="Arial Hebrew" w:hAnsi="Arial Hebrew" w:cs="Arial Hebrew" w:hint="cs"/>
          <w:sz w:val="20"/>
          <w:szCs w:val="20"/>
        </w:rPr>
        <w:t>; status of sovereign’s currency in international transactions</w:t>
      </w:r>
    </w:p>
    <w:p w14:paraId="295AA92E" w14:textId="6B42DA6F" w:rsidR="00BA3C7A" w:rsidRPr="00147D0A" w:rsidRDefault="00BA3C7A" w:rsidP="00D258DC">
      <w:pPr>
        <w:pStyle w:val="ListParagraph"/>
        <w:numPr>
          <w:ilvl w:val="0"/>
          <w:numId w:val="44"/>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Fiscal Assessment:</w:t>
      </w:r>
      <w:r w:rsidRPr="00147D0A">
        <w:rPr>
          <w:rFonts w:ascii="Arial Hebrew" w:hAnsi="Arial Hebrew" w:cs="Arial Hebrew" w:hint="cs"/>
          <w:sz w:val="20"/>
          <w:szCs w:val="20"/>
        </w:rPr>
        <w:t xml:space="preserve"> sustainability of a sovereign's fiscal policy, with components </w:t>
      </w:r>
      <w:r w:rsidRPr="00147D0A">
        <w:rPr>
          <w:rFonts w:ascii="Arial Hebrew" w:hAnsi="Arial Hebrew" w:cs="Arial Hebrew" w:hint="cs"/>
          <w:i/>
          <w:iCs/>
          <w:sz w:val="20"/>
          <w:szCs w:val="20"/>
        </w:rPr>
        <w:t>Fiscal Performance and Flexibility</w:t>
      </w:r>
      <w:r w:rsidRPr="00147D0A">
        <w:rPr>
          <w:rFonts w:ascii="Arial Hebrew" w:hAnsi="Arial Hebrew" w:cs="Arial Hebrew" w:hint="cs"/>
          <w:sz w:val="20"/>
          <w:szCs w:val="20"/>
        </w:rPr>
        <w:t xml:space="preserve"> (trends and vulnerabilities) and </w:t>
      </w:r>
      <w:r w:rsidRPr="00147D0A">
        <w:rPr>
          <w:rFonts w:ascii="Arial Hebrew" w:hAnsi="Arial Hebrew" w:cs="Arial Hebrew" w:hint="cs"/>
          <w:i/>
          <w:iCs/>
          <w:sz w:val="20"/>
          <w:szCs w:val="20"/>
        </w:rPr>
        <w:t>Debt Burden</w:t>
      </w:r>
      <w:r w:rsidRPr="00147D0A">
        <w:rPr>
          <w:rFonts w:ascii="Arial Hebrew" w:hAnsi="Arial Hebrew" w:cs="Arial Hebrew" w:hint="cs"/>
          <w:sz w:val="20"/>
          <w:szCs w:val="20"/>
        </w:rPr>
        <w:t xml:space="preserve"> (structure of debt, funding access and contingent liabilities) </w:t>
      </w:r>
    </w:p>
    <w:p w14:paraId="5716F9A9" w14:textId="701085B2" w:rsidR="00BA3C7A" w:rsidRPr="00147D0A" w:rsidRDefault="00BA3C7A" w:rsidP="00D258DC">
      <w:pPr>
        <w:pStyle w:val="ListParagraph"/>
        <w:numPr>
          <w:ilvl w:val="0"/>
          <w:numId w:val="44"/>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Monetary Assessment:</w:t>
      </w:r>
      <w:r w:rsidRPr="00147D0A">
        <w:rPr>
          <w:rFonts w:ascii="Arial Hebrew" w:hAnsi="Arial Hebrew" w:cs="Arial Hebrew" w:hint="cs"/>
          <w:sz w:val="20"/>
          <w:szCs w:val="20"/>
        </w:rPr>
        <w:t xml:space="preserve"> evaluat</w:t>
      </w:r>
      <w:r w:rsidR="00E709DE" w:rsidRPr="00147D0A">
        <w:rPr>
          <w:rFonts w:ascii="Arial Hebrew" w:hAnsi="Arial Hebrew" w:cs="Arial Hebrew" w:hint="cs"/>
          <w:sz w:val="20"/>
          <w:szCs w:val="20"/>
        </w:rPr>
        <w:t>ion of</w:t>
      </w:r>
      <w:r w:rsidRPr="00147D0A">
        <w:rPr>
          <w:rFonts w:ascii="Arial Hebrew" w:hAnsi="Arial Hebrew" w:cs="Arial Hebrew" w:hint="cs"/>
          <w:sz w:val="20"/>
          <w:szCs w:val="20"/>
        </w:rPr>
        <w:t xml:space="preserve"> monetary policy credibility, </w:t>
      </w:r>
      <w:r w:rsidR="00E709DE" w:rsidRPr="00147D0A">
        <w:rPr>
          <w:rFonts w:ascii="Arial Hebrew" w:hAnsi="Arial Hebrew" w:cs="Arial Hebrew" w:hint="cs"/>
          <w:sz w:val="20"/>
          <w:szCs w:val="20"/>
        </w:rPr>
        <w:t>the e</w:t>
      </w:r>
      <w:r w:rsidR="00C4146D" w:rsidRPr="00147D0A">
        <w:rPr>
          <w:rFonts w:ascii="Arial Hebrew" w:hAnsi="Arial Hebrew" w:cs="Arial Hebrew" w:hint="cs"/>
          <w:sz w:val="20"/>
          <w:szCs w:val="20"/>
        </w:rPr>
        <w:t>x</w:t>
      </w:r>
      <w:r w:rsidR="00E709DE" w:rsidRPr="00147D0A">
        <w:rPr>
          <w:rFonts w:ascii="Arial Hebrew" w:hAnsi="Arial Hebrew" w:cs="Arial Hebrew" w:hint="cs"/>
          <w:sz w:val="20"/>
          <w:szCs w:val="20"/>
        </w:rPr>
        <w:t>change</w:t>
      </w:r>
      <w:r w:rsidR="00C4146D" w:rsidRPr="00147D0A">
        <w:rPr>
          <w:rFonts w:ascii="Arial Hebrew" w:hAnsi="Arial Hebrew" w:cs="Arial Hebrew" w:hint="cs"/>
          <w:sz w:val="20"/>
          <w:szCs w:val="20"/>
        </w:rPr>
        <w:t>-</w:t>
      </w:r>
      <w:r w:rsidR="00E709DE" w:rsidRPr="00147D0A">
        <w:rPr>
          <w:rFonts w:ascii="Arial Hebrew" w:hAnsi="Arial Hebrew" w:cs="Arial Hebrew" w:hint="cs"/>
          <w:sz w:val="20"/>
          <w:szCs w:val="20"/>
        </w:rPr>
        <w:t xml:space="preserve">rate regime and its impact on policy coordination, and the </w:t>
      </w:r>
      <w:r w:rsidRPr="00147D0A">
        <w:rPr>
          <w:rFonts w:ascii="Arial Hebrew" w:hAnsi="Arial Hebrew" w:cs="Arial Hebrew" w:hint="cs"/>
          <w:sz w:val="20"/>
          <w:szCs w:val="20"/>
        </w:rPr>
        <w:t xml:space="preserve">diversification of </w:t>
      </w:r>
      <w:r w:rsidR="00E709DE" w:rsidRPr="00147D0A">
        <w:rPr>
          <w:rFonts w:ascii="Arial Hebrew" w:hAnsi="Arial Hebrew" w:cs="Arial Hebrew" w:hint="cs"/>
          <w:sz w:val="20"/>
          <w:szCs w:val="20"/>
        </w:rPr>
        <w:t xml:space="preserve">the </w:t>
      </w:r>
      <w:r w:rsidRPr="00147D0A">
        <w:rPr>
          <w:rFonts w:ascii="Arial Hebrew" w:hAnsi="Arial Hebrew" w:cs="Arial Hebrew" w:hint="cs"/>
          <w:sz w:val="20"/>
          <w:szCs w:val="20"/>
        </w:rPr>
        <w:t>financial system and capital markets.</w:t>
      </w:r>
    </w:p>
    <w:p w14:paraId="5CD21BE3" w14:textId="1A746071" w:rsidR="00965E0B" w:rsidRPr="00147D0A" w:rsidRDefault="00A910B3" w:rsidP="003B1E0E">
      <w:pPr>
        <w:spacing w:line="360" w:lineRule="auto"/>
        <w:jc w:val="both"/>
        <w:rPr>
          <w:rFonts w:ascii="Arial Hebrew" w:hAnsi="Arial Hebrew" w:cs="Arial Hebrew"/>
          <w:sz w:val="20"/>
          <w:szCs w:val="20"/>
        </w:rPr>
      </w:pPr>
      <w:r w:rsidRPr="00147D0A">
        <w:rPr>
          <w:rFonts w:ascii="Arial Hebrew" w:hAnsi="Arial Hebrew" w:cs="Arial Hebrew" w:hint="cs"/>
          <w:sz w:val="20"/>
          <w:szCs w:val="20"/>
        </w:rPr>
        <w:t>The</w:t>
      </w:r>
      <w:r w:rsidR="00120C8E" w:rsidRPr="00147D0A">
        <w:rPr>
          <w:rFonts w:ascii="Arial Hebrew" w:hAnsi="Arial Hebrew" w:cs="Arial Hebrew" w:hint="cs"/>
          <w:sz w:val="20"/>
          <w:szCs w:val="20"/>
        </w:rPr>
        <w:t xml:space="preserve"> </w:t>
      </w:r>
      <w:r w:rsidR="004667FB" w:rsidRPr="00147D0A">
        <w:rPr>
          <w:rFonts w:ascii="Arial Hebrew" w:hAnsi="Arial Hebrew" w:cs="Arial Hebrew" w:hint="cs"/>
          <w:sz w:val="20"/>
          <w:szCs w:val="20"/>
        </w:rPr>
        <w:t xml:space="preserve">two </w:t>
      </w:r>
      <w:r w:rsidR="00C54683" w:rsidRPr="00147D0A">
        <w:rPr>
          <w:rFonts w:ascii="Arial Hebrew" w:hAnsi="Arial Hebrew" w:cs="Arial Hebrew" w:hint="cs"/>
          <w:sz w:val="20"/>
          <w:szCs w:val="20"/>
        </w:rPr>
        <w:t xml:space="preserve">profiles </w:t>
      </w:r>
      <w:r w:rsidRPr="00147D0A">
        <w:rPr>
          <w:rFonts w:ascii="Arial Hebrew" w:hAnsi="Arial Hebrew" w:cs="Arial Hebrew" w:hint="cs"/>
          <w:sz w:val="20"/>
          <w:szCs w:val="20"/>
        </w:rPr>
        <w:t xml:space="preserve">are combined using a </w:t>
      </w:r>
      <w:r w:rsidRPr="00147D0A">
        <w:rPr>
          <w:rFonts w:ascii="Arial Hebrew" w:hAnsi="Arial Hebrew" w:cs="Arial Hebrew" w:hint="cs"/>
          <w:b/>
          <w:bCs/>
          <w:sz w:val="20"/>
          <w:szCs w:val="20"/>
        </w:rPr>
        <w:t>risk matrix</w:t>
      </w:r>
      <w:r w:rsidR="001F3782" w:rsidRPr="00147D0A">
        <w:rPr>
          <w:rFonts w:ascii="Arial Hebrew" w:hAnsi="Arial Hebrew" w:cs="Arial Hebrew" w:hint="cs"/>
          <w:b/>
          <w:bCs/>
          <w:sz w:val="20"/>
          <w:szCs w:val="20"/>
        </w:rPr>
        <w:t xml:space="preserve">, </w:t>
      </w:r>
      <w:r w:rsidR="001F3782" w:rsidRPr="00147D0A">
        <w:rPr>
          <w:rFonts w:ascii="Arial Hebrew" w:hAnsi="Arial Hebrew" w:cs="Arial Hebrew" w:hint="cs"/>
          <w:sz w:val="20"/>
          <w:szCs w:val="20"/>
        </w:rPr>
        <w:t xml:space="preserve">which specifies a particular outcome for every possible combination of </w:t>
      </w:r>
      <w:r w:rsidR="003C399F" w:rsidRPr="00147D0A">
        <w:rPr>
          <w:rFonts w:ascii="Arial Hebrew" w:hAnsi="Arial Hebrew" w:cs="Arial Hebrew" w:hint="cs"/>
          <w:sz w:val="20"/>
          <w:szCs w:val="20"/>
        </w:rPr>
        <w:t xml:space="preserve">profile </w:t>
      </w:r>
      <w:r w:rsidR="001F3782" w:rsidRPr="00147D0A">
        <w:rPr>
          <w:rFonts w:ascii="Arial Hebrew" w:hAnsi="Arial Hebrew" w:cs="Arial Hebrew" w:hint="cs"/>
          <w:sz w:val="20"/>
          <w:szCs w:val="20"/>
        </w:rPr>
        <w:t>levels.</w:t>
      </w:r>
      <w:r w:rsidR="001F3782" w:rsidRPr="00147D0A">
        <w:rPr>
          <w:rStyle w:val="FootnoteReference"/>
          <w:rFonts w:ascii="Arial Hebrew" w:hAnsi="Arial Hebrew" w:cs="Arial Hebrew" w:hint="cs"/>
          <w:sz w:val="20"/>
          <w:szCs w:val="20"/>
        </w:rPr>
        <w:footnoteReference w:id="7"/>
      </w:r>
      <w:r w:rsidR="001F3782" w:rsidRPr="00147D0A">
        <w:rPr>
          <w:rFonts w:ascii="Arial Hebrew" w:hAnsi="Arial Hebrew" w:cs="Arial Hebrew" w:hint="cs"/>
          <w:sz w:val="20"/>
          <w:szCs w:val="20"/>
        </w:rPr>
        <w:t xml:space="preserve"> Th</w:t>
      </w:r>
      <w:r w:rsidR="003C399F" w:rsidRPr="00147D0A">
        <w:rPr>
          <w:rFonts w:ascii="Arial Hebrew" w:hAnsi="Arial Hebrew" w:cs="Arial Hebrew" w:hint="cs"/>
          <w:sz w:val="20"/>
          <w:szCs w:val="20"/>
        </w:rPr>
        <w:t>e resulting</w:t>
      </w:r>
      <w:r w:rsidR="001F3782" w:rsidRPr="00147D0A">
        <w:rPr>
          <w:rFonts w:ascii="Arial Hebrew" w:hAnsi="Arial Hebrew" w:cs="Arial Hebrew" w:hint="cs"/>
          <w:sz w:val="20"/>
          <w:szCs w:val="20"/>
        </w:rPr>
        <w:t xml:space="preserve"> </w:t>
      </w:r>
      <w:r w:rsidRPr="00147D0A">
        <w:rPr>
          <w:rFonts w:ascii="Arial Hebrew" w:hAnsi="Arial Hebrew" w:cs="Arial Hebrew" w:hint="cs"/>
          <w:b/>
          <w:bCs/>
          <w:i/>
          <w:iCs/>
          <w:sz w:val="20"/>
          <w:szCs w:val="20"/>
        </w:rPr>
        <w:t>indicative rating level</w:t>
      </w:r>
      <w:r w:rsidRPr="00147D0A">
        <w:rPr>
          <w:rFonts w:ascii="Arial Hebrew" w:hAnsi="Arial Hebrew" w:cs="Arial Hebrew" w:hint="cs"/>
          <w:sz w:val="20"/>
          <w:szCs w:val="20"/>
        </w:rPr>
        <w:t xml:space="preserve"> </w:t>
      </w:r>
      <w:r w:rsidR="002516B3" w:rsidRPr="00147D0A">
        <w:rPr>
          <w:rFonts w:ascii="Arial Hebrew" w:hAnsi="Arial Hebrew" w:cs="Arial Hebrew" w:hint="cs"/>
          <w:sz w:val="20"/>
          <w:szCs w:val="20"/>
        </w:rPr>
        <w:t>may</w:t>
      </w:r>
      <w:r w:rsidRPr="00147D0A">
        <w:rPr>
          <w:rFonts w:ascii="Arial Hebrew" w:hAnsi="Arial Hebrew" w:cs="Arial Hebrew" w:hint="cs"/>
          <w:sz w:val="20"/>
          <w:szCs w:val="20"/>
        </w:rPr>
        <w:t xml:space="preserve"> then be </w:t>
      </w:r>
      <w:r w:rsidR="00E779CC" w:rsidRPr="00147D0A">
        <w:rPr>
          <w:rFonts w:ascii="Arial Hebrew" w:hAnsi="Arial Hebrew" w:cs="Arial Hebrew" w:hint="cs"/>
          <w:sz w:val="20"/>
          <w:szCs w:val="20"/>
        </w:rPr>
        <w:t>modified</w:t>
      </w:r>
      <w:r w:rsidRPr="00147D0A">
        <w:rPr>
          <w:rFonts w:ascii="Arial Hebrew" w:hAnsi="Arial Hebrew" w:cs="Arial Hebrew" w:hint="cs"/>
          <w:sz w:val="20"/>
          <w:szCs w:val="20"/>
        </w:rPr>
        <w:t xml:space="preserve"> </w:t>
      </w:r>
      <w:r w:rsidR="00F43A73" w:rsidRPr="00147D0A">
        <w:rPr>
          <w:rFonts w:ascii="Arial Hebrew" w:hAnsi="Arial Hebrew" w:cs="Arial Hebrew" w:hint="cs"/>
          <w:sz w:val="20"/>
          <w:szCs w:val="20"/>
        </w:rPr>
        <w:t xml:space="preserve">according to </w:t>
      </w:r>
      <w:r w:rsidR="00F43A73" w:rsidRPr="00147D0A">
        <w:rPr>
          <w:rFonts w:ascii="Arial Hebrew" w:hAnsi="Arial Hebrew" w:cs="Arial Hebrew" w:hint="cs"/>
          <w:b/>
          <w:bCs/>
          <w:i/>
          <w:iCs/>
          <w:sz w:val="20"/>
          <w:szCs w:val="20"/>
        </w:rPr>
        <w:t>supplemental adjustment factors</w:t>
      </w:r>
      <w:r w:rsidR="00F43A73" w:rsidRPr="00147D0A">
        <w:rPr>
          <w:rFonts w:ascii="Arial Hebrew" w:hAnsi="Arial Hebrew" w:cs="Arial Hebrew" w:hint="cs"/>
          <w:sz w:val="20"/>
          <w:szCs w:val="20"/>
        </w:rPr>
        <w:t xml:space="preserve"> (such as liquidity positions or significant event risk) </w:t>
      </w:r>
      <w:r w:rsidR="00113D50" w:rsidRPr="00147D0A">
        <w:rPr>
          <w:rFonts w:ascii="Arial Hebrew" w:hAnsi="Arial Hebrew" w:cs="Arial Hebrew" w:hint="cs"/>
          <w:sz w:val="20"/>
          <w:szCs w:val="20"/>
        </w:rPr>
        <w:t xml:space="preserve">to determine the final </w:t>
      </w:r>
      <w:r w:rsidR="00E709DE" w:rsidRPr="00147D0A">
        <w:rPr>
          <w:rFonts w:ascii="Arial Hebrew" w:hAnsi="Arial Hebrew" w:cs="Arial Hebrew" w:hint="cs"/>
          <w:sz w:val="20"/>
          <w:szCs w:val="20"/>
        </w:rPr>
        <w:t>sovereign credit rating</w:t>
      </w:r>
      <w:r w:rsidRPr="00147D0A">
        <w:rPr>
          <w:rFonts w:ascii="Arial Hebrew" w:hAnsi="Arial Hebrew" w:cs="Arial Hebrew" w:hint="cs"/>
          <w:sz w:val="20"/>
          <w:szCs w:val="20"/>
        </w:rPr>
        <w:t>.</w:t>
      </w:r>
      <w:r w:rsidR="00113D50" w:rsidRPr="00147D0A">
        <w:rPr>
          <w:rFonts w:ascii="Arial Hebrew" w:hAnsi="Arial Hebrew" w:cs="Arial Hebrew" w:hint="cs"/>
          <w:sz w:val="20"/>
          <w:szCs w:val="20"/>
        </w:rPr>
        <w:t xml:space="preserve"> </w:t>
      </w:r>
      <w:r w:rsidR="002516B3" w:rsidRPr="00147D0A">
        <w:rPr>
          <w:rFonts w:ascii="Arial Hebrew" w:hAnsi="Arial Hebrew" w:cs="Arial Hebrew" w:hint="cs"/>
          <w:sz w:val="20"/>
          <w:szCs w:val="20"/>
        </w:rPr>
        <w:t xml:space="preserve">Unlike Moody’s, </w:t>
      </w:r>
      <w:r w:rsidR="00BB235A" w:rsidRPr="00147D0A">
        <w:rPr>
          <w:rFonts w:ascii="Arial Hebrew" w:hAnsi="Arial Hebrew" w:cs="Arial Hebrew" w:hint="cs"/>
          <w:sz w:val="20"/>
          <w:szCs w:val="20"/>
        </w:rPr>
        <w:t xml:space="preserve">S&amp;P does not </w:t>
      </w:r>
      <w:r w:rsidR="003B1E0E" w:rsidRPr="00147D0A">
        <w:rPr>
          <w:rFonts w:ascii="Arial Hebrew" w:hAnsi="Arial Hebrew" w:cs="Arial Hebrew" w:hint="cs"/>
          <w:sz w:val="20"/>
          <w:szCs w:val="20"/>
        </w:rPr>
        <w:t>prescribe</w:t>
      </w:r>
      <w:r w:rsidR="00325C2D" w:rsidRPr="00147D0A">
        <w:rPr>
          <w:rFonts w:ascii="Arial Hebrew" w:hAnsi="Arial Hebrew" w:cs="Arial Hebrew" w:hint="cs"/>
          <w:sz w:val="20"/>
          <w:szCs w:val="20"/>
        </w:rPr>
        <w:t xml:space="preserve"> </w:t>
      </w:r>
      <w:r w:rsidR="003B1E0E" w:rsidRPr="00147D0A">
        <w:rPr>
          <w:rFonts w:ascii="Arial Hebrew" w:hAnsi="Arial Hebrew" w:cs="Arial Hebrew" w:hint="cs"/>
          <w:sz w:val="20"/>
          <w:szCs w:val="20"/>
        </w:rPr>
        <w:t>specific</w:t>
      </w:r>
      <w:r w:rsidR="00BB235A" w:rsidRPr="00147D0A">
        <w:rPr>
          <w:rFonts w:ascii="Arial Hebrew" w:hAnsi="Arial Hebrew" w:cs="Arial Hebrew" w:hint="cs"/>
          <w:sz w:val="20"/>
          <w:szCs w:val="20"/>
        </w:rPr>
        <w:t xml:space="preserve"> </w:t>
      </w:r>
      <w:r w:rsidR="003B1E0E" w:rsidRPr="00147D0A">
        <w:rPr>
          <w:rFonts w:ascii="Arial Hebrew" w:hAnsi="Arial Hebrew" w:cs="Arial Hebrew" w:hint="cs"/>
          <w:sz w:val="20"/>
          <w:szCs w:val="20"/>
        </w:rPr>
        <w:t xml:space="preserve">external </w:t>
      </w:r>
      <w:r w:rsidR="00BB235A" w:rsidRPr="00147D0A">
        <w:rPr>
          <w:rFonts w:ascii="Arial Hebrew" w:hAnsi="Arial Hebrew" w:cs="Arial Hebrew" w:hint="cs"/>
          <w:sz w:val="20"/>
          <w:szCs w:val="20"/>
        </w:rPr>
        <w:lastRenderedPageBreak/>
        <w:t>indicators for sovereign assessments</w:t>
      </w:r>
      <w:r w:rsidR="003B1E0E" w:rsidRPr="00147D0A">
        <w:rPr>
          <w:rFonts w:ascii="Arial Hebrew" w:hAnsi="Arial Hebrew" w:cs="Arial Hebrew" w:hint="cs"/>
          <w:sz w:val="20"/>
          <w:szCs w:val="20"/>
        </w:rPr>
        <w:t>, although</w:t>
      </w:r>
      <w:r w:rsidR="002516B3" w:rsidRPr="00147D0A">
        <w:rPr>
          <w:rFonts w:ascii="Arial Hebrew" w:hAnsi="Arial Hebrew" w:cs="Arial Hebrew" w:hint="cs"/>
          <w:sz w:val="20"/>
          <w:szCs w:val="20"/>
        </w:rPr>
        <w:t xml:space="preserve"> </w:t>
      </w:r>
      <w:r w:rsidR="003B1E0E" w:rsidRPr="00147D0A">
        <w:rPr>
          <w:rFonts w:ascii="Arial Hebrew" w:hAnsi="Arial Hebrew" w:cs="Arial Hebrew" w:hint="cs"/>
          <w:sz w:val="20"/>
          <w:szCs w:val="20"/>
        </w:rPr>
        <w:t>e</w:t>
      </w:r>
      <w:r w:rsidR="00120C8E" w:rsidRPr="00147D0A">
        <w:rPr>
          <w:rFonts w:ascii="Arial Hebrew" w:hAnsi="Arial Hebrew" w:cs="Arial Hebrew" w:hint="cs"/>
          <w:sz w:val="20"/>
          <w:szCs w:val="20"/>
        </w:rPr>
        <w:t xml:space="preserve">xplanatory </w:t>
      </w:r>
      <w:r w:rsidR="002516B3" w:rsidRPr="00147D0A">
        <w:rPr>
          <w:rFonts w:ascii="Arial Hebrew" w:hAnsi="Arial Hebrew" w:cs="Arial Hebrew" w:hint="cs"/>
          <w:sz w:val="20"/>
          <w:szCs w:val="20"/>
        </w:rPr>
        <w:t xml:space="preserve">documentation </w:t>
      </w:r>
      <w:r w:rsidR="00120C8E" w:rsidRPr="00147D0A">
        <w:rPr>
          <w:rFonts w:ascii="Arial Hebrew" w:hAnsi="Arial Hebrew" w:cs="Arial Hebrew" w:hint="cs"/>
          <w:sz w:val="20"/>
          <w:szCs w:val="20"/>
        </w:rPr>
        <w:t>implies</w:t>
      </w:r>
      <w:r w:rsidR="002516B3" w:rsidRPr="00147D0A">
        <w:rPr>
          <w:rFonts w:ascii="Arial Hebrew" w:hAnsi="Arial Hebrew" w:cs="Arial Hebrew" w:hint="cs"/>
          <w:sz w:val="20"/>
          <w:szCs w:val="20"/>
        </w:rPr>
        <w:t xml:space="preserve"> </w:t>
      </w:r>
      <w:r w:rsidR="00E779CC" w:rsidRPr="00147D0A">
        <w:rPr>
          <w:rFonts w:ascii="Arial Hebrew" w:hAnsi="Arial Hebrew" w:cs="Arial Hebrew" w:hint="cs"/>
          <w:sz w:val="20"/>
          <w:szCs w:val="20"/>
        </w:rPr>
        <w:t>that</w:t>
      </w:r>
      <w:r w:rsidR="002516B3" w:rsidRPr="00147D0A">
        <w:rPr>
          <w:rFonts w:ascii="Arial Hebrew" w:hAnsi="Arial Hebrew" w:cs="Arial Hebrew" w:hint="cs"/>
          <w:sz w:val="20"/>
          <w:szCs w:val="20"/>
        </w:rPr>
        <w:t xml:space="preserve"> similar sources</w:t>
      </w:r>
      <w:r w:rsidR="00E779CC" w:rsidRPr="00147D0A">
        <w:rPr>
          <w:rFonts w:ascii="Arial Hebrew" w:hAnsi="Arial Hebrew" w:cs="Arial Hebrew" w:hint="cs"/>
          <w:sz w:val="20"/>
          <w:szCs w:val="20"/>
        </w:rPr>
        <w:t xml:space="preserve"> </w:t>
      </w:r>
      <w:r w:rsidR="00325C2D" w:rsidRPr="00147D0A">
        <w:rPr>
          <w:rFonts w:ascii="Arial Hebrew" w:hAnsi="Arial Hebrew" w:cs="Arial Hebrew" w:hint="cs"/>
          <w:sz w:val="20"/>
          <w:szCs w:val="20"/>
        </w:rPr>
        <w:t>(</w:t>
      </w:r>
      <w:r w:rsidR="0028676A" w:rsidRPr="00147D0A">
        <w:rPr>
          <w:rFonts w:ascii="Arial Hebrew" w:hAnsi="Arial Hebrew" w:cs="Arial Hebrew" w:hint="cs"/>
          <w:sz w:val="20"/>
          <w:szCs w:val="20"/>
        </w:rPr>
        <w:t>i.e</w:t>
      </w:r>
      <w:r w:rsidR="00325C2D" w:rsidRPr="00147D0A">
        <w:rPr>
          <w:rFonts w:ascii="Arial Hebrew" w:hAnsi="Arial Hebrew" w:cs="Arial Hebrew" w:hint="cs"/>
          <w:sz w:val="20"/>
          <w:szCs w:val="20"/>
        </w:rPr>
        <w:t xml:space="preserve">. World Bank WGIs) </w:t>
      </w:r>
      <w:r w:rsidR="00E779CC" w:rsidRPr="00147D0A">
        <w:rPr>
          <w:rFonts w:ascii="Arial Hebrew" w:hAnsi="Arial Hebrew" w:cs="Arial Hebrew" w:hint="cs"/>
          <w:sz w:val="20"/>
          <w:szCs w:val="20"/>
        </w:rPr>
        <w:t xml:space="preserve">are likely to be </w:t>
      </w:r>
      <w:r w:rsidR="00FF3622" w:rsidRPr="00147D0A">
        <w:rPr>
          <w:rFonts w:ascii="Arial Hebrew" w:hAnsi="Arial Hebrew" w:cs="Arial Hebrew" w:hint="cs"/>
          <w:sz w:val="20"/>
          <w:szCs w:val="20"/>
        </w:rPr>
        <w:t>referenced</w:t>
      </w:r>
      <w:r w:rsidR="003B1E0E" w:rsidRPr="00147D0A">
        <w:rPr>
          <w:rFonts w:ascii="Arial Hebrew" w:hAnsi="Arial Hebrew" w:cs="Arial Hebrew" w:hint="cs"/>
          <w:sz w:val="20"/>
          <w:szCs w:val="20"/>
        </w:rPr>
        <w:t>.</w:t>
      </w:r>
      <w:r w:rsidR="00113D50" w:rsidRPr="00147D0A">
        <w:rPr>
          <w:rFonts w:ascii="Arial Hebrew" w:hAnsi="Arial Hebrew" w:cs="Arial Hebrew" w:hint="cs"/>
          <w:sz w:val="20"/>
          <w:szCs w:val="20"/>
        </w:rPr>
        <w:t xml:space="preserve"> </w:t>
      </w:r>
    </w:p>
    <w:p w14:paraId="17964D08" w14:textId="2DB46C67" w:rsidR="00A910B3" w:rsidRPr="00147D0A" w:rsidRDefault="00A910B3" w:rsidP="003B1E0E">
      <w:pPr>
        <w:spacing w:before="240" w:line="360" w:lineRule="auto"/>
        <w:ind w:firstLine="360"/>
        <w:jc w:val="both"/>
        <w:rPr>
          <w:rFonts w:ascii="Arial Hebrew" w:hAnsi="Arial Hebrew" w:cs="Arial Hebrew"/>
          <w:sz w:val="20"/>
          <w:szCs w:val="20"/>
        </w:rPr>
      </w:pPr>
      <w:r w:rsidRPr="00147D0A">
        <w:rPr>
          <w:rFonts w:ascii="Arial Hebrew" w:hAnsi="Arial Hebrew" w:cs="Arial Hebrew" w:hint="cs"/>
          <w:sz w:val="20"/>
          <w:szCs w:val="20"/>
        </w:rPr>
        <w:t>S&amp;P</w:t>
      </w:r>
      <w:r w:rsidR="00353E93" w:rsidRPr="00147D0A">
        <w:rPr>
          <w:rFonts w:ascii="Arial Hebrew" w:hAnsi="Arial Hebrew" w:cs="Arial Hebrew" w:hint="cs"/>
          <w:sz w:val="20"/>
          <w:szCs w:val="20"/>
        </w:rPr>
        <w:t xml:space="preserve">’s international sub-sovereign (LRG) assessments </w:t>
      </w:r>
      <w:r w:rsidR="00E709DE" w:rsidRPr="00147D0A">
        <w:rPr>
          <w:rFonts w:ascii="Arial Hebrew" w:hAnsi="Arial Hebrew" w:cs="Arial Hebrew" w:hint="cs"/>
          <w:sz w:val="20"/>
          <w:szCs w:val="20"/>
        </w:rPr>
        <w:t xml:space="preserve">are based on two </w:t>
      </w:r>
      <w:r w:rsidR="007067EB" w:rsidRPr="00147D0A">
        <w:rPr>
          <w:rFonts w:ascii="Arial Hebrew" w:hAnsi="Arial Hebrew" w:cs="Arial Hebrew" w:hint="cs"/>
          <w:sz w:val="20"/>
          <w:szCs w:val="20"/>
        </w:rPr>
        <w:t>primary assessments</w:t>
      </w:r>
      <w:r w:rsidR="001D7656" w:rsidRPr="00147D0A">
        <w:rPr>
          <w:rFonts w:ascii="Arial Hebrew" w:hAnsi="Arial Hebrew" w:cs="Arial Hebrew" w:hint="cs"/>
          <w:sz w:val="20"/>
          <w:szCs w:val="20"/>
        </w:rPr>
        <w:t>:</w:t>
      </w:r>
    </w:p>
    <w:p w14:paraId="44B334D7" w14:textId="14A579A3" w:rsidR="001D7656" w:rsidRPr="00147D0A" w:rsidRDefault="001D7656" w:rsidP="00661BB5">
      <w:pPr>
        <w:pStyle w:val="ListParagraph"/>
        <w:numPr>
          <w:ilvl w:val="0"/>
          <w:numId w:val="16"/>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Institutional Framework Assessment:</w:t>
      </w:r>
      <w:r w:rsidRPr="00147D0A">
        <w:rPr>
          <w:rFonts w:ascii="Arial Hebrew" w:hAnsi="Arial Hebrew" w:cs="Arial Hebrew" w:hint="cs"/>
          <w:sz w:val="20"/>
          <w:szCs w:val="20"/>
        </w:rPr>
        <w:t xml:space="preserve"> a composite of three factors:</w:t>
      </w:r>
    </w:p>
    <w:p w14:paraId="393FCECA" w14:textId="7D15276E" w:rsidR="001D7656" w:rsidRPr="00147D0A" w:rsidRDefault="001D7656" w:rsidP="00D258DC">
      <w:pPr>
        <w:pStyle w:val="ListParagraph"/>
        <w:numPr>
          <w:ilvl w:val="1"/>
          <w:numId w:val="45"/>
        </w:numPr>
        <w:spacing w:before="240" w:line="360" w:lineRule="auto"/>
        <w:jc w:val="both"/>
        <w:rPr>
          <w:rFonts w:ascii="Arial Hebrew" w:hAnsi="Arial Hebrew" w:cs="Arial Hebrew"/>
          <w:i/>
          <w:iCs/>
          <w:sz w:val="20"/>
          <w:szCs w:val="20"/>
        </w:rPr>
      </w:pPr>
      <w:r w:rsidRPr="00147D0A">
        <w:rPr>
          <w:rFonts w:ascii="Arial Hebrew" w:hAnsi="Arial Hebrew" w:cs="Arial Hebrew" w:hint="cs"/>
          <w:b/>
          <w:bCs/>
          <w:i/>
          <w:iCs/>
          <w:sz w:val="20"/>
          <w:szCs w:val="20"/>
        </w:rPr>
        <w:t xml:space="preserve">Predictability </w:t>
      </w:r>
      <w:r w:rsidRPr="00147D0A">
        <w:rPr>
          <w:rFonts w:ascii="Arial Hebrew" w:hAnsi="Arial Hebrew" w:cs="Arial Hebrew" w:hint="cs"/>
          <w:b/>
          <w:bCs/>
          <w:sz w:val="20"/>
          <w:szCs w:val="20"/>
        </w:rPr>
        <w:t>(25%):</w:t>
      </w:r>
      <w:r w:rsidR="007B68BA" w:rsidRPr="00147D0A">
        <w:rPr>
          <w:rFonts w:ascii="Arial Hebrew" w:hAnsi="Arial Hebrew" w:cs="Arial Hebrew" w:hint="cs"/>
          <w:i/>
          <w:iCs/>
          <w:sz w:val="20"/>
          <w:szCs w:val="20"/>
        </w:rPr>
        <w:t xml:space="preserve"> </w:t>
      </w:r>
      <w:r w:rsidR="007B68BA" w:rsidRPr="00147D0A">
        <w:rPr>
          <w:rFonts w:ascii="Arial Hebrew" w:hAnsi="Arial Hebrew" w:cs="Arial Hebrew" w:hint="cs"/>
          <w:sz w:val="20"/>
          <w:szCs w:val="20"/>
        </w:rPr>
        <w:t xml:space="preserve">stability and predictability of institutional framework; frequency and impact of changes in laws, </w:t>
      </w:r>
      <w:r w:rsidR="002516B3" w:rsidRPr="00147D0A">
        <w:rPr>
          <w:rFonts w:ascii="Arial Hebrew" w:hAnsi="Arial Hebrew" w:cs="Arial Hebrew" w:hint="cs"/>
          <w:sz w:val="20"/>
          <w:szCs w:val="20"/>
        </w:rPr>
        <w:t>regulations</w:t>
      </w:r>
      <w:r w:rsidR="00982C36" w:rsidRPr="00147D0A">
        <w:rPr>
          <w:rFonts w:ascii="Arial Hebrew" w:hAnsi="Arial Hebrew" w:cs="Arial Hebrew" w:hint="cs"/>
          <w:sz w:val="20"/>
          <w:szCs w:val="20"/>
        </w:rPr>
        <w:t>,</w:t>
      </w:r>
      <w:r w:rsidR="007B68BA" w:rsidRPr="00147D0A">
        <w:rPr>
          <w:rFonts w:ascii="Arial Hebrew" w:hAnsi="Arial Hebrew" w:cs="Arial Hebrew" w:hint="cs"/>
          <w:sz w:val="20"/>
          <w:szCs w:val="20"/>
        </w:rPr>
        <w:t xml:space="preserve"> and intergovernmental</w:t>
      </w:r>
      <w:r w:rsidR="00982C36" w:rsidRPr="00147D0A">
        <w:rPr>
          <w:rFonts w:ascii="Arial Hebrew" w:hAnsi="Arial Hebrew" w:cs="Arial Hebrew" w:hint="cs"/>
          <w:sz w:val="20"/>
          <w:szCs w:val="20"/>
        </w:rPr>
        <w:t xml:space="preserve"> fiscal arrangements.</w:t>
      </w:r>
      <w:r w:rsidR="007B68BA" w:rsidRPr="00147D0A">
        <w:rPr>
          <w:rFonts w:ascii="Arial Hebrew" w:hAnsi="Arial Hebrew" w:cs="Arial Hebrew" w:hint="cs"/>
          <w:sz w:val="20"/>
          <w:szCs w:val="20"/>
        </w:rPr>
        <w:t xml:space="preserve"> </w:t>
      </w:r>
    </w:p>
    <w:p w14:paraId="54BC630D" w14:textId="77480BFC" w:rsidR="00BB235A" w:rsidRPr="00147D0A" w:rsidRDefault="00BB235A" w:rsidP="00D258DC">
      <w:pPr>
        <w:pStyle w:val="ListParagraph"/>
        <w:numPr>
          <w:ilvl w:val="1"/>
          <w:numId w:val="45"/>
        </w:numPr>
        <w:spacing w:before="240" w:line="360" w:lineRule="auto"/>
        <w:jc w:val="both"/>
        <w:rPr>
          <w:rFonts w:ascii="Arial Hebrew" w:hAnsi="Arial Hebrew" w:cs="Arial Hebrew"/>
          <w:i/>
          <w:iCs/>
          <w:sz w:val="20"/>
          <w:szCs w:val="20"/>
        </w:rPr>
      </w:pPr>
      <w:r w:rsidRPr="00147D0A">
        <w:rPr>
          <w:rFonts w:ascii="Arial Hebrew" w:hAnsi="Arial Hebrew" w:cs="Arial Hebrew" w:hint="cs"/>
          <w:b/>
          <w:bCs/>
          <w:i/>
          <w:iCs/>
          <w:sz w:val="20"/>
          <w:szCs w:val="20"/>
        </w:rPr>
        <w:t xml:space="preserve">Revenue </w:t>
      </w:r>
      <w:r w:rsidR="00792157" w:rsidRPr="00147D0A">
        <w:rPr>
          <w:rFonts w:ascii="Arial Hebrew" w:hAnsi="Arial Hebrew" w:cs="Arial Hebrew" w:hint="cs"/>
          <w:b/>
          <w:bCs/>
          <w:i/>
          <w:iCs/>
          <w:sz w:val="20"/>
          <w:szCs w:val="20"/>
        </w:rPr>
        <w:t xml:space="preserve">and Expenditure Balance </w:t>
      </w:r>
      <w:r w:rsidR="00792157" w:rsidRPr="00147D0A">
        <w:rPr>
          <w:rFonts w:ascii="Arial Hebrew" w:hAnsi="Arial Hebrew" w:cs="Arial Hebrew" w:hint="cs"/>
          <w:b/>
          <w:bCs/>
          <w:sz w:val="20"/>
          <w:szCs w:val="20"/>
        </w:rPr>
        <w:t>(50%):</w:t>
      </w:r>
      <w:r w:rsidR="00982C36" w:rsidRPr="00147D0A">
        <w:rPr>
          <w:rFonts w:ascii="Arial Hebrew" w:hAnsi="Arial Hebrew" w:cs="Arial Hebrew" w:hint="cs"/>
          <w:i/>
          <w:iCs/>
          <w:sz w:val="20"/>
          <w:szCs w:val="20"/>
        </w:rPr>
        <w:t xml:space="preserve"> </w:t>
      </w:r>
      <w:r w:rsidR="00CD3C50" w:rsidRPr="00147D0A">
        <w:rPr>
          <w:rFonts w:ascii="Arial Hebrew" w:hAnsi="Arial Hebrew" w:cs="Arial Hebrew" w:hint="cs"/>
          <w:sz w:val="20"/>
          <w:szCs w:val="20"/>
        </w:rPr>
        <w:t xml:space="preserve">the </w:t>
      </w:r>
      <w:r w:rsidR="00982C36" w:rsidRPr="00147D0A">
        <w:rPr>
          <w:rFonts w:ascii="Arial Hebrew" w:hAnsi="Arial Hebrew" w:cs="Arial Hebrew" w:hint="cs"/>
          <w:sz w:val="20"/>
          <w:szCs w:val="20"/>
        </w:rPr>
        <w:t xml:space="preserve">adequacy of revenue to cover mandated services, </w:t>
      </w:r>
      <w:r w:rsidR="00CD3C50" w:rsidRPr="00147D0A">
        <w:rPr>
          <w:rFonts w:ascii="Arial Hebrew" w:hAnsi="Arial Hebrew" w:cs="Arial Hebrew" w:hint="cs"/>
          <w:sz w:val="20"/>
          <w:szCs w:val="20"/>
        </w:rPr>
        <w:t xml:space="preserve">the </w:t>
      </w:r>
      <w:r w:rsidR="00982C36" w:rsidRPr="00147D0A">
        <w:rPr>
          <w:rFonts w:ascii="Arial Hebrew" w:hAnsi="Arial Hebrew" w:cs="Arial Hebrew" w:hint="cs"/>
          <w:sz w:val="20"/>
          <w:szCs w:val="20"/>
        </w:rPr>
        <w:t>flexibility to adjust revenues and expenditures</w:t>
      </w:r>
      <w:r w:rsidR="007B13BD" w:rsidRPr="00147D0A">
        <w:rPr>
          <w:rFonts w:ascii="Arial Hebrew" w:hAnsi="Arial Hebrew" w:cs="Arial Hebrew" w:hint="cs"/>
          <w:sz w:val="20"/>
          <w:szCs w:val="20"/>
        </w:rPr>
        <w:t>,</w:t>
      </w:r>
      <w:r w:rsidR="00982C36" w:rsidRPr="00147D0A">
        <w:rPr>
          <w:rFonts w:ascii="Arial Hebrew" w:hAnsi="Arial Hebrew" w:cs="Arial Hebrew" w:hint="cs"/>
          <w:sz w:val="20"/>
          <w:szCs w:val="20"/>
        </w:rPr>
        <w:t xml:space="preserve"> and overall fiscal discipline.</w:t>
      </w:r>
    </w:p>
    <w:p w14:paraId="2CEEE010" w14:textId="16590DE5" w:rsidR="00792157" w:rsidRPr="00147D0A" w:rsidRDefault="00792157" w:rsidP="00D258DC">
      <w:pPr>
        <w:pStyle w:val="ListParagraph"/>
        <w:numPr>
          <w:ilvl w:val="1"/>
          <w:numId w:val="45"/>
        </w:numPr>
        <w:spacing w:before="240" w:line="360" w:lineRule="auto"/>
        <w:jc w:val="both"/>
        <w:rPr>
          <w:rFonts w:ascii="Arial Hebrew" w:hAnsi="Arial Hebrew" w:cs="Arial Hebrew"/>
          <w:i/>
          <w:iCs/>
          <w:sz w:val="20"/>
          <w:szCs w:val="20"/>
        </w:rPr>
      </w:pPr>
      <w:r w:rsidRPr="00147D0A">
        <w:rPr>
          <w:rFonts w:ascii="Arial Hebrew" w:hAnsi="Arial Hebrew" w:cs="Arial Hebrew" w:hint="cs"/>
          <w:b/>
          <w:bCs/>
          <w:i/>
          <w:iCs/>
          <w:sz w:val="20"/>
          <w:szCs w:val="20"/>
        </w:rPr>
        <w:t xml:space="preserve">Transparency and Accountability </w:t>
      </w:r>
      <w:r w:rsidRPr="00147D0A">
        <w:rPr>
          <w:rFonts w:ascii="Arial Hebrew" w:hAnsi="Arial Hebrew" w:cs="Arial Hebrew" w:hint="cs"/>
          <w:b/>
          <w:bCs/>
          <w:sz w:val="20"/>
          <w:szCs w:val="20"/>
        </w:rPr>
        <w:t>(25</w:t>
      </w:r>
      <w:r w:rsidR="00982C36" w:rsidRPr="00147D0A">
        <w:rPr>
          <w:rFonts w:ascii="Arial Hebrew" w:hAnsi="Arial Hebrew" w:cs="Arial Hebrew" w:hint="cs"/>
          <w:b/>
          <w:bCs/>
          <w:sz w:val="20"/>
          <w:szCs w:val="20"/>
        </w:rPr>
        <w:t>%</w:t>
      </w:r>
      <w:r w:rsidRPr="00147D0A">
        <w:rPr>
          <w:rFonts w:ascii="Arial Hebrew" w:hAnsi="Arial Hebrew" w:cs="Arial Hebrew" w:hint="cs"/>
          <w:b/>
          <w:bCs/>
          <w:sz w:val="20"/>
          <w:szCs w:val="20"/>
        </w:rPr>
        <w:t>):</w:t>
      </w:r>
      <w:r w:rsidR="00982C36" w:rsidRPr="00147D0A">
        <w:rPr>
          <w:rFonts w:ascii="Arial Hebrew" w:hAnsi="Arial Hebrew" w:cs="Arial Hebrew" w:hint="cs"/>
          <w:i/>
          <w:iCs/>
          <w:sz w:val="20"/>
          <w:szCs w:val="20"/>
        </w:rPr>
        <w:t xml:space="preserve"> </w:t>
      </w:r>
      <w:r w:rsidR="00CD3C50" w:rsidRPr="00147D0A">
        <w:rPr>
          <w:rFonts w:ascii="Arial Hebrew" w:hAnsi="Arial Hebrew" w:cs="Arial Hebrew" w:hint="cs"/>
          <w:sz w:val="20"/>
          <w:szCs w:val="20"/>
        </w:rPr>
        <w:t xml:space="preserve">the </w:t>
      </w:r>
      <w:r w:rsidR="00982C36" w:rsidRPr="00147D0A">
        <w:rPr>
          <w:rFonts w:ascii="Arial Hebrew" w:hAnsi="Arial Hebrew" w:cs="Arial Hebrew" w:hint="cs"/>
          <w:sz w:val="20"/>
          <w:szCs w:val="20"/>
        </w:rPr>
        <w:t>quality of financial statements, level of disclosure</w:t>
      </w:r>
      <w:r w:rsidR="00CD3C50" w:rsidRPr="00147D0A">
        <w:rPr>
          <w:rFonts w:ascii="Arial Hebrew" w:hAnsi="Arial Hebrew" w:cs="Arial Hebrew" w:hint="cs"/>
          <w:sz w:val="20"/>
          <w:szCs w:val="20"/>
        </w:rPr>
        <w:t xml:space="preserve"> and</w:t>
      </w:r>
      <w:r w:rsidR="00982C36" w:rsidRPr="00147D0A">
        <w:rPr>
          <w:rFonts w:ascii="Arial Hebrew" w:hAnsi="Arial Hebrew" w:cs="Arial Hebrew" w:hint="cs"/>
          <w:sz w:val="20"/>
          <w:szCs w:val="20"/>
        </w:rPr>
        <w:t xml:space="preserve"> effectiveness of oversight mechanisms.</w:t>
      </w:r>
    </w:p>
    <w:p w14:paraId="058E7985" w14:textId="77DB082C" w:rsidR="001F3782" w:rsidRPr="00147D0A" w:rsidRDefault="001D7656" w:rsidP="00661BB5">
      <w:pPr>
        <w:pStyle w:val="ListParagraph"/>
        <w:numPr>
          <w:ilvl w:val="0"/>
          <w:numId w:val="16"/>
        </w:numPr>
        <w:spacing w:line="360" w:lineRule="auto"/>
        <w:jc w:val="both"/>
        <w:rPr>
          <w:rFonts w:ascii="Arial Hebrew" w:hAnsi="Arial Hebrew" w:cs="Arial Hebrew"/>
          <w:sz w:val="20"/>
          <w:szCs w:val="20"/>
        </w:rPr>
      </w:pPr>
      <w:bookmarkStart w:id="9" w:name="OLE_LINK1"/>
      <w:bookmarkStart w:id="10" w:name="OLE_LINK2"/>
      <w:r w:rsidRPr="00147D0A">
        <w:rPr>
          <w:rFonts w:ascii="Arial Hebrew" w:hAnsi="Arial Hebrew" w:cs="Arial Hebrew" w:hint="cs"/>
          <w:b/>
          <w:bCs/>
          <w:sz w:val="20"/>
          <w:szCs w:val="20"/>
        </w:rPr>
        <w:t xml:space="preserve">Individual Credit Profile Assessment: </w:t>
      </w:r>
      <w:r w:rsidRPr="00147D0A">
        <w:rPr>
          <w:rFonts w:ascii="Arial Hebrew" w:hAnsi="Arial Hebrew" w:cs="Arial Hebrew" w:hint="cs"/>
          <w:sz w:val="20"/>
          <w:szCs w:val="20"/>
        </w:rPr>
        <w:t xml:space="preserve">a composite of five </w:t>
      </w:r>
      <w:r w:rsidR="007B1AE9" w:rsidRPr="00147D0A">
        <w:rPr>
          <w:rFonts w:ascii="Arial Hebrew" w:hAnsi="Arial Hebrew" w:cs="Arial Hebrew" w:hint="cs"/>
          <w:sz w:val="20"/>
          <w:szCs w:val="20"/>
        </w:rPr>
        <w:t>equally weighted</w:t>
      </w:r>
      <w:r w:rsidRPr="00147D0A">
        <w:rPr>
          <w:rFonts w:ascii="Arial Hebrew" w:hAnsi="Arial Hebrew" w:cs="Arial Hebrew" w:hint="cs"/>
          <w:sz w:val="20"/>
          <w:szCs w:val="20"/>
        </w:rPr>
        <w:t xml:space="preserve"> factors</w:t>
      </w:r>
      <w:bookmarkEnd w:id="9"/>
      <w:bookmarkEnd w:id="10"/>
      <w:r w:rsidR="00BB235A" w:rsidRPr="00147D0A">
        <w:rPr>
          <w:rFonts w:ascii="Arial Hebrew" w:hAnsi="Arial Hebrew" w:cs="Arial Hebrew" w:hint="cs"/>
          <w:sz w:val="20"/>
          <w:szCs w:val="20"/>
        </w:rPr>
        <w:t xml:space="preserve">: </w:t>
      </w:r>
    </w:p>
    <w:p w14:paraId="050E75AA" w14:textId="238438B5" w:rsidR="001F3782" w:rsidRPr="00147D0A" w:rsidRDefault="001D7656" w:rsidP="00D258DC">
      <w:pPr>
        <w:pStyle w:val="ListParagraph"/>
        <w:numPr>
          <w:ilvl w:val="1"/>
          <w:numId w:val="46"/>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Economy</w:t>
      </w:r>
      <w:r w:rsidR="001F3782" w:rsidRPr="00147D0A">
        <w:rPr>
          <w:rFonts w:ascii="Arial Hebrew" w:hAnsi="Arial Hebrew" w:cs="Arial Hebrew" w:hint="cs"/>
          <w:b/>
          <w:bCs/>
          <w:i/>
          <w:iCs/>
          <w:sz w:val="20"/>
          <w:szCs w:val="20"/>
        </w:rPr>
        <w:t>:</w:t>
      </w:r>
      <w:r w:rsidR="00BB235A" w:rsidRPr="00147D0A">
        <w:rPr>
          <w:rFonts w:ascii="Arial Hebrew" w:hAnsi="Arial Hebrew" w:cs="Arial Hebrew" w:hint="cs"/>
          <w:i/>
          <w:iCs/>
          <w:sz w:val="20"/>
          <w:szCs w:val="20"/>
        </w:rPr>
        <w:t xml:space="preserve"> </w:t>
      </w:r>
      <w:r w:rsidRPr="00147D0A">
        <w:rPr>
          <w:rFonts w:ascii="Arial Hebrew" w:hAnsi="Arial Hebrew" w:cs="Arial Hebrew" w:hint="cs"/>
          <w:sz w:val="20"/>
          <w:szCs w:val="20"/>
        </w:rPr>
        <w:t>socioeconomic profile</w:t>
      </w:r>
      <w:r w:rsidR="00123887" w:rsidRPr="00147D0A">
        <w:rPr>
          <w:rFonts w:ascii="Arial Hebrew" w:hAnsi="Arial Hebrew" w:cs="Arial Hebrew" w:hint="cs"/>
          <w:sz w:val="20"/>
          <w:szCs w:val="20"/>
        </w:rPr>
        <w:t>, economic diversification</w:t>
      </w:r>
      <w:r w:rsidR="00E709DE" w:rsidRPr="00147D0A">
        <w:rPr>
          <w:rFonts w:ascii="Arial Hebrew" w:hAnsi="Arial Hebrew" w:cs="Arial Hebrew" w:hint="cs"/>
          <w:sz w:val="20"/>
          <w:szCs w:val="20"/>
        </w:rPr>
        <w:t>,</w:t>
      </w:r>
      <w:r w:rsidRPr="00147D0A">
        <w:rPr>
          <w:rFonts w:ascii="Arial Hebrew" w:hAnsi="Arial Hebrew" w:cs="Arial Hebrew" w:hint="cs"/>
          <w:sz w:val="20"/>
          <w:szCs w:val="20"/>
        </w:rPr>
        <w:t xml:space="preserve"> and growth prospects</w:t>
      </w:r>
      <w:r w:rsidR="00325C2D" w:rsidRPr="00147D0A">
        <w:rPr>
          <w:rFonts w:ascii="Arial Hebrew" w:hAnsi="Arial Hebrew" w:cs="Arial Hebrew" w:hint="cs"/>
          <w:sz w:val="20"/>
          <w:szCs w:val="20"/>
        </w:rPr>
        <w:t>.</w:t>
      </w:r>
    </w:p>
    <w:p w14:paraId="10CD7773" w14:textId="22803E43" w:rsidR="001F3782" w:rsidRPr="00147D0A" w:rsidRDefault="00BB235A" w:rsidP="00D258DC">
      <w:pPr>
        <w:pStyle w:val="ListParagraph"/>
        <w:numPr>
          <w:ilvl w:val="1"/>
          <w:numId w:val="46"/>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Financial Management</w:t>
      </w:r>
      <w:r w:rsidR="001F3782"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Pr="00147D0A">
        <w:rPr>
          <w:rFonts w:ascii="Arial Hebrew" w:hAnsi="Arial Hebrew" w:cs="Arial Hebrew" w:hint="cs"/>
          <w:sz w:val="20"/>
          <w:szCs w:val="20"/>
        </w:rPr>
        <w:t>managerial quality and political impact on willingness and ability to service deb</w:t>
      </w:r>
      <w:r w:rsidR="001F3782" w:rsidRPr="00147D0A">
        <w:rPr>
          <w:rFonts w:ascii="Arial Hebrew" w:hAnsi="Arial Hebrew" w:cs="Arial Hebrew" w:hint="cs"/>
          <w:sz w:val="20"/>
          <w:szCs w:val="20"/>
        </w:rPr>
        <w:t>t</w:t>
      </w:r>
      <w:r w:rsidR="00325C2D" w:rsidRPr="00147D0A">
        <w:rPr>
          <w:rFonts w:ascii="Arial Hebrew" w:hAnsi="Arial Hebrew" w:cs="Arial Hebrew" w:hint="cs"/>
          <w:sz w:val="20"/>
          <w:szCs w:val="20"/>
        </w:rPr>
        <w:t>.</w:t>
      </w:r>
    </w:p>
    <w:p w14:paraId="1127F697" w14:textId="2CE16742" w:rsidR="001F3782" w:rsidRPr="00147D0A" w:rsidRDefault="00BB235A" w:rsidP="00D258DC">
      <w:pPr>
        <w:pStyle w:val="ListParagraph"/>
        <w:numPr>
          <w:ilvl w:val="1"/>
          <w:numId w:val="46"/>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Budgetary Performance</w:t>
      </w:r>
      <w:r w:rsidR="001F3782" w:rsidRPr="00147D0A">
        <w:rPr>
          <w:rFonts w:ascii="Arial Hebrew" w:hAnsi="Arial Hebrew" w:cs="Arial Hebrew" w:hint="cs"/>
          <w:b/>
          <w:bCs/>
          <w:i/>
          <w:iCs/>
          <w:sz w:val="20"/>
          <w:szCs w:val="20"/>
        </w:rPr>
        <w:t>:</w:t>
      </w:r>
      <w:r w:rsidRPr="00147D0A">
        <w:rPr>
          <w:rFonts w:ascii="Arial Hebrew" w:hAnsi="Arial Hebrew" w:cs="Arial Hebrew" w:hint="cs"/>
          <w:b/>
          <w:bCs/>
          <w:sz w:val="20"/>
          <w:szCs w:val="20"/>
        </w:rPr>
        <w:t xml:space="preserve"> </w:t>
      </w:r>
      <w:r w:rsidRPr="00147D0A">
        <w:rPr>
          <w:rFonts w:ascii="Arial Hebrew" w:hAnsi="Arial Hebrew" w:cs="Arial Hebrew" w:hint="cs"/>
          <w:sz w:val="20"/>
          <w:szCs w:val="20"/>
        </w:rPr>
        <w:t>level and volatility of cash flows for debt service</w:t>
      </w:r>
      <w:r w:rsidR="00325C2D"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p>
    <w:p w14:paraId="338076A3" w14:textId="5E431D6D" w:rsidR="001F3782" w:rsidRPr="00147D0A" w:rsidRDefault="00BB235A" w:rsidP="00D258DC">
      <w:pPr>
        <w:pStyle w:val="ListParagraph"/>
        <w:numPr>
          <w:ilvl w:val="1"/>
          <w:numId w:val="46"/>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Liquidity</w:t>
      </w:r>
      <w:r w:rsidR="001F3782" w:rsidRPr="00147D0A">
        <w:rPr>
          <w:rFonts w:ascii="Arial Hebrew" w:hAnsi="Arial Hebrew" w:cs="Arial Hebrew" w:hint="cs"/>
          <w:b/>
          <w:bCs/>
          <w:i/>
          <w:iCs/>
          <w:sz w:val="20"/>
          <w:szCs w:val="20"/>
        </w:rPr>
        <w:t>:</w:t>
      </w:r>
      <w:r w:rsidRPr="00147D0A">
        <w:rPr>
          <w:rFonts w:ascii="Arial Hebrew" w:hAnsi="Arial Hebrew" w:cs="Arial Hebrew" w:hint="cs"/>
          <w:b/>
          <w:bCs/>
          <w:i/>
          <w:iCs/>
          <w:sz w:val="20"/>
          <w:szCs w:val="20"/>
        </w:rPr>
        <w:t xml:space="preserve"> </w:t>
      </w:r>
      <w:r w:rsidRPr="00147D0A">
        <w:rPr>
          <w:rFonts w:ascii="Arial Hebrew" w:hAnsi="Arial Hebrew" w:cs="Arial Hebrew" w:hint="cs"/>
          <w:sz w:val="20"/>
          <w:szCs w:val="20"/>
        </w:rPr>
        <w:t>adequacy of internal and external liquidity sources relative to servicing needs</w:t>
      </w:r>
      <w:r w:rsidR="00325C2D" w:rsidRPr="00147D0A">
        <w:rPr>
          <w:rFonts w:ascii="Arial Hebrew" w:hAnsi="Arial Hebrew" w:cs="Arial Hebrew" w:hint="cs"/>
          <w:sz w:val="20"/>
          <w:szCs w:val="20"/>
        </w:rPr>
        <w:t>.</w:t>
      </w:r>
    </w:p>
    <w:p w14:paraId="32536952" w14:textId="6113D989" w:rsidR="00113D50" w:rsidRPr="00147D0A" w:rsidRDefault="00BB235A" w:rsidP="00D258DC">
      <w:pPr>
        <w:pStyle w:val="ListParagraph"/>
        <w:numPr>
          <w:ilvl w:val="1"/>
          <w:numId w:val="46"/>
        </w:numPr>
        <w:spacing w:line="360" w:lineRule="auto"/>
        <w:jc w:val="both"/>
        <w:rPr>
          <w:rFonts w:ascii="Arial Hebrew" w:hAnsi="Arial Hebrew" w:cs="Arial Hebrew"/>
          <w:sz w:val="20"/>
          <w:szCs w:val="20"/>
        </w:rPr>
      </w:pPr>
      <w:r w:rsidRPr="00147D0A">
        <w:rPr>
          <w:rFonts w:ascii="Arial Hebrew" w:hAnsi="Arial Hebrew" w:cs="Arial Hebrew" w:hint="cs"/>
          <w:b/>
          <w:bCs/>
          <w:i/>
          <w:iCs/>
          <w:sz w:val="20"/>
          <w:szCs w:val="20"/>
        </w:rPr>
        <w:t>Debt</w:t>
      </w:r>
      <w:r w:rsidR="00E779CC" w:rsidRPr="00147D0A">
        <w:rPr>
          <w:rFonts w:ascii="Arial Hebrew" w:hAnsi="Arial Hebrew" w:cs="Arial Hebrew" w:hint="cs"/>
          <w:b/>
          <w:bCs/>
          <w:i/>
          <w:iCs/>
          <w:sz w:val="20"/>
          <w:szCs w:val="20"/>
        </w:rPr>
        <w:t xml:space="preserve"> burden</w:t>
      </w:r>
      <w:r w:rsidR="001F3782" w:rsidRPr="00147D0A">
        <w:rPr>
          <w:rFonts w:ascii="Arial Hebrew" w:hAnsi="Arial Hebrew" w:cs="Arial Hebrew" w:hint="cs"/>
          <w:b/>
          <w:bCs/>
          <w:i/>
          <w:iCs/>
          <w:sz w:val="20"/>
          <w:szCs w:val="20"/>
        </w:rPr>
        <w:t>:</w:t>
      </w:r>
      <w:r w:rsidR="00E779CC" w:rsidRPr="00147D0A">
        <w:rPr>
          <w:rFonts w:ascii="Arial Hebrew" w:hAnsi="Arial Hebrew" w:cs="Arial Hebrew" w:hint="cs"/>
          <w:sz w:val="20"/>
          <w:szCs w:val="20"/>
        </w:rPr>
        <w:t xml:space="preserve"> </w:t>
      </w:r>
      <w:r w:rsidR="00113D50" w:rsidRPr="00147D0A">
        <w:rPr>
          <w:rFonts w:ascii="Arial Hebrew" w:hAnsi="Arial Hebrew" w:cs="Arial Hebrew" w:hint="cs"/>
          <w:sz w:val="20"/>
          <w:szCs w:val="20"/>
        </w:rPr>
        <w:t>debt and interest relative to consolidated operating revenues.</w:t>
      </w:r>
      <w:r w:rsidRPr="00147D0A">
        <w:rPr>
          <w:rFonts w:ascii="Arial Hebrew" w:hAnsi="Arial Hebrew" w:cs="Arial Hebrew" w:hint="cs"/>
          <w:sz w:val="20"/>
          <w:szCs w:val="20"/>
        </w:rPr>
        <w:t xml:space="preserve"> </w:t>
      </w:r>
    </w:p>
    <w:p w14:paraId="4ADF6501" w14:textId="43DDD4AC" w:rsidR="001D7656" w:rsidRPr="00147D0A" w:rsidRDefault="00E709DE" w:rsidP="00BE344F">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The </w:t>
      </w:r>
      <w:r w:rsidR="00704121" w:rsidRPr="00147D0A">
        <w:rPr>
          <w:rFonts w:ascii="Arial Hebrew" w:hAnsi="Arial Hebrew" w:cs="Arial Hebrew" w:hint="cs"/>
          <w:b/>
          <w:bCs/>
          <w:sz w:val="20"/>
          <w:szCs w:val="20"/>
        </w:rPr>
        <w:t>Institutional Framework Assessment</w:t>
      </w:r>
      <w:r w:rsidR="00704121" w:rsidRPr="00147D0A">
        <w:rPr>
          <w:rFonts w:ascii="Arial Hebrew" w:hAnsi="Arial Hebrew" w:cs="Arial Hebrew" w:hint="cs"/>
          <w:sz w:val="20"/>
          <w:szCs w:val="20"/>
        </w:rPr>
        <w:t xml:space="preserve"> and </w:t>
      </w:r>
      <w:r w:rsidR="00704121" w:rsidRPr="00147D0A">
        <w:rPr>
          <w:rFonts w:ascii="Arial Hebrew" w:hAnsi="Arial Hebrew" w:cs="Arial Hebrew" w:hint="cs"/>
          <w:b/>
          <w:bCs/>
          <w:sz w:val="20"/>
          <w:szCs w:val="20"/>
        </w:rPr>
        <w:t>Individual Credit Profile Assessment</w:t>
      </w:r>
      <w:r w:rsidR="00704121" w:rsidRPr="00147D0A">
        <w:rPr>
          <w:rFonts w:ascii="Arial Hebrew" w:hAnsi="Arial Hebrew" w:cs="Arial Hebrew" w:hint="cs"/>
          <w:sz w:val="20"/>
          <w:szCs w:val="20"/>
        </w:rPr>
        <w:t xml:space="preserve"> </w:t>
      </w:r>
      <w:r w:rsidR="00792157" w:rsidRPr="00147D0A">
        <w:rPr>
          <w:rFonts w:ascii="Arial Hebrew" w:hAnsi="Arial Hebrew" w:cs="Arial Hebrew" w:hint="cs"/>
          <w:sz w:val="20"/>
          <w:szCs w:val="20"/>
        </w:rPr>
        <w:t xml:space="preserve">are </w:t>
      </w:r>
      <w:r w:rsidR="00DC15E4" w:rsidRPr="00147D0A">
        <w:rPr>
          <w:rFonts w:ascii="Arial Hebrew" w:hAnsi="Arial Hebrew" w:cs="Arial Hebrew" w:hint="cs"/>
          <w:sz w:val="20"/>
          <w:szCs w:val="20"/>
        </w:rPr>
        <w:t>combined using a risk</w:t>
      </w:r>
      <w:r w:rsidR="002516B3" w:rsidRPr="00147D0A">
        <w:rPr>
          <w:rFonts w:ascii="Arial Hebrew" w:hAnsi="Arial Hebrew" w:cs="Arial Hebrew" w:hint="cs"/>
          <w:sz w:val="20"/>
          <w:szCs w:val="20"/>
        </w:rPr>
        <w:t xml:space="preserve"> matrix</w:t>
      </w:r>
      <w:r w:rsidR="00113D50" w:rsidRPr="00147D0A">
        <w:rPr>
          <w:rFonts w:ascii="Arial Hebrew" w:hAnsi="Arial Hebrew" w:cs="Arial Hebrew" w:hint="cs"/>
          <w:sz w:val="20"/>
          <w:szCs w:val="20"/>
        </w:rPr>
        <w:t xml:space="preserve"> to create a </w:t>
      </w:r>
      <w:r w:rsidR="00E13AA9" w:rsidRPr="00147D0A">
        <w:rPr>
          <w:rFonts w:ascii="Arial Hebrew" w:hAnsi="Arial Hebrew" w:cs="Arial Hebrew" w:hint="cs"/>
          <w:sz w:val="20"/>
          <w:szCs w:val="20"/>
        </w:rPr>
        <w:t>preliminary rating</w:t>
      </w:r>
      <w:r w:rsidR="00BE344F" w:rsidRPr="00147D0A">
        <w:rPr>
          <w:rFonts w:ascii="Arial Hebrew" w:hAnsi="Arial Hebrew" w:cs="Arial Hebrew" w:hint="cs"/>
          <w:sz w:val="20"/>
          <w:szCs w:val="20"/>
        </w:rPr>
        <w:t>,</w:t>
      </w:r>
      <w:r w:rsidR="00113D50" w:rsidRPr="00147D0A">
        <w:rPr>
          <w:rFonts w:ascii="Arial Hebrew" w:hAnsi="Arial Hebrew" w:cs="Arial Hebrew" w:hint="cs"/>
          <w:sz w:val="20"/>
          <w:szCs w:val="20"/>
        </w:rPr>
        <w:t xml:space="preserve"> which </w:t>
      </w:r>
      <w:r w:rsidR="00E73B3C" w:rsidRPr="00147D0A">
        <w:rPr>
          <w:rFonts w:ascii="Arial Hebrew" w:hAnsi="Arial Hebrew" w:cs="Arial Hebrew" w:hint="cs"/>
          <w:sz w:val="20"/>
          <w:szCs w:val="20"/>
        </w:rPr>
        <w:t>may then be adjusted according to</w:t>
      </w:r>
      <w:r w:rsidR="00113D50" w:rsidRPr="00147D0A">
        <w:rPr>
          <w:rFonts w:ascii="Arial Hebrew" w:hAnsi="Arial Hebrew" w:cs="Arial Hebrew" w:hint="cs"/>
          <w:sz w:val="20"/>
          <w:szCs w:val="20"/>
        </w:rPr>
        <w:t xml:space="preserve"> </w:t>
      </w:r>
      <w:r w:rsidR="0041544A" w:rsidRPr="00147D0A">
        <w:rPr>
          <w:rFonts w:ascii="Arial Hebrew" w:hAnsi="Arial Hebrew" w:cs="Arial Hebrew" w:hint="cs"/>
          <w:sz w:val="20"/>
          <w:szCs w:val="20"/>
        </w:rPr>
        <w:t xml:space="preserve">the influence of the </w:t>
      </w:r>
      <w:r w:rsidR="00E13AA9" w:rsidRPr="00147D0A">
        <w:rPr>
          <w:rFonts w:ascii="Arial Hebrew" w:hAnsi="Arial Hebrew" w:cs="Arial Hebrew" w:hint="cs"/>
          <w:sz w:val="20"/>
          <w:szCs w:val="20"/>
        </w:rPr>
        <w:t>s</w:t>
      </w:r>
      <w:r w:rsidR="0041544A" w:rsidRPr="00147D0A">
        <w:rPr>
          <w:rFonts w:ascii="Arial Hebrew" w:hAnsi="Arial Hebrew" w:cs="Arial Hebrew" w:hint="cs"/>
          <w:sz w:val="20"/>
          <w:szCs w:val="20"/>
        </w:rPr>
        <w:t>overeign rating and other</w:t>
      </w:r>
      <w:r w:rsidR="00113D50" w:rsidRPr="00147D0A">
        <w:rPr>
          <w:rFonts w:ascii="Arial Hebrew" w:hAnsi="Arial Hebrew" w:cs="Arial Hebrew" w:hint="cs"/>
          <w:sz w:val="20"/>
          <w:szCs w:val="20"/>
        </w:rPr>
        <w:t xml:space="preserve"> </w:t>
      </w:r>
      <w:r w:rsidR="005C3CA3" w:rsidRPr="00147D0A">
        <w:rPr>
          <w:rFonts w:ascii="Arial Hebrew" w:hAnsi="Arial Hebrew" w:cs="Arial Hebrew" w:hint="cs"/>
          <w:sz w:val="20"/>
          <w:szCs w:val="20"/>
        </w:rPr>
        <w:t xml:space="preserve">supplemental </w:t>
      </w:r>
      <w:r w:rsidR="00113D50" w:rsidRPr="00147D0A">
        <w:rPr>
          <w:rFonts w:ascii="Arial Hebrew" w:hAnsi="Arial Hebrew" w:cs="Arial Hebrew" w:hint="cs"/>
          <w:sz w:val="20"/>
          <w:szCs w:val="20"/>
        </w:rPr>
        <w:t>factors</w:t>
      </w:r>
      <w:r w:rsidR="00E73B3C" w:rsidRPr="00147D0A">
        <w:rPr>
          <w:rFonts w:ascii="Arial Hebrew" w:hAnsi="Arial Hebrew" w:cs="Arial Hebrew" w:hint="cs"/>
          <w:sz w:val="20"/>
          <w:szCs w:val="20"/>
        </w:rPr>
        <w:t xml:space="preserve"> to arrive at the final credit assessment</w:t>
      </w:r>
      <w:r w:rsidR="00113D50" w:rsidRPr="00147D0A">
        <w:rPr>
          <w:rFonts w:ascii="Arial Hebrew" w:hAnsi="Arial Hebrew" w:cs="Arial Hebrew" w:hint="cs"/>
          <w:sz w:val="20"/>
          <w:szCs w:val="20"/>
        </w:rPr>
        <w:t xml:space="preserve">. </w:t>
      </w:r>
      <w:r w:rsidR="007067EB" w:rsidRPr="00147D0A">
        <w:rPr>
          <w:rFonts w:ascii="Arial Hebrew" w:hAnsi="Arial Hebrew" w:cs="Arial Hebrew" w:hint="cs"/>
          <w:sz w:val="20"/>
          <w:szCs w:val="20"/>
        </w:rPr>
        <w:t>Fo</w:t>
      </w:r>
      <w:r w:rsidR="00C07431" w:rsidRPr="00147D0A">
        <w:rPr>
          <w:rFonts w:ascii="Arial Hebrew" w:hAnsi="Arial Hebrew" w:cs="Arial Hebrew" w:hint="cs"/>
          <w:sz w:val="20"/>
          <w:szCs w:val="20"/>
        </w:rPr>
        <w:t>r the same reasons</w:t>
      </w:r>
      <w:r w:rsidR="005B62C2" w:rsidRPr="00147D0A">
        <w:rPr>
          <w:rFonts w:ascii="Arial Hebrew" w:hAnsi="Arial Hebrew" w:cs="Arial Hebrew" w:hint="cs"/>
          <w:sz w:val="20"/>
          <w:szCs w:val="20"/>
        </w:rPr>
        <w:t xml:space="preserve"> </w:t>
      </w:r>
      <w:r w:rsidR="007067EB" w:rsidRPr="00147D0A">
        <w:rPr>
          <w:rFonts w:ascii="Arial Hebrew" w:hAnsi="Arial Hebrew" w:cs="Arial Hebrew" w:hint="cs"/>
          <w:sz w:val="20"/>
          <w:szCs w:val="20"/>
        </w:rPr>
        <w:t>as Moody’s,</w:t>
      </w:r>
      <w:r w:rsidR="00BE344F" w:rsidRPr="00147D0A">
        <w:rPr>
          <w:rFonts w:ascii="Arial Hebrew" w:hAnsi="Arial Hebrew" w:cs="Arial Hebrew" w:hint="cs"/>
          <w:sz w:val="20"/>
          <w:szCs w:val="20"/>
        </w:rPr>
        <w:t xml:space="preserve"> S&amp;P</w:t>
      </w:r>
      <w:r w:rsidR="003C3929" w:rsidRPr="00147D0A">
        <w:rPr>
          <w:rFonts w:ascii="Arial Hebrew" w:hAnsi="Arial Hebrew" w:cs="Arial Hebrew" w:hint="cs"/>
          <w:sz w:val="20"/>
          <w:szCs w:val="20"/>
        </w:rPr>
        <w:t>’s</w:t>
      </w:r>
      <w:r w:rsidR="00BE344F" w:rsidRPr="00147D0A">
        <w:rPr>
          <w:rFonts w:ascii="Arial Hebrew" w:hAnsi="Arial Hebrew" w:cs="Arial Hebrew" w:hint="cs"/>
          <w:sz w:val="20"/>
          <w:szCs w:val="20"/>
        </w:rPr>
        <w:t xml:space="preserve"> </w:t>
      </w:r>
      <w:r w:rsidR="00C07431" w:rsidRPr="00147D0A">
        <w:rPr>
          <w:rFonts w:ascii="Arial Hebrew" w:hAnsi="Arial Hebrew" w:cs="Arial Hebrew" w:hint="cs"/>
          <w:sz w:val="20"/>
          <w:szCs w:val="20"/>
        </w:rPr>
        <w:t xml:space="preserve">distinguishes the </w:t>
      </w:r>
      <w:r w:rsidR="007067EB" w:rsidRPr="00147D0A">
        <w:rPr>
          <w:rFonts w:ascii="Arial Hebrew" w:hAnsi="Arial Hebrew" w:cs="Arial Hebrew" w:hint="cs"/>
          <w:sz w:val="20"/>
          <w:szCs w:val="20"/>
        </w:rPr>
        <w:t xml:space="preserve">assessment </w:t>
      </w:r>
      <w:r w:rsidR="00C07431" w:rsidRPr="00147D0A">
        <w:rPr>
          <w:rFonts w:ascii="Arial Hebrew" w:hAnsi="Arial Hebrew" w:cs="Arial Hebrew" w:hint="cs"/>
          <w:sz w:val="20"/>
          <w:szCs w:val="20"/>
        </w:rPr>
        <w:t xml:space="preserve">methodology </w:t>
      </w:r>
      <w:r w:rsidR="00BE344F" w:rsidRPr="00147D0A">
        <w:rPr>
          <w:rFonts w:ascii="Arial Hebrew" w:hAnsi="Arial Hebrew" w:cs="Arial Hebrew" w:hint="cs"/>
          <w:sz w:val="20"/>
          <w:szCs w:val="20"/>
        </w:rPr>
        <w:t>for</w:t>
      </w:r>
      <w:r w:rsidRPr="00147D0A">
        <w:rPr>
          <w:rFonts w:ascii="Arial Hebrew" w:hAnsi="Arial Hebrew" w:cs="Arial Hebrew" w:hint="cs"/>
          <w:sz w:val="20"/>
          <w:szCs w:val="20"/>
        </w:rPr>
        <w:t xml:space="preserve"> </w:t>
      </w:r>
      <w:r w:rsidR="00E13AA9" w:rsidRPr="00147D0A">
        <w:rPr>
          <w:rFonts w:ascii="Arial Hebrew" w:hAnsi="Arial Hebrew" w:cs="Arial Hebrew" w:hint="cs"/>
          <w:sz w:val="20"/>
          <w:szCs w:val="20"/>
        </w:rPr>
        <w:t>s</w:t>
      </w:r>
      <w:r w:rsidRPr="00147D0A">
        <w:rPr>
          <w:rFonts w:ascii="Arial Hebrew" w:hAnsi="Arial Hebrew" w:cs="Arial Hebrew" w:hint="cs"/>
          <w:sz w:val="20"/>
          <w:szCs w:val="20"/>
        </w:rPr>
        <w:t>ub-</w:t>
      </w:r>
      <w:r w:rsidR="00E13AA9" w:rsidRPr="00147D0A">
        <w:rPr>
          <w:rFonts w:ascii="Arial Hebrew" w:hAnsi="Arial Hebrew" w:cs="Arial Hebrew" w:hint="cs"/>
          <w:sz w:val="20"/>
          <w:szCs w:val="20"/>
        </w:rPr>
        <w:t>s</w:t>
      </w:r>
      <w:r w:rsidRPr="00147D0A">
        <w:rPr>
          <w:rFonts w:ascii="Arial Hebrew" w:hAnsi="Arial Hebrew" w:cs="Arial Hebrew" w:hint="cs"/>
          <w:sz w:val="20"/>
          <w:szCs w:val="20"/>
        </w:rPr>
        <w:t>overeign</w:t>
      </w:r>
      <w:r w:rsidR="007067EB" w:rsidRPr="00147D0A">
        <w:rPr>
          <w:rFonts w:ascii="Arial Hebrew" w:hAnsi="Arial Hebrew" w:cs="Arial Hebrew" w:hint="cs"/>
          <w:sz w:val="20"/>
          <w:szCs w:val="20"/>
        </w:rPr>
        <w:t>s</w:t>
      </w:r>
      <w:r w:rsidR="005B62C2" w:rsidRPr="00147D0A">
        <w:rPr>
          <w:rFonts w:ascii="Arial Hebrew" w:hAnsi="Arial Hebrew" w:cs="Arial Hebrew" w:hint="cs"/>
          <w:sz w:val="20"/>
          <w:szCs w:val="20"/>
        </w:rPr>
        <w:t xml:space="preserve"> </w:t>
      </w:r>
      <w:r w:rsidRPr="00147D0A">
        <w:rPr>
          <w:rFonts w:ascii="Arial Hebrew" w:hAnsi="Arial Hebrew" w:cs="Arial Hebrew" w:hint="cs"/>
          <w:sz w:val="20"/>
          <w:szCs w:val="20"/>
        </w:rPr>
        <w:t>inside the United States</w:t>
      </w:r>
      <w:r w:rsidR="00C07431" w:rsidRPr="00147D0A">
        <w:rPr>
          <w:rFonts w:ascii="Arial Hebrew" w:hAnsi="Arial Hebrew" w:cs="Arial Hebrew" w:hint="cs"/>
          <w:sz w:val="20"/>
          <w:szCs w:val="20"/>
        </w:rPr>
        <w:t xml:space="preserve">. The U.S. framework is similar but </w:t>
      </w:r>
      <w:r w:rsidR="00BE344F" w:rsidRPr="00147D0A">
        <w:rPr>
          <w:rFonts w:ascii="Arial Hebrew" w:hAnsi="Arial Hebrew" w:cs="Arial Hebrew" w:hint="cs"/>
          <w:sz w:val="20"/>
          <w:szCs w:val="20"/>
        </w:rPr>
        <w:t>remov</w:t>
      </w:r>
      <w:r w:rsidR="00C07431" w:rsidRPr="00147D0A">
        <w:rPr>
          <w:rFonts w:ascii="Arial Hebrew" w:hAnsi="Arial Hebrew" w:cs="Arial Hebrew" w:hint="cs"/>
          <w:sz w:val="20"/>
          <w:szCs w:val="20"/>
        </w:rPr>
        <w:t>es</w:t>
      </w:r>
      <w:r w:rsidR="00BE344F" w:rsidRPr="00147D0A">
        <w:rPr>
          <w:rFonts w:ascii="Arial Hebrew" w:hAnsi="Arial Hebrew" w:cs="Arial Hebrew" w:hint="cs"/>
          <w:sz w:val="20"/>
          <w:szCs w:val="20"/>
        </w:rPr>
        <w:t xml:space="preserve"> the influence of the sovereign rating</w:t>
      </w:r>
      <w:r w:rsidR="005B62C2" w:rsidRPr="00147D0A">
        <w:rPr>
          <w:rFonts w:ascii="Arial Hebrew" w:hAnsi="Arial Hebrew" w:cs="Arial Hebrew" w:hint="cs"/>
          <w:sz w:val="20"/>
          <w:szCs w:val="20"/>
        </w:rPr>
        <w:t>,</w:t>
      </w:r>
      <w:r w:rsidR="00BE344F" w:rsidRPr="00147D0A">
        <w:rPr>
          <w:rFonts w:ascii="Arial Hebrew" w:hAnsi="Arial Hebrew" w:cs="Arial Hebrew" w:hint="cs"/>
          <w:sz w:val="20"/>
          <w:szCs w:val="20"/>
        </w:rPr>
        <w:t xml:space="preserve"> </w:t>
      </w:r>
      <w:r w:rsidR="00C07431" w:rsidRPr="00147D0A">
        <w:rPr>
          <w:rFonts w:ascii="Arial Hebrew" w:hAnsi="Arial Hebrew" w:cs="Arial Hebrew" w:hint="cs"/>
          <w:sz w:val="20"/>
          <w:szCs w:val="20"/>
        </w:rPr>
        <w:t>while</w:t>
      </w:r>
      <w:r w:rsidR="00BE344F" w:rsidRPr="00147D0A">
        <w:rPr>
          <w:rFonts w:ascii="Arial Hebrew" w:hAnsi="Arial Hebrew" w:cs="Arial Hebrew" w:hint="cs"/>
          <w:sz w:val="20"/>
          <w:szCs w:val="20"/>
        </w:rPr>
        <w:t xml:space="preserve"> employ</w:t>
      </w:r>
      <w:r w:rsidR="00C07431" w:rsidRPr="00147D0A">
        <w:rPr>
          <w:rFonts w:ascii="Arial Hebrew" w:hAnsi="Arial Hebrew" w:cs="Arial Hebrew" w:hint="cs"/>
          <w:sz w:val="20"/>
          <w:szCs w:val="20"/>
        </w:rPr>
        <w:t>ing</w:t>
      </w:r>
      <w:r w:rsidR="00BE344F" w:rsidRPr="00147D0A">
        <w:rPr>
          <w:rFonts w:ascii="Arial Hebrew" w:hAnsi="Arial Hebrew" w:cs="Arial Hebrew" w:hint="cs"/>
          <w:sz w:val="20"/>
          <w:szCs w:val="20"/>
        </w:rPr>
        <w:t xml:space="preserve"> a </w:t>
      </w:r>
      <w:r w:rsidR="00353E93" w:rsidRPr="00147D0A">
        <w:rPr>
          <w:rFonts w:ascii="Arial Hebrew" w:hAnsi="Arial Hebrew" w:cs="Arial Hebrew" w:hint="cs"/>
          <w:sz w:val="20"/>
          <w:szCs w:val="20"/>
        </w:rPr>
        <w:t xml:space="preserve">slightly </w:t>
      </w:r>
      <w:r w:rsidR="007067EB" w:rsidRPr="00147D0A">
        <w:rPr>
          <w:rFonts w:ascii="Arial Hebrew" w:hAnsi="Arial Hebrew" w:cs="Arial Hebrew" w:hint="cs"/>
          <w:sz w:val="20"/>
          <w:szCs w:val="20"/>
        </w:rPr>
        <w:t>modified</w:t>
      </w:r>
      <w:r w:rsidR="00353E93" w:rsidRPr="00147D0A">
        <w:rPr>
          <w:rFonts w:ascii="Arial Hebrew" w:hAnsi="Arial Hebrew" w:cs="Arial Hebrew" w:hint="cs"/>
          <w:sz w:val="20"/>
          <w:szCs w:val="20"/>
        </w:rPr>
        <w:t xml:space="preserve"> set of factors</w:t>
      </w:r>
      <w:r w:rsidR="005B62C2" w:rsidRPr="00147D0A">
        <w:rPr>
          <w:rFonts w:ascii="Arial Hebrew" w:hAnsi="Arial Hebrew" w:cs="Arial Hebrew" w:hint="cs"/>
          <w:sz w:val="20"/>
          <w:szCs w:val="20"/>
        </w:rPr>
        <w:t xml:space="preserve"> and quantitative inputs</w:t>
      </w:r>
      <w:r w:rsidR="00353E93" w:rsidRPr="00147D0A">
        <w:rPr>
          <w:rFonts w:ascii="Arial Hebrew" w:hAnsi="Arial Hebrew" w:cs="Arial Hebrew" w:hint="cs"/>
          <w:sz w:val="20"/>
          <w:szCs w:val="20"/>
        </w:rPr>
        <w:t xml:space="preserve"> for </w:t>
      </w:r>
      <w:r w:rsidRPr="00147D0A">
        <w:rPr>
          <w:rFonts w:ascii="Arial Hebrew" w:hAnsi="Arial Hebrew" w:cs="Arial Hebrew" w:hint="cs"/>
          <w:sz w:val="20"/>
          <w:szCs w:val="20"/>
        </w:rPr>
        <w:t xml:space="preserve">the </w:t>
      </w:r>
      <w:r w:rsidRPr="00147D0A">
        <w:rPr>
          <w:rFonts w:ascii="Arial Hebrew" w:hAnsi="Arial Hebrew" w:cs="Arial Hebrew" w:hint="cs"/>
          <w:b/>
          <w:bCs/>
          <w:sz w:val="20"/>
          <w:szCs w:val="20"/>
        </w:rPr>
        <w:t>Individual Credit Profile</w:t>
      </w:r>
      <w:r w:rsidR="00BE344F" w:rsidRPr="00147D0A">
        <w:rPr>
          <w:rFonts w:ascii="Arial Hebrew" w:hAnsi="Arial Hebrew" w:cs="Arial Hebrew" w:hint="cs"/>
          <w:sz w:val="20"/>
          <w:szCs w:val="20"/>
        </w:rPr>
        <w:t>.</w:t>
      </w:r>
      <w:r w:rsidR="00BE344F" w:rsidRPr="00147D0A">
        <w:rPr>
          <w:rStyle w:val="FootnoteReference"/>
          <w:rFonts w:ascii="Arial Hebrew" w:hAnsi="Arial Hebrew" w:cs="Arial Hebrew" w:hint="cs"/>
          <w:sz w:val="20"/>
          <w:szCs w:val="20"/>
        </w:rPr>
        <w:footnoteReference w:id="8"/>
      </w:r>
      <w:r w:rsidR="00BE344F" w:rsidRPr="00147D0A">
        <w:rPr>
          <w:rFonts w:ascii="Arial Hebrew" w:hAnsi="Arial Hebrew" w:cs="Arial Hebrew" w:hint="cs"/>
          <w:sz w:val="20"/>
          <w:szCs w:val="20"/>
        </w:rPr>
        <w:t xml:space="preserve"> </w:t>
      </w:r>
    </w:p>
    <w:p w14:paraId="5FBEE138" w14:textId="39CE78EB" w:rsidR="003731C9" w:rsidRPr="00147D0A" w:rsidRDefault="003731C9" w:rsidP="00EB120B">
      <w:pPr>
        <w:pStyle w:val="Heading2"/>
        <w:rPr>
          <w:rFonts w:ascii="Arial Hebrew" w:hAnsi="Arial Hebrew" w:cs="Arial Hebrew"/>
          <w:sz w:val="22"/>
          <w:szCs w:val="22"/>
        </w:rPr>
      </w:pPr>
      <w:bookmarkStart w:id="11" w:name="_Toc199450889"/>
      <w:r w:rsidRPr="00147D0A">
        <w:rPr>
          <w:rFonts w:ascii="Arial Hebrew" w:hAnsi="Arial Hebrew" w:cs="Arial Hebrew" w:hint="cs"/>
          <w:sz w:val="22"/>
          <w:szCs w:val="22"/>
        </w:rPr>
        <w:t>Fitch</w:t>
      </w:r>
      <w:bookmarkEnd w:id="11"/>
    </w:p>
    <w:p w14:paraId="5A87214D" w14:textId="3A11B930" w:rsidR="00F706DC" w:rsidRPr="00147D0A" w:rsidRDefault="001305AD" w:rsidP="00D008E6">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Fitch’s </w:t>
      </w:r>
      <w:r w:rsidR="00123887" w:rsidRPr="00147D0A">
        <w:rPr>
          <w:rFonts w:ascii="Arial Hebrew" w:hAnsi="Arial Hebrew" w:cs="Arial Hebrew" w:hint="cs"/>
          <w:sz w:val="20"/>
          <w:szCs w:val="20"/>
        </w:rPr>
        <w:t xml:space="preserve">framework </w:t>
      </w:r>
      <w:r w:rsidR="005B62C2" w:rsidRPr="00147D0A">
        <w:rPr>
          <w:rFonts w:ascii="Arial Hebrew" w:hAnsi="Arial Hebrew" w:cs="Arial Hebrew" w:hint="cs"/>
          <w:sz w:val="20"/>
          <w:szCs w:val="20"/>
        </w:rPr>
        <w:t>is based on a</w:t>
      </w:r>
      <w:r w:rsidR="00123887" w:rsidRPr="00147D0A">
        <w:rPr>
          <w:rFonts w:ascii="Arial Hebrew" w:hAnsi="Arial Hebrew" w:cs="Arial Hebrew" w:hint="cs"/>
          <w:sz w:val="20"/>
          <w:szCs w:val="20"/>
        </w:rPr>
        <w:t xml:space="preserve"> quantitative </w:t>
      </w:r>
      <w:r w:rsidRPr="00147D0A">
        <w:rPr>
          <w:rFonts w:ascii="Arial Hebrew" w:hAnsi="Arial Hebrew" w:cs="Arial Hebrew" w:hint="cs"/>
          <w:b/>
          <w:bCs/>
          <w:sz w:val="20"/>
          <w:szCs w:val="20"/>
        </w:rPr>
        <w:t xml:space="preserve">Sovereign Rating Model </w:t>
      </w:r>
      <w:r w:rsidR="005B62C2" w:rsidRPr="00147D0A">
        <w:rPr>
          <w:rFonts w:ascii="Arial Hebrew" w:hAnsi="Arial Hebrew" w:cs="Arial Hebrew" w:hint="cs"/>
          <w:sz w:val="20"/>
          <w:szCs w:val="20"/>
        </w:rPr>
        <w:t xml:space="preserve">that </w:t>
      </w:r>
      <w:r w:rsidR="00120C8E" w:rsidRPr="00147D0A">
        <w:rPr>
          <w:rFonts w:ascii="Arial Hebrew" w:hAnsi="Arial Hebrew" w:cs="Arial Hebrew" w:hint="cs"/>
          <w:sz w:val="20"/>
          <w:szCs w:val="20"/>
        </w:rPr>
        <w:t>incorporat</w:t>
      </w:r>
      <w:r w:rsidR="005B62C2" w:rsidRPr="00147D0A">
        <w:rPr>
          <w:rFonts w:ascii="Arial Hebrew" w:hAnsi="Arial Hebrew" w:cs="Arial Hebrew" w:hint="cs"/>
          <w:sz w:val="20"/>
          <w:szCs w:val="20"/>
        </w:rPr>
        <w:t>es</w:t>
      </w:r>
      <w:r w:rsidR="009840A6" w:rsidRPr="00147D0A">
        <w:rPr>
          <w:rFonts w:ascii="Arial Hebrew" w:hAnsi="Arial Hebrew" w:cs="Arial Hebrew" w:hint="cs"/>
          <w:sz w:val="20"/>
          <w:szCs w:val="20"/>
        </w:rPr>
        <w:t xml:space="preserve"> </w:t>
      </w:r>
      <w:r w:rsidR="003C1C9F" w:rsidRPr="00147D0A">
        <w:rPr>
          <w:rFonts w:ascii="Arial Hebrew" w:hAnsi="Arial Hebrew" w:cs="Arial Hebrew" w:hint="cs"/>
          <w:sz w:val="20"/>
          <w:szCs w:val="20"/>
        </w:rPr>
        <w:t>eighteen</w:t>
      </w:r>
      <w:r w:rsidR="009840A6" w:rsidRPr="00147D0A">
        <w:rPr>
          <w:rFonts w:ascii="Arial Hebrew" w:hAnsi="Arial Hebrew" w:cs="Arial Hebrew" w:hint="cs"/>
          <w:sz w:val="20"/>
          <w:szCs w:val="20"/>
        </w:rPr>
        <w:t xml:space="preserve"> macro-fiscal and external features</w:t>
      </w:r>
      <w:r w:rsidR="005B62C2" w:rsidRPr="00147D0A">
        <w:rPr>
          <w:rFonts w:ascii="Arial Hebrew" w:hAnsi="Arial Hebrew" w:cs="Arial Hebrew" w:hint="cs"/>
          <w:sz w:val="20"/>
          <w:szCs w:val="20"/>
        </w:rPr>
        <w:t>. These features are organised into four categories and combined using variable weights</w:t>
      </w:r>
      <w:r w:rsidR="008E45DE" w:rsidRPr="00147D0A">
        <w:rPr>
          <w:rFonts w:ascii="Arial Hebrew" w:hAnsi="Arial Hebrew" w:cs="Arial Hebrew" w:hint="cs"/>
          <w:sz w:val="20"/>
          <w:szCs w:val="20"/>
        </w:rPr>
        <w:t xml:space="preserve"> </w:t>
      </w:r>
      <w:r w:rsidR="001C2F06" w:rsidRPr="00147D0A">
        <w:rPr>
          <w:rFonts w:ascii="Arial Hebrew" w:hAnsi="Arial Hebrew" w:cs="Arial Hebrew" w:hint="cs"/>
          <w:sz w:val="20"/>
          <w:szCs w:val="20"/>
        </w:rPr>
        <w:t xml:space="preserve">that are </w:t>
      </w:r>
      <w:r w:rsidR="008E45DE" w:rsidRPr="00147D0A">
        <w:rPr>
          <w:rFonts w:ascii="Arial Hebrew" w:hAnsi="Arial Hebrew" w:cs="Arial Hebrew" w:hint="cs"/>
          <w:sz w:val="20"/>
          <w:szCs w:val="20"/>
        </w:rPr>
        <w:t>based on coefficients yielded by regression modelling</w:t>
      </w:r>
      <w:r w:rsidR="005B62C2" w:rsidRPr="00147D0A">
        <w:rPr>
          <w:rFonts w:ascii="Arial Hebrew" w:hAnsi="Arial Hebrew" w:cs="Arial Hebrew" w:hint="cs"/>
          <w:sz w:val="20"/>
          <w:szCs w:val="20"/>
        </w:rPr>
        <w:t>:</w:t>
      </w:r>
      <w:r w:rsidR="008F587A" w:rsidRPr="00147D0A">
        <w:rPr>
          <w:rStyle w:val="FootnoteReference"/>
          <w:rFonts w:ascii="Arial Hebrew" w:hAnsi="Arial Hebrew" w:cs="Arial Hebrew" w:hint="cs"/>
          <w:sz w:val="20"/>
          <w:szCs w:val="20"/>
        </w:rPr>
        <w:footnoteReference w:id="9"/>
      </w:r>
      <w:r w:rsidR="00F706DC" w:rsidRPr="00147D0A">
        <w:rPr>
          <w:rFonts w:ascii="Arial Hebrew" w:hAnsi="Arial Hebrew" w:cs="Arial Hebrew" w:hint="cs"/>
          <w:sz w:val="20"/>
          <w:szCs w:val="20"/>
        </w:rPr>
        <w:t xml:space="preserve">   </w:t>
      </w:r>
    </w:p>
    <w:p w14:paraId="6D9EE008" w14:textId="3BB9184C" w:rsidR="00F706DC" w:rsidRPr="00147D0A" w:rsidRDefault="001305AD" w:rsidP="00D008E6">
      <w:pPr>
        <w:pStyle w:val="ListParagraph"/>
        <w:numPr>
          <w:ilvl w:val="0"/>
          <w:numId w:val="13"/>
        </w:numPr>
        <w:spacing w:after="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t>Structural Features</w:t>
      </w:r>
      <w:r w:rsidR="00F706DC" w:rsidRPr="00147D0A">
        <w:rPr>
          <w:rFonts w:ascii="Arial Hebrew" w:hAnsi="Arial Hebrew" w:cs="Arial Hebrew" w:hint="cs"/>
          <w:b/>
          <w:bCs/>
          <w:sz w:val="20"/>
          <w:szCs w:val="20"/>
        </w:rPr>
        <w:t xml:space="preserve"> (53.7%): </w:t>
      </w:r>
      <w:r w:rsidR="00F706DC" w:rsidRPr="00147D0A">
        <w:rPr>
          <w:rFonts w:ascii="Arial Hebrew" w:hAnsi="Arial Hebrew" w:cs="Arial Hebrew" w:hint="cs"/>
          <w:i/>
          <w:iCs/>
          <w:sz w:val="20"/>
          <w:szCs w:val="20"/>
        </w:rPr>
        <w:t xml:space="preserve">Composite governance indicator </w:t>
      </w:r>
      <w:r w:rsidR="00F706DC" w:rsidRPr="00147D0A">
        <w:rPr>
          <w:rFonts w:ascii="Arial Hebrew" w:hAnsi="Arial Hebrew" w:cs="Arial Hebrew" w:hint="cs"/>
          <w:sz w:val="20"/>
          <w:szCs w:val="20"/>
        </w:rPr>
        <w:t>(22);</w:t>
      </w:r>
      <w:r w:rsidR="00861798" w:rsidRPr="00147D0A">
        <w:rPr>
          <w:rStyle w:val="FootnoteReference"/>
          <w:rFonts w:ascii="Arial Hebrew" w:hAnsi="Arial Hebrew" w:cs="Arial Hebrew" w:hint="cs"/>
          <w:i/>
          <w:iCs/>
          <w:sz w:val="20"/>
          <w:szCs w:val="20"/>
        </w:rPr>
        <w:footnoteReference w:id="10"/>
      </w:r>
      <w:r w:rsidR="00F706DC" w:rsidRPr="00147D0A">
        <w:rPr>
          <w:rFonts w:ascii="Arial Hebrew" w:hAnsi="Arial Hebrew" w:cs="Arial Hebrew" w:hint="cs"/>
          <w:i/>
          <w:iCs/>
          <w:sz w:val="20"/>
          <w:szCs w:val="20"/>
        </w:rPr>
        <w:t xml:space="preserve"> GDP per capita </w:t>
      </w:r>
      <w:r w:rsidR="00F706DC" w:rsidRPr="00147D0A">
        <w:rPr>
          <w:rFonts w:ascii="Arial Hebrew" w:hAnsi="Arial Hebrew" w:cs="Arial Hebrew" w:hint="cs"/>
          <w:sz w:val="20"/>
          <w:szCs w:val="20"/>
        </w:rPr>
        <w:t>(11.8);</w:t>
      </w:r>
      <w:r w:rsidR="00F706DC" w:rsidRPr="00147D0A">
        <w:rPr>
          <w:rFonts w:ascii="Arial Hebrew" w:hAnsi="Arial Hebrew" w:cs="Arial Hebrew" w:hint="cs"/>
          <w:i/>
          <w:iCs/>
          <w:sz w:val="20"/>
          <w:szCs w:val="20"/>
        </w:rPr>
        <w:t xml:space="preserve"> Share in world GDP </w:t>
      </w:r>
      <w:r w:rsidR="00F706DC" w:rsidRPr="00147D0A">
        <w:rPr>
          <w:rFonts w:ascii="Arial Hebrew" w:hAnsi="Arial Hebrew" w:cs="Arial Hebrew" w:hint="cs"/>
          <w:sz w:val="20"/>
          <w:szCs w:val="20"/>
        </w:rPr>
        <w:t>(14.3);</w:t>
      </w:r>
      <w:r w:rsidR="00F706DC" w:rsidRPr="00147D0A">
        <w:rPr>
          <w:rFonts w:ascii="Arial Hebrew" w:hAnsi="Arial Hebrew" w:cs="Arial Hebrew" w:hint="cs"/>
          <w:i/>
          <w:iCs/>
          <w:sz w:val="20"/>
          <w:szCs w:val="20"/>
        </w:rPr>
        <w:t xml:space="preserve"> Default / restructuring record </w:t>
      </w:r>
      <w:r w:rsidR="00F706DC" w:rsidRPr="00147D0A">
        <w:rPr>
          <w:rFonts w:ascii="Arial Hebrew" w:hAnsi="Arial Hebrew" w:cs="Arial Hebrew" w:hint="cs"/>
          <w:sz w:val="20"/>
          <w:szCs w:val="20"/>
        </w:rPr>
        <w:t>(4.5);</w:t>
      </w:r>
      <w:r w:rsidR="00F706DC" w:rsidRPr="00147D0A">
        <w:rPr>
          <w:rFonts w:ascii="Arial Hebrew" w:hAnsi="Arial Hebrew" w:cs="Arial Hebrew" w:hint="cs"/>
          <w:i/>
          <w:iCs/>
          <w:sz w:val="20"/>
          <w:szCs w:val="20"/>
        </w:rPr>
        <w:t xml:space="preserve"> Money supply </w:t>
      </w:r>
      <w:r w:rsidR="00F706DC" w:rsidRPr="00147D0A">
        <w:rPr>
          <w:rFonts w:ascii="Arial Hebrew" w:hAnsi="Arial Hebrew" w:cs="Arial Hebrew" w:hint="cs"/>
          <w:sz w:val="20"/>
          <w:szCs w:val="20"/>
        </w:rPr>
        <w:t>(1.1)</w:t>
      </w:r>
    </w:p>
    <w:p w14:paraId="4FA976FB" w14:textId="77777777" w:rsidR="00892E30" w:rsidRPr="00147D0A" w:rsidRDefault="00E458F9" w:rsidP="00D008E6">
      <w:pPr>
        <w:pStyle w:val="ListParagraph"/>
        <w:numPr>
          <w:ilvl w:val="0"/>
          <w:numId w:val="13"/>
        </w:numPr>
        <w:spacing w:before="240" w:after="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lastRenderedPageBreak/>
        <w:t>Macroeconomic Performance</w:t>
      </w:r>
      <w:r w:rsidR="00F706DC" w:rsidRPr="00147D0A">
        <w:rPr>
          <w:rFonts w:ascii="Arial Hebrew" w:hAnsi="Arial Hebrew" w:cs="Arial Hebrew" w:hint="cs"/>
          <w:b/>
          <w:bCs/>
          <w:sz w:val="20"/>
          <w:szCs w:val="20"/>
        </w:rPr>
        <w:t xml:space="preserve"> (9.9%): </w:t>
      </w:r>
      <w:r w:rsidR="00F706DC" w:rsidRPr="00147D0A">
        <w:rPr>
          <w:rFonts w:ascii="Arial Hebrew" w:hAnsi="Arial Hebrew" w:cs="Arial Hebrew" w:hint="cs"/>
          <w:i/>
          <w:iCs/>
          <w:sz w:val="20"/>
          <w:szCs w:val="20"/>
        </w:rPr>
        <w:t xml:space="preserve">Real GDP growth volatility </w:t>
      </w:r>
      <w:r w:rsidR="00F706DC" w:rsidRPr="00147D0A">
        <w:rPr>
          <w:rFonts w:ascii="Arial Hebrew" w:hAnsi="Arial Hebrew" w:cs="Arial Hebrew" w:hint="cs"/>
          <w:sz w:val="20"/>
          <w:szCs w:val="20"/>
        </w:rPr>
        <w:t>(4.5)</w:t>
      </w:r>
      <w:r w:rsidR="00892E30" w:rsidRPr="00147D0A">
        <w:rPr>
          <w:rFonts w:ascii="Arial Hebrew" w:hAnsi="Arial Hebrew" w:cs="Arial Hebrew" w:hint="cs"/>
          <w:sz w:val="20"/>
          <w:szCs w:val="20"/>
        </w:rPr>
        <w:t>;</w:t>
      </w:r>
      <w:r w:rsidR="00892E30" w:rsidRPr="00147D0A">
        <w:rPr>
          <w:rFonts w:ascii="Arial Hebrew" w:hAnsi="Arial Hebrew" w:cs="Arial Hebrew" w:hint="cs"/>
          <w:i/>
          <w:iCs/>
          <w:sz w:val="20"/>
          <w:szCs w:val="20"/>
        </w:rPr>
        <w:t xml:space="preserve"> </w:t>
      </w:r>
      <w:r w:rsidR="00F706DC" w:rsidRPr="00147D0A">
        <w:rPr>
          <w:rFonts w:ascii="Arial Hebrew" w:hAnsi="Arial Hebrew" w:cs="Arial Hebrew" w:hint="cs"/>
          <w:i/>
          <w:iCs/>
          <w:sz w:val="20"/>
          <w:szCs w:val="20"/>
        </w:rPr>
        <w:t xml:space="preserve">Consumer price inflation </w:t>
      </w:r>
      <w:r w:rsidR="00F706DC" w:rsidRPr="00147D0A">
        <w:rPr>
          <w:rFonts w:ascii="Arial Hebrew" w:hAnsi="Arial Hebrew" w:cs="Arial Hebrew" w:hint="cs"/>
          <w:sz w:val="20"/>
          <w:szCs w:val="20"/>
        </w:rPr>
        <w:t>(3.6)</w:t>
      </w:r>
      <w:r w:rsidR="00892E30" w:rsidRPr="00147D0A">
        <w:rPr>
          <w:rFonts w:ascii="Arial Hebrew" w:hAnsi="Arial Hebrew" w:cs="Arial Hebrew" w:hint="cs"/>
          <w:sz w:val="20"/>
          <w:szCs w:val="20"/>
        </w:rPr>
        <w:t>;</w:t>
      </w:r>
      <w:r w:rsidR="00892E30" w:rsidRPr="00147D0A">
        <w:rPr>
          <w:rFonts w:ascii="Arial Hebrew" w:hAnsi="Arial Hebrew" w:cs="Arial Hebrew" w:hint="cs"/>
          <w:i/>
          <w:iCs/>
          <w:sz w:val="20"/>
          <w:szCs w:val="20"/>
        </w:rPr>
        <w:t xml:space="preserve"> </w:t>
      </w:r>
      <w:r w:rsidR="00F706DC" w:rsidRPr="00147D0A">
        <w:rPr>
          <w:rFonts w:ascii="Arial Hebrew" w:hAnsi="Arial Hebrew" w:cs="Arial Hebrew" w:hint="cs"/>
          <w:i/>
          <w:iCs/>
          <w:sz w:val="20"/>
          <w:szCs w:val="20"/>
        </w:rPr>
        <w:t xml:space="preserve">Real GDP growth </w:t>
      </w:r>
      <w:r w:rsidR="00F706DC" w:rsidRPr="00147D0A">
        <w:rPr>
          <w:rFonts w:ascii="Arial Hebrew" w:hAnsi="Arial Hebrew" w:cs="Arial Hebrew" w:hint="cs"/>
          <w:sz w:val="20"/>
          <w:szCs w:val="20"/>
        </w:rPr>
        <w:t>(1.8)</w:t>
      </w:r>
      <w:r w:rsidRPr="00147D0A">
        <w:rPr>
          <w:rFonts w:ascii="Arial Hebrew" w:hAnsi="Arial Hebrew" w:cs="Arial Hebrew" w:hint="cs"/>
          <w:i/>
          <w:iCs/>
          <w:sz w:val="20"/>
          <w:szCs w:val="20"/>
        </w:rPr>
        <w:t xml:space="preserve"> </w:t>
      </w:r>
    </w:p>
    <w:p w14:paraId="6C11DA76" w14:textId="0494D0B8" w:rsidR="00DB190F" w:rsidRPr="00147D0A" w:rsidRDefault="00DB190F" w:rsidP="00D008E6">
      <w:pPr>
        <w:pStyle w:val="ListParagraph"/>
        <w:numPr>
          <w:ilvl w:val="0"/>
          <w:numId w:val="13"/>
        </w:numPr>
        <w:spacing w:before="240" w:after="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t>Public Finances</w:t>
      </w:r>
      <w:r w:rsidR="00F706DC" w:rsidRPr="00147D0A">
        <w:rPr>
          <w:rFonts w:ascii="Arial Hebrew" w:hAnsi="Arial Hebrew" w:cs="Arial Hebrew" w:hint="cs"/>
          <w:b/>
          <w:bCs/>
          <w:sz w:val="20"/>
          <w:szCs w:val="20"/>
        </w:rPr>
        <w:t xml:space="preserve"> (18.8</w:t>
      </w:r>
      <w:r w:rsidR="00892E30" w:rsidRPr="00147D0A">
        <w:rPr>
          <w:rFonts w:ascii="Arial Hebrew" w:hAnsi="Arial Hebrew" w:cs="Arial Hebrew" w:hint="cs"/>
          <w:b/>
          <w:bCs/>
          <w:sz w:val="20"/>
          <w:szCs w:val="20"/>
        </w:rPr>
        <w:t>%</w:t>
      </w:r>
      <w:r w:rsidR="00F706DC" w:rsidRPr="00147D0A">
        <w:rPr>
          <w:rFonts w:ascii="Arial Hebrew" w:hAnsi="Arial Hebrew" w:cs="Arial Hebrew" w:hint="cs"/>
          <w:b/>
          <w:bCs/>
          <w:sz w:val="20"/>
          <w:szCs w:val="20"/>
        </w:rPr>
        <w:t>)</w:t>
      </w:r>
      <w:r w:rsidR="00892E30" w:rsidRPr="00147D0A">
        <w:rPr>
          <w:rFonts w:ascii="Arial Hebrew" w:hAnsi="Arial Hebrew" w:cs="Arial Hebrew" w:hint="cs"/>
          <w:b/>
          <w:bCs/>
          <w:sz w:val="20"/>
          <w:szCs w:val="20"/>
        </w:rPr>
        <w:t xml:space="preserve">: </w:t>
      </w:r>
      <w:r w:rsidR="00F706DC" w:rsidRPr="00147D0A">
        <w:rPr>
          <w:rFonts w:ascii="Arial Hebrew" w:hAnsi="Arial Hebrew" w:cs="Arial Hebrew" w:hint="cs"/>
          <w:i/>
          <w:iCs/>
          <w:sz w:val="20"/>
          <w:szCs w:val="20"/>
        </w:rPr>
        <w:t>Gross government debt</w:t>
      </w:r>
      <w:r w:rsidR="00892E30" w:rsidRPr="00147D0A">
        <w:rPr>
          <w:rFonts w:ascii="Arial Hebrew" w:hAnsi="Arial Hebrew" w:cs="Arial Hebrew" w:hint="cs"/>
          <w:i/>
          <w:iCs/>
          <w:sz w:val="20"/>
          <w:szCs w:val="20"/>
        </w:rPr>
        <w:t xml:space="preserve"> </w:t>
      </w:r>
      <w:r w:rsidR="00892E30" w:rsidRPr="00147D0A">
        <w:rPr>
          <w:rFonts w:ascii="Arial Hebrew" w:hAnsi="Arial Hebrew" w:cs="Arial Hebrew" w:hint="cs"/>
          <w:sz w:val="20"/>
          <w:szCs w:val="20"/>
        </w:rPr>
        <w:t>(9);</w:t>
      </w:r>
      <w:r w:rsidR="00892E30" w:rsidRPr="00147D0A">
        <w:rPr>
          <w:rFonts w:ascii="Arial Hebrew" w:hAnsi="Arial Hebrew" w:cs="Arial Hebrew" w:hint="cs"/>
          <w:i/>
          <w:iCs/>
          <w:sz w:val="20"/>
          <w:szCs w:val="20"/>
        </w:rPr>
        <w:t xml:space="preserve"> </w:t>
      </w:r>
      <w:r w:rsidR="00F706DC" w:rsidRPr="00147D0A">
        <w:rPr>
          <w:rFonts w:ascii="Arial Hebrew" w:hAnsi="Arial Hebrew" w:cs="Arial Hebrew" w:hint="cs"/>
          <w:i/>
          <w:iCs/>
          <w:sz w:val="20"/>
          <w:szCs w:val="20"/>
        </w:rPr>
        <w:t>Interest payments</w:t>
      </w:r>
      <w:r w:rsidR="00892E30" w:rsidRPr="00147D0A">
        <w:rPr>
          <w:rFonts w:ascii="Arial Hebrew" w:hAnsi="Arial Hebrew" w:cs="Arial Hebrew" w:hint="cs"/>
          <w:i/>
          <w:iCs/>
          <w:sz w:val="20"/>
          <w:szCs w:val="20"/>
        </w:rPr>
        <w:t xml:space="preserve"> </w:t>
      </w:r>
      <w:r w:rsidR="00892E30" w:rsidRPr="00147D0A">
        <w:rPr>
          <w:rFonts w:ascii="Arial Hebrew" w:hAnsi="Arial Hebrew" w:cs="Arial Hebrew" w:hint="cs"/>
          <w:sz w:val="20"/>
          <w:szCs w:val="20"/>
        </w:rPr>
        <w:t>(4.6);</w:t>
      </w:r>
      <w:r w:rsidR="00892E30" w:rsidRPr="00147D0A">
        <w:rPr>
          <w:rFonts w:ascii="Arial Hebrew" w:hAnsi="Arial Hebrew" w:cs="Arial Hebrew" w:hint="cs"/>
          <w:i/>
          <w:iCs/>
          <w:sz w:val="20"/>
          <w:szCs w:val="20"/>
        </w:rPr>
        <w:t xml:space="preserve"> Budget balance </w:t>
      </w:r>
      <w:r w:rsidR="00892E30" w:rsidRPr="00147D0A">
        <w:rPr>
          <w:rFonts w:ascii="Arial Hebrew" w:hAnsi="Arial Hebrew" w:cs="Arial Hebrew" w:hint="cs"/>
          <w:sz w:val="20"/>
          <w:szCs w:val="20"/>
        </w:rPr>
        <w:t>(2.1);</w:t>
      </w:r>
      <w:r w:rsidR="00892E30" w:rsidRPr="00147D0A">
        <w:rPr>
          <w:rFonts w:ascii="Arial Hebrew" w:hAnsi="Arial Hebrew" w:cs="Arial Hebrew" w:hint="cs"/>
          <w:i/>
          <w:iCs/>
          <w:sz w:val="20"/>
          <w:szCs w:val="20"/>
        </w:rPr>
        <w:t xml:space="preserve"> Foreign-</w:t>
      </w:r>
      <w:r w:rsidR="00F706DC" w:rsidRPr="00147D0A">
        <w:rPr>
          <w:rFonts w:ascii="Arial Hebrew" w:hAnsi="Arial Hebrew" w:cs="Arial Hebrew" w:hint="cs"/>
          <w:i/>
          <w:iCs/>
          <w:sz w:val="20"/>
          <w:szCs w:val="20"/>
        </w:rPr>
        <w:t>currency government debt</w:t>
      </w:r>
      <w:r w:rsidR="00892E30" w:rsidRPr="00147D0A">
        <w:rPr>
          <w:rFonts w:ascii="Arial Hebrew" w:hAnsi="Arial Hebrew" w:cs="Arial Hebrew" w:hint="cs"/>
          <w:i/>
          <w:iCs/>
          <w:sz w:val="20"/>
          <w:szCs w:val="20"/>
        </w:rPr>
        <w:t xml:space="preserve"> </w:t>
      </w:r>
      <w:r w:rsidR="00892E30" w:rsidRPr="00147D0A">
        <w:rPr>
          <w:rFonts w:ascii="Arial Hebrew" w:hAnsi="Arial Hebrew" w:cs="Arial Hebrew" w:hint="cs"/>
          <w:sz w:val="20"/>
          <w:szCs w:val="20"/>
        </w:rPr>
        <w:t>(3.0)</w:t>
      </w:r>
    </w:p>
    <w:p w14:paraId="53D72D37" w14:textId="4B3FC971" w:rsidR="00892E30" w:rsidRPr="00147D0A" w:rsidRDefault="00DB190F" w:rsidP="00D008E6">
      <w:pPr>
        <w:pStyle w:val="ListParagraph"/>
        <w:numPr>
          <w:ilvl w:val="0"/>
          <w:numId w:val="13"/>
        </w:numPr>
        <w:spacing w:before="240" w:line="360" w:lineRule="auto"/>
        <w:jc w:val="both"/>
        <w:rPr>
          <w:rFonts w:ascii="Arial Hebrew" w:hAnsi="Arial Hebrew" w:cs="Arial Hebrew"/>
          <w:i/>
          <w:iCs/>
          <w:sz w:val="20"/>
          <w:szCs w:val="20"/>
        </w:rPr>
      </w:pPr>
      <w:r w:rsidRPr="00147D0A">
        <w:rPr>
          <w:rFonts w:ascii="Arial Hebrew" w:hAnsi="Arial Hebrew" w:cs="Arial Hebrew" w:hint="cs"/>
          <w:b/>
          <w:bCs/>
          <w:sz w:val="20"/>
          <w:szCs w:val="20"/>
        </w:rPr>
        <w:t>External Finances</w:t>
      </w:r>
      <w:r w:rsidR="00892E30" w:rsidRPr="00147D0A">
        <w:rPr>
          <w:rFonts w:ascii="Arial Hebrew" w:hAnsi="Arial Hebrew" w:cs="Arial Hebrew" w:hint="cs"/>
          <w:b/>
          <w:bCs/>
          <w:sz w:val="20"/>
          <w:szCs w:val="20"/>
        </w:rPr>
        <w:t xml:space="preserve"> (17.6%)</w:t>
      </w:r>
      <w:r w:rsidRPr="00147D0A">
        <w:rPr>
          <w:rFonts w:ascii="Arial Hebrew" w:hAnsi="Arial Hebrew" w:cs="Arial Hebrew" w:hint="cs"/>
          <w:b/>
          <w:bCs/>
          <w:sz w:val="20"/>
          <w:szCs w:val="20"/>
        </w:rPr>
        <w:t>:</w:t>
      </w:r>
      <w:r w:rsidRPr="00147D0A">
        <w:rPr>
          <w:rFonts w:ascii="Arial Hebrew" w:hAnsi="Arial Hebrew" w:cs="Arial Hebrew" w:hint="cs"/>
          <w:sz w:val="20"/>
          <w:szCs w:val="20"/>
        </w:rPr>
        <w:t xml:space="preserve"> </w:t>
      </w:r>
      <w:r w:rsidR="00892E30" w:rsidRPr="00147D0A">
        <w:rPr>
          <w:rFonts w:ascii="Arial Hebrew" w:hAnsi="Arial Hebrew" w:cs="Arial Hebrew" w:hint="cs"/>
          <w:i/>
          <w:iCs/>
          <w:sz w:val="20"/>
          <w:szCs w:val="20"/>
        </w:rPr>
        <w:t xml:space="preserve">Reserve currency flexibility </w:t>
      </w:r>
      <w:r w:rsidR="00892E30" w:rsidRPr="00147D0A">
        <w:rPr>
          <w:rFonts w:ascii="Arial Hebrew" w:hAnsi="Arial Hebrew" w:cs="Arial Hebrew" w:hint="cs"/>
          <w:sz w:val="20"/>
          <w:szCs w:val="20"/>
        </w:rPr>
        <w:t>(7.2);</w:t>
      </w:r>
      <w:r w:rsidR="00892E30" w:rsidRPr="00147D0A">
        <w:rPr>
          <w:rFonts w:ascii="Arial Hebrew" w:hAnsi="Arial Hebrew" w:cs="Arial Hebrew" w:hint="cs"/>
          <w:i/>
          <w:iCs/>
          <w:sz w:val="20"/>
          <w:szCs w:val="20"/>
        </w:rPr>
        <w:t xml:space="preserve"> Sovereign net foreign assets </w:t>
      </w:r>
      <w:r w:rsidR="00892E30" w:rsidRPr="00147D0A">
        <w:rPr>
          <w:rFonts w:ascii="Arial Hebrew" w:hAnsi="Arial Hebrew" w:cs="Arial Hebrew" w:hint="cs"/>
          <w:sz w:val="20"/>
          <w:szCs w:val="20"/>
        </w:rPr>
        <w:t>(7.5);</w:t>
      </w:r>
      <w:r w:rsidR="00892E30" w:rsidRPr="00147D0A">
        <w:rPr>
          <w:rFonts w:ascii="Arial Hebrew" w:hAnsi="Arial Hebrew" w:cs="Arial Hebrew" w:hint="cs"/>
          <w:i/>
          <w:iCs/>
          <w:sz w:val="20"/>
          <w:szCs w:val="20"/>
        </w:rPr>
        <w:t xml:space="preserve"> Commodity dependence </w:t>
      </w:r>
      <w:r w:rsidR="00892E30" w:rsidRPr="00147D0A">
        <w:rPr>
          <w:rFonts w:ascii="Arial Hebrew" w:hAnsi="Arial Hebrew" w:cs="Arial Hebrew" w:hint="cs"/>
          <w:sz w:val="20"/>
          <w:szCs w:val="20"/>
        </w:rPr>
        <w:t>(1.1);</w:t>
      </w:r>
      <w:r w:rsidR="00892E30" w:rsidRPr="00147D0A">
        <w:rPr>
          <w:rFonts w:ascii="Arial Hebrew" w:hAnsi="Arial Hebrew" w:cs="Arial Hebrew" w:hint="cs"/>
          <w:i/>
          <w:iCs/>
          <w:sz w:val="20"/>
          <w:szCs w:val="20"/>
        </w:rPr>
        <w:t xml:space="preserve"> Official international reserves </w:t>
      </w:r>
      <w:r w:rsidR="00892E30" w:rsidRPr="00147D0A">
        <w:rPr>
          <w:rFonts w:ascii="Arial Hebrew" w:hAnsi="Arial Hebrew" w:cs="Arial Hebrew" w:hint="cs"/>
          <w:sz w:val="20"/>
          <w:szCs w:val="20"/>
        </w:rPr>
        <w:t>(1.3);</w:t>
      </w:r>
      <w:r w:rsidR="00892E30" w:rsidRPr="00147D0A">
        <w:rPr>
          <w:rFonts w:ascii="Arial Hebrew" w:hAnsi="Arial Hebrew" w:cs="Arial Hebrew" w:hint="cs"/>
          <w:i/>
          <w:iCs/>
          <w:sz w:val="20"/>
          <w:szCs w:val="20"/>
        </w:rPr>
        <w:t xml:space="preserve"> External interest service </w:t>
      </w:r>
      <w:r w:rsidR="00892E30" w:rsidRPr="00147D0A">
        <w:rPr>
          <w:rFonts w:ascii="Arial Hebrew" w:hAnsi="Arial Hebrew" w:cs="Arial Hebrew" w:hint="cs"/>
          <w:sz w:val="20"/>
          <w:szCs w:val="20"/>
        </w:rPr>
        <w:t>(0.2);</w:t>
      </w:r>
      <w:r w:rsidR="00892E30" w:rsidRPr="00147D0A">
        <w:rPr>
          <w:rFonts w:ascii="Arial Hebrew" w:hAnsi="Arial Hebrew" w:cs="Arial Hebrew" w:hint="cs"/>
          <w:i/>
          <w:iCs/>
          <w:sz w:val="20"/>
          <w:szCs w:val="20"/>
        </w:rPr>
        <w:t xml:space="preserve"> Current account plus net Foreign Direct Investment </w:t>
      </w:r>
      <w:r w:rsidR="00892E30" w:rsidRPr="00147D0A">
        <w:rPr>
          <w:rFonts w:ascii="Arial Hebrew" w:hAnsi="Arial Hebrew" w:cs="Arial Hebrew" w:hint="cs"/>
          <w:sz w:val="20"/>
          <w:szCs w:val="20"/>
        </w:rPr>
        <w:t>(0.3)</w:t>
      </w:r>
    </w:p>
    <w:p w14:paraId="3E6A7B38" w14:textId="2CC4604E" w:rsidR="004F7199" w:rsidRPr="00147D0A" w:rsidRDefault="009A74C6" w:rsidP="00544810">
      <w:pPr>
        <w:spacing w:after="240"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rating generated by the </w:t>
      </w:r>
      <w:r w:rsidRPr="00147D0A">
        <w:rPr>
          <w:rFonts w:ascii="Arial Hebrew" w:hAnsi="Arial Hebrew" w:cs="Arial Hebrew" w:hint="cs"/>
          <w:b/>
          <w:bCs/>
          <w:sz w:val="20"/>
          <w:szCs w:val="20"/>
        </w:rPr>
        <w:t>Sovereign Rating Model</w:t>
      </w:r>
      <w:r w:rsidRPr="00147D0A">
        <w:rPr>
          <w:rFonts w:ascii="Arial Hebrew" w:hAnsi="Arial Hebrew" w:cs="Arial Hebrew" w:hint="cs"/>
          <w:sz w:val="20"/>
          <w:szCs w:val="20"/>
        </w:rPr>
        <w:t xml:space="preserve"> </w:t>
      </w:r>
      <w:r w:rsidR="00123887" w:rsidRPr="00147D0A">
        <w:rPr>
          <w:rFonts w:ascii="Arial Hebrew" w:hAnsi="Arial Hebrew" w:cs="Arial Hebrew" w:hint="cs"/>
          <w:sz w:val="20"/>
          <w:szCs w:val="20"/>
        </w:rPr>
        <w:t>is then</w:t>
      </w:r>
      <w:r w:rsidR="004F7199" w:rsidRPr="00147D0A">
        <w:rPr>
          <w:rFonts w:ascii="Arial Hebrew" w:hAnsi="Arial Hebrew" w:cs="Arial Hebrew" w:hint="cs"/>
          <w:sz w:val="20"/>
          <w:szCs w:val="20"/>
        </w:rPr>
        <w:t xml:space="preserve"> refined by a </w:t>
      </w:r>
      <w:r w:rsidR="004F7199" w:rsidRPr="00147D0A">
        <w:rPr>
          <w:rFonts w:ascii="Arial Hebrew" w:hAnsi="Arial Hebrew" w:cs="Arial Hebrew" w:hint="cs"/>
          <w:b/>
          <w:bCs/>
          <w:sz w:val="20"/>
          <w:szCs w:val="20"/>
        </w:rPr>
        <w:t>Qualitative Overlay</w:t>
      </w:r>
      <w:r w:rsidR="009438E6" w:rsidRPr="00147D0A">
        <w:rPr>
          <w:rFonts w:ascii="Arial Hebrew" w:hAnsi="Arial Hebrew" w:cs="Arial Hebrew" w:hint="cs"/>
          <w:sz w:val="20"/>
          <w:szCs w:val="20"/>
        </w:rPr>
        <w:t xml:space="preserve"> which</w:t>
      </w:r>
      <w:r w:rsidR="004F7199" w:rsidRPr="00147D0A">
        <w:rPr>
          <w:rFonts w:ascii="Arial Hebrew" w:hAnsi="Arial Hebrew" w:cs="Arial Hebrew" w:hint="cs"/>
          <w:sz w:val="20"/>
          <w:szCs w:val="20"/>
        </w:rPr>
        <w:t xml:space="preserve"> </w:t>
      </w:r>
      <w:r w:rsidR="006D22BD" w:rsidRPr="00147D0A">
        <w:rPr>
          <w:rFonts w:ascii="Arial Hebrew" w:hAnsi="Arial Hebrew" w:cs="Arial Hebrew" w:hint="cs"/>
          <w:sz w:val="20"/>
          <w:szCs w:val="20"/>
        </w:rPr>
        <w:t>adjusts the</w:t>
      </w:r>
      <w:r w:rsidR="00D56D99" w:rsidRPr="00147D0A">
        <w:rPr>
          <w:rFonts w:ascii="Arial Hebrew" w:hAnsi="Arial Hebrew" w:cs="Arial Hebrew" w:hint="cs"/>
          <w:sz w:val="20"/>
          <w:szCs w:val="20"/>
        </w:rPr>
        <w:t xml:space="preserve"> four</w:t>
      </w:r>
      <w:r w:rsidR="00954CAF" w:rsidRPr="00147D0A">
        <w:rPr>
          <w:rFonts w:ascii="Arial Hebrew" w:hAnsi="Arial Hebrew" w:cs="Arial Hebrew" w:hint="cs"/>
          <w:sz w:val="20"/>
          <w:szCs w:val="20"/>
        </w:rPr>
        <w:t xml:space="preserve"> factors </w:t>
      </w:r>
      <w:r w:rsidR="00D56D99" w:rsidRPr="00147D0A">
        <w:rPr>
          <w:rFonts w:ascii="Arial Hebrew" w:hAnsi="Arial Hebrew" w:cs="Arial Hebrew" w:hint="cs"/>
          <w:sz w:val="20"/>
          <w:szCs w:val="20"/>
        </w:rPr>
        <w:t xml:space="preserve">based on considerations </w:t>
      </w:r>
      <w:r w:rsidR="00954CAF" w:rsidRPr="00147D0A">
        <w:rPr>
          <w:rFonts w:ascii="Arial Hebrew" w:hAnsi="Arial Hebrew" w:cs="Arial Hebrew" w:hint="cs"/>
          <w:sz w:val="20"/>
          <w:szCs w:val="20"/>
        </w:rPr>
        <w:t>including</w:t>
      </w:r>
      <w:r w:rsidR="004F7199" w:rsidRPr="00147D0A">
        <w:rPr>
          <w:rFonts w:ascii="Arial Hebrew" w:hAnsi="Arial Hebrew" w:cs="Arial Hebrew" w:hint="cs"/>
          <w:sz w:val="20"/>
          <w:szCs w:val="20"/>
        </w:rPr>
        <w:t xml:space="preserve"> </w:t>
      </w:r>
      <w:r w:rsidR="00E83783" w:rsidRPr="00147D0A">
        <w:rPr>
          <w:rFonts w:ascii="Arial Hebrew" w:hAnsi="Arial Hebrew" w:cs="Arial Hebrew" w:hint="cs"/>
          <w:sz w:val="20"/>
          <w:szCs w:val="20"/>
        </w:rPr>
        <w:t>forward-looking governance, policy credibility, fiscal financing flexibility, event risk, and banking-sector liabilities. Final adjustment</w:t>
      </w:r>
      <w:r w:rsidR="003C1C9F" w:rsidRPr="00147D0A">
        <w:rPr>
          <w:rFonts w:ascii="Arial Hebrew" w:hAnsi="Arial Hebrew" w:cs="Arial Hebrew" w:hint="cs"/>
          <w:sz w:val="20"/>
          <w:szCs w:val="20"/>
        </w:rPr>
        <w:t>s</w:t>
      </w:r>
      <w:r w:rsidR="00E83783" w:rsidRPr="00147D0A">
        <w:rPr>
          <w:rFonts w:ascii="Arial Hebrew" w:hAnsi="Arial Hebrew" w:cs="Arial Hebrew" w:hint="cs"/>
          <w:sz w:val="20"/>
          <w:szCs w:val="20"/>
        </w:rPr>
        <w:t xml:space="preserve"> to the rating may be made </w:t>
      </w:r>
      <w:r w:rsidR="00954CAF" w:rsidRPr="00147D0A">
        <w:rPr>
          <w:rFonts w:ascii="Arial Hebrew" w:hAnsi="Arial Hebrew" w:cs="Arial Hebrew" w:hint="cs"/>
          <w:sz w:val="20"/>
          <w:szCs w:val="20"/>
        </w:rPr>
        <w:t>based on</w:t>
      </w:r>
      <w:r w:rsidR="00E83783" w:rsidRPr="00147D0A">
        <w:rPr>
          <w:rFonts w:ascii="Arial Hebrew" w:hAnsi="Arial Hebrew" w:cs="Arial Hebrew" w:hint="cs"/>
          <w:sz w:val="20"/>
          <w:szCs w:val="20"/>
        </w:rPr>
        <w:t xml:space="preserve"> </w:t>
      </w:r>
      <w:r w:rsidR="00E83783" w:rsidRPr="00147D0A">
        <w:rPr>
          <w:rFonts w:ascii="Arial Hebrew" w:hAnsi="Arial Hebrew" w:cs="Arial Hebrew" w:hint="cs"/>
          <w:b/>
          <w:bCs/>
          <w:sz w:val="20"/>
          <w:szCs w:val="20"/>
        </w:rPr>
        <w:t>Extraordinary Considerations</w:t>
      </w:r>
      <w:r w:rsidR="007067EB" w:rsidRPr="00147D0A">
        <w:rPr>
          <w:rFonts w:ascii="Arial Hebrew" w:hAnsi="Arial Hebrew" w:cs="Arial Hebrew" w:hint="cs"/>
          <w:sz w:val="20"/>
          <w:szCs w:val="20"/>
        </w:rPr>
        <w:t>, which include</w:t>
      </w:r>
      <w:r w:rsidR="00954CAF" w:rsidRPr="00147D0A">
        <w:rPr>
          <w:rFonts w:ascii="Arial Hebrew" w:hAnsi="Arial Hebrew" w:cs="Arial Hebrew" w:hint="cs"/>
          <w:i/>
          <w:iCs/>
          <w:sz w:val="20"/>
          <w:szCs w:val="20"/>
        </w:rPr>
        <w:t xml:space="preserve"> </w:t>
      </w:r>
      <w:r w:rsidR="00E83783" w:rsidRPr="00147D0A">
        <w:rPr>
          <w:rFonts w:ascii="Arial Hebrew" w:hAnsi="Arial Hebrew" w:cs="Arial Hebrew" w:hint="cs"/>
          <w:sz w:val="20"/>
          <w:szCs w:val="20"/>
        </w:rPr>
        <w:t>tail-events such as war or banking crises.</w:t>
      </w:r>
    </w:p>
    <w:p w14:paraId="252F2765" w14:textId="0A098E4F" w:rsidR="00954CAF" w:rsidRPr="00147D0A" w:rsidRDefault="00954CAF" w:rsidP="00544810">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 xml:space="preserve">Fitch’s methodology for international Sub-Sovereigns </w:t>
      </w:r>
      <w:r w:rsidR="00DC639F" w:rsidRPr="00147D0A">
        <w:rPr>
          <w:rFonts w:ascii="Arial Hebrew" w:hAnsi="Arial Hebrew" w:cs="Arial Hebrew" w:hint="cs"/>
          <w:sz w:val="20"/>
          <w:szCs w:val="20"/>
        </w:rPr>
        <w:t xml:space="preserve">is </w:t>
      </w:r>
      <w:r w:rsidR="00861798" w:rsidRPr="00147D0A">
        <w:rPr>
          <w:rFonts w:ascii="Arial Hebrew" w:hAnsi="Arial Hebrew" w:cs="Arial Hebrew" w:hint="cs"/>
          <w:sz w:val="20"/>
          <w:szCs w:val="20"/>
        </w:rPr>
        <w:t>based on a</w:t>
      </w:r>
      <w:r w:rsidR="006F0653" w:rsidRPr="00147D0A">
        <w:rPr>
          <w:rFonts w:ascii="Arial Hebrew" w:hAnsi="Arial Hebrew" w:cs="Arial Hebrew" w:hint="cs"/>
          <w:sz w:val="20"/>
          <w:szCs w:val="20"/>
        </w:rPr>
        <w:t xml:space="preserve"> risk</w:t>
      </w:r>
      <w:r w:rsidR="00773294" w:rsidRPr="00147D0A">
        <w:rPr>
          <w:rFonts w:ascii="Arial Hebrew" w:hAnsi="Arial Hebrew" w:cs="Arial Hebrew" w:hint="cs"/>
          <w:sz w:val="20"/>
          <w:szCs w:val="20"/>
        </w:rPr>
        <w:t xml:space="preserve"> </w:t>
      </w:r>
      <w:r w:rsidR="006F0653" w:rsidRPr="00147D0A">
        <w:rPr>
          <w:rFonts w:ascii="Arial Hebrew" w:hAnsi="Arial Hebrew" w:cs="Arial Hebrew" w:hint="cs"/>
          <w:sz w:val="20"/>
          <w:szCs w:val="20"/>
        </w:rPr>
        <w:t>matrix</w:t>
      </w:r>
      <w:r w:rsidR="00861798" w:rsidRPr="00147D0A">
        <w:rPr>
          <w:rFonts w:ascii="Arial Hebrew" w:hAnsi="Arial Hebrew" w:cs="Arial Hebrew" w:hint="cs"/>
          <w:sz w:val="20"/>
          <w:szCs w:val="20"/>
        </w:rPr>
        <w:t xml:space="preserve"> combin</w:t>
      </w:r>
      <w:r w:rsidR="00DC639F" w:rsidRPr="00147D0A">
        <w:rPr>
          <w:rFonts w:ascii="Arial Hebrew" w:hAnsi="Arial Hebrew" w:cs="Arial Hebrew" w:hint="cs"/>
          <w:sz w:val="20"/>
          <w:szCs w:val="20"/>
        </w:rPr>
        <w:t>ing</w:t>
      </w:r>
      <w:r w:rsidR="006F0653" w:rsidRPr="00147D0A">
        <w:rPr>
          <w:rFonts w:ascii="Arial Hebrew" w:hAnsi="Arial Hebrew" w:cs="Arial Hebrew" w:hint="cs"/>
          <w:sz w:val="20"/>
          <w:szCs w:val="20"/>
        </w:rPr>
        <w:t>:</w:t>
      </w:r>
    </w:p>
    <w:p w14:paraId="75983EC1" w14:textId="557AE761" w:rsidR="00954CAF" w:rsidRPr="00147D0A" w:rsidRDefault="00954CAF" w:rsidP="00544810">
      <w:pPr>
        <w:pStyle w:val="ListParagraph"/>
        <w:numPr>
          <w:ilvl w:val="0"/>
          <w:numId w:val="32"/>
        </w:numPr>
        <w:spacing w:after="240" w:line="360" w:lineRule="auto"/>
        <w:jc w:val="both"/>
        <w:rPr>
          <w:rFonts w:ascii="Arial Hebrew" w:hAnsi="Arial Hebrew" w:cs="Arial Hebrew"/>
          <w:sz w:val="20"/>
          <w:szCs w:val="20"/>
        </w:rPr>
      </w:pPr>
      <w:r w:rsidRPr="00147D0A">
        <w:rPr>
          <w:rFonts w:ascii="Arial Hebrew" w:hAnsi="Arial Hebrew" w:cs="Arial Hebrew" w:hint="cs"/>
          <w:b/>
          <w:bCs/>
          <w:sz w:val="20"/>
          <w:szCs w:val="20"/>
        </w:rPr>
        <w:t>Risk Profile</w:t>
      </w:r>
      <w:r w:rsidR="009A74C6" w:rsidRPr="00147D0A">
        <w:rPr>
          <w:rFonts w:ascii="Arial Hebrew" w:hAnsi="Arial Hebrew" w:cs="Arial Hebrew" w:hint="cs"/>
          <w:b/>
          <w:bCs/>
          <w:sz w:val="20"/>
          <w:szCs w:val="20"/>
        </w:rPr>
        <w:t>:</w:t>
      </w:r>
      <w:r w:rsidR="009A74C6" w:rsidRPr="00147D0A">
        <w:rPr>
          <w:rFonts w:ascii="Arial Hebrew" w:hAnsi="Arial Hebrew" w:cs="Arial Hebrew" w:hint="cs"/>
          <w:sz w:val="20"/>
          <w:szCs w:val="20"/>
        </w:rPr>
        <w:t xml:space="preserve"> </w:t>
      </w:r>
      <w:r w:rsidR="005D3232" w:rsidRPr="00147D0A">
        <w:rPr>
          <w:rFonts w:ascii="Arial Hebrew" w:hAnsi="Arial Hebrew" w:cs="Arial Hebrew" w:hint="cs"/>
          <w:sz w:val="20"/>
          <w:szCs w:val="20"/>
        </w:rPr>
        <w:t xml:space="preserve">a composite of </w:t>
      </w:r>
      <w:r w:rsidRPr="00147D0A">
        <w:rPr>
          <w:rFonts w:ascii="Arial Hebrew" w:hAnsi="Arial Hebrew" w:cs="Arial Hebrew" w:hint="cs"/>
          <w:sz w:val="20"/>
          <w:szCs w:val="20"/>
        </w:rPr>
        <w:t xml:space="preserve">scores for six </w:t>
      </w:r>
      <w:r w:rsidR="004667FB" w:rsidRPr="00147D0A">
        <w:rPr>
          <w:rFonts w:ascii="Arial Hebrew" w:hAnsi="Arial Hebrew" w:cs="Arial Hebrew" w:hint="cs"/>
          <w:sz w:val="20"/>
          <w:szCs w:val="20"/>
        </w:rPr>
        <w:t>factors associated with risks to a borrower’s capacity to meet financial commitments</w:t>
      </w:r>
      <w:r w:rsidR="009A74C6"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Pr="00147D0A">
        <w:rPr>
          <w:rFonts w:ascii="Arial Hebrew" w:hAnsi="Arial Hebrew" w:cs="Arial Hebrew" w:hint="cs"/>
          <w:i/>
          <w:iCs/>
          <w:sz w:val="20"/>
          <w:szCs w:val="20"/>
        </w:rPr>
        <w:t>Revenue robustness; Revenue adjustability; Expenditure sustainability; Expenditure adjustability; Liabilities-and-liquidity robustness; Liab</w:t>
      </w:r>
      <w:r w:rsidR="00E96D3A" w:rsidRPr="00147D0A">
        <w:rPr>
          <w:rFonts w:ascii="Arial Hebrew" w:hAnsi="Arial Hebrew" w:cs="Arial Hebrew" w:hint="cs"/>
          <w:i/>
          <w:iCs/>
          <w:sz w:val="20"/>
          <w:szCs w:val="20"/>
        </w:rPr>
        <w:t>i</w:t>
      </w:r>
      <w:r w:rsidRPr="00147D0A">
        <w:rPr>
          <w:rFonts w:ascii="Arial Hebrew" w:hAnsi="Arial Hebrew" w:cs="Arial Hebrew" w:hint="cs"/>
          <w:i/>
          <w:iCs/>
          <w:sz w:val="20"/>
          <w:szCs w:val="20"/>
        </w:rPr>
        <w:t>lities-and-liquidity flexibility.</w:t>
      </w:r>
    </w:p>
    <w:p w14:paraId="67F08A6C" w14:textId="329E27C6" w:rsidR="005147E3" w:rsidRPr="00147D0A" w:rsidRDefault="004667FB" w:rsidP="00544810">
      <w:pPr>
        <w:pStyle w:val="ListParagraph"/>
        <w:numPr>
          <w:ilvl w:val="0"/>
          <w:numId w:val="32"/>
        </w:numPr>
        <w:spacing w:line="360" w:lineRule="auto"/>
        <w:jc w:val="both"/>
        <w:rPr>
          <w:rFonts w:ascii="Arial Hebrew" w:hAnsi="Arial Hebrew" w:cs="Arial Hebrew"/>
          <w:sz w:val="20"/>
          <w:szCs w:val="20"/>
        </w:rPr>
      </w:pPr>
      <w:r w:rsidRPr="00147D0A">
        <w:rPr>
          <w:rFonts w:ascii="Arial Hebrew" w:hAnsi="Arial Hebrew" w:cs="Arial Hebrew" w:hint="cs"/>
          <w:b/>
          <w:bCs/>
          <w:sz w:val="20"/>
          <w:szCs w:val="20"/>
        </w:rPr>
        <w:t>Financial Profile</w:t>
      </w:r>
      <w:r w:rsidR="00954CAF" w:rsidRPr="00147D0A">
        <w:rPr>
          <w:rFonts w:ascii="Arial Hebrew" w:hAnsi="Arial Hebrew" w:cs="Arial Hebrew" w:hint="cs"/>
          <w:sz w:val="20"/>
          <w:szCs w:val="20"/>
        </w:rPr>
        <w:t xml:space="preserve">: </w:t>
      </w:r>
      <w:r w:rsidR="004D13A7" w:rsidRPr="00147D0A">
        <w:rPr>
          <w:rFonts w:ascii="Arial Hebrew" w:hAnsi="Arial Hebrew" w:cs="Arial Hebrew" w:hint="cs"/>
          <w:sz w:val="20"/>
          <w:szCs w:val="20"/>
        </w:rPr>
        <w:t>a</w:t>
      </w:r>
      <w:r w:rsidR="005147E3" w:rsidRPr="00147D0A">
        <w:rPr>
          <w:rFonts w:ascii="Arial Hebrew" w:hAnsi="Arial Hebrew" w:cs="Arial Hebrew" w:hint="cs"/>
          <w:sz w:val="20"/>
          <w:szCs w:val="20"/>
        </w:rPr>
        <w:t>n evaluation of</w:t>
      </w:r>
      <w:r w:rsidR="004D13A7" w:rsidRPr="00147D0A">
        <w:rPr>
          <w:rFonts w:ascii="Arial Hebrew" w:hAnsi="Arial Hebrew" w:cs="Arial Hebrew" w:hint="cs"/>
          <w:sz w:val="20"/>
          <w:szCs w:val="20"/>
        </w:rPr>
        <w:t xml:space="preserve"> </w:t>
      </w:r>
      <w:r w:rsidR="00861798" w:rsidRPr="00147D0A">
        <w:rPr>
          <w:rFonts w:ascii="Arial Hebrew" w:hAnsi="Arial Hebrew" w:cs="Arial Hebrew" w:hint="cs"/>
          <w:sz w:val="20"/>
          <w:szCs w:val="20"/>
        </w:rPr>
        <w:t>debts</w:t>
      </w:r>
      <w:r w:rsidR="005147E3" w:rsidRPr="00147D0A">
        <w:rPr>
          <w:rFonts w:ascii="Arial Hebrew" w:hAnsi="Arial Hebrew" w:cs="Arial Hebrew" w:hint="cs"/>
          <w:sz w:val="20"/>
          <w:szCs w:val="20"/>
        </w:rPr>
        <w:t xml:space="preserve"> relative</w:t>
      </w:r>
      <w:r w:rsidR="00861798" w:rsidRPr="00147D0A">
        <w:rPr>
          <w:rFonts w:ascii="Arial Hebrew" w:hAnsi="Arial Hebrew" w:cs="Arial Hebrew" w:hint="cs"/>
          <w:sz w:val="20"/>
          <w:szCs w:val="20"/>
        </w:rPr>
        <w:t xml:space="preserve"> to funding </w:t>
      </w:r>
      <w:r w:rsidR="005147E3" w:rsidRPr="00147D0A">
        <w:rPr>
          <w:rFonts w:ascii="Arial Hebrew" w:hAnsi="Arial Hebrew" w:cs="Arial Hebrew" w:hint="cs"/>
          <w:sz w:val="20"/>
          <w:szCs w:val="20"/>
        </w:rPr>
        <w:t>resources, with different ratios and formulae used depending on the nature of government revenue structures (</w:t>
      </w:r>
      <w:r w:rsidR="00C07431" w:rsidRPr="00147D0A">
        <w:rPr>
          <w:rFonts w:ascii="Arial Hebrew" w:hAnsi="Arial Hebrew" w:cs="Arial Hebrew" w:hint="cs"/>
          <w:sz w:val="20"/>
          <w:szCs w:val="20"/>
        </w:rPr>
        <w:t xml:space="preserve">either </w:t>
      </w:r>
      <w:r w:rsidR="005147E3" w:rsidRPr="00147D0A">
        <w:rPr>
          <w:rFonts w:ascii="Arial Hebrew" w:hAnsi="Arial Hebrew" w:cs="Arial Hebrew" w:hint="cs"/>
          <w:sz w:val="20"/>
          <w:szCs w:val="20"/>
        </w:rPr>
        <w:t>municipalities or broad-taxing regions and provinces).</w:t>
      </w:r>
      <w:r w:rsidR="00954CAF" w:rsidRPr="00147D0A">
        <w:rPr>
          <w:rFonts w:ascii="Arial Hebrew" w:hAnsi="Arial Hebrew" w:cs="Arial Hebrew" w:hint="cs"/>
          <w:sz w:val="20"/>
          <w:szCs w:val="20"/>
        </w:rPr>
        <w:t xml:space="preserve">   </w:t>
      </w:r>
    </w:p>
    <w:p w14:paraId="45AEF840" w14:textId="7B46E443" w:rsidR="003C3929" w:rsidRPr="00147D0A" w:rsidRDefault="005147E3" w:rsidP="00544810">
      <w:pPr>
        <w:spacing w:line="360" w:lineRule="auto"/>
        <w:jc w:val="both"/>
        <w:rPr>
          <w:rFonts w:ascii="Arial Hebrew" w:hAnsi="Arial Hebrew" w:cs="Arial Hebrew"/>
          <w:sz w:val="20"/>
          <w:szCs w:val="20"/>
        </w:rPr>
      </w:pPr>
      <w:r w:rsidRPr="00147D0A">
        <w:rPr>
          <w:rFonts w:ascii="Arial Hebrew" w:hAnsi="Arial Hebrew" w:cs="Arial Hebrew" w:hint="cs"/>
          <w:sz w:val="20"/>
          <w:szCs w:val="20"/>
        </w:rPr>
        <w:t>The</w:t>
      </w:r>
      <w:r w:rsidR="00DC639F" w:rsidRPr="00147D0A">
        <w:rPr>
          <w:rFonts w:ascii="Arial Hebrew" w:hAnsi="Arial Hebrew" w:cs="Arial Hebrew" w:hint="cs"/>
          <w:sz w:val="20"/>
          <w:szCs w:val="20"/>
        </w:rPr>
        <w:t xml:space="preserve"> risk matrix produces a</w:t>
      </w:r>
      <w:r w:rsidRPr="00147D0A">
        <w:rPr>
          <w:rFonts w:ascii="Arial Hebrew" w:hAnsi="Arial Hebrew" w:cs="Arial Hebrew" w:hint="cs"/>
          <w:sz w:val="20"/>
          <w:szCs w:val="20"/>
        </w:rPr>
        <w:t xml:space="preserve"> </w:t>
      </w:r>
      <w:r w:rsidRPr="00147D0A">
        <w:rPr>
          <w:rFonts w:ascii="Arial Hebrew" w:hAnsi="Arial Hebrew" w:cs="Arial Hebrew" w:hint="cs"/>
          <w:b/>
          <w:bCs/>
          <w:sz w:val="20"/>
          <w:szCs w:val="20"/>
        </w:rPr>
        <w:t>Standalone Credit Profile</w:t>
      </w:r>
      <w:r w:rsidR="006F6A50" w:rsidRPr="00147D0A">
        <w:rPr>
          <w:rFonts w:ascii="Arial Hebrew" w:hAnsi="Arial Hebrew" w:cs="Arial Hebrew" w:hint="cs"/>
          <w:sz w:val="20"/>
          <w:szCs w:val="20"/>
        </w:rPr>
        <w:t>, which</w:t>
      </w:r>
      <w:r w:rsidRPr="00147D0A">
        <w:rPr>
          <w:rFonts w:ascii="Arial Hebrew" w:hAnsi="Arial Hebrew" w:cs="Arial Hebrew" w:hint="cs"/>
          <w:sz w:val="20"/>
          <w:szCs w:val="20"/>
        </w:rPr>
        <w:t xml:space="preserve"> may</w:t>
      </w:r>
      <w:r w:rsidR="00954CAF" w:rsidRPr="00147D0A">
        <w:rPr>
          <w:rFonts w:ascii="Arial Hebrew" w:hAnsi="Arial Hebrew" w:cs="Arial Hebrew" w:hint="cs"/>
          <w:sz w:val="20"/>
          <w:szCs w:val="20"/>
        </w:rPr>
        <w:t xml:space="preserve"> then be adjusted</w:t>
      </w:r>
      <w:r w:rsidRPr="00147D0A">
        <w:rPr>
          <w:rFonts w:ascii="Arial Hebrew" w:hAnsi="Arial Hebrew" w:cs="Arial Hebrew" w:hint="cs"/>
          <w:sz w:val="20"/>
          <w:szCs w:val="20"/>
        </w:rPr>
        <w:t xml:space="preserve"> according to the sovereign rating,</w:t>
      </w:r>
      <w:r w:rsidR="00954CAF"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estimations of </w:t>
      </w:r>
      <w:r w:rsidR="00954CAF" w:rsidRPr="00147D0A">
        <w:rPr>
          <w:rFonts w:ascii="Arial Hebrew" w:hAnsi="Arial Hebrew" w:cs="Arial Hebrew" w:hint="cs"/>
          <w:sz w:val="20"/>
          <w:szCs w:val="20"/>
        </w:rPr>
        <w:t>extraordinary support</w:t>
      </w:r>
      <w:r w:rsidRPr="00147D0A">
        <w:rPr>
          <w:rFonts w:ascii="Arial Hebrew" w:hAnsi="Arial Hebrew" w:cs="Arial Hebrew" w:hint="cs"/>
          <w:sz w:val="20"/>
          <w:szCs w:val="20"/>
        </w:rPr>
        <w:t>, and</w:t>
      </w:r>
      <w:r w:rsidR="00954CAF" w:rsidRPr="00147D0A">
        <w:rPr>
          <w:rFonts w:ascii="Arial Hebrew" w:hAnsi="Arial Hebrew" w:cs="Arial Hebrew" w:hint="cs"/>
          <w:sz w:val="20"/>
          <w:szCs w:val="20"/>
        </w:rPr>
        <w:t xml:space="preserve"> </w:t>
      </w:r>
      <w:r w:rsidRPr="00147D0A">
        <w:rPr>
          <w:rFonts w:ascii="Arial Hebrew" w:hAnsi="Arial Hebrew" w:cs="Arial Hebrew" w:hint="cs"/>
          <w:sz w:val="20"/>
          <w:szCs w:val="20"/>
        </w:rPr>
        <w:t>other considerations.</w:t>
      </w:r>
      <w:r w:rsidR="006D22BD" w:rsidRPr="00147D0A">
        <w:rPr>
          <w:rFonts w:ascii="Arial Hebrew" w:hAnsi="Arial Hebrew" w:cs="Arial Hebrew" w:hint="cs"/>
          <w:sz w:val="20"/>
          <w:szCs w:val="20"/>
        </w:rPr>
        <w:t xml:space="preserve"> </w:t>
      </w:r>
      <w:r w:rsidR="006F6A50" w:rsidRPr="00147D0A">
        <w:rPr>
          <w:rFonts w:ascii="Arial Hebrew" w:hAnsi="Arial Hebrew" w:cs="Arial Hebrew" w:hint="cs"/>
          <w:sz w:val="20"/>
          <w:szCs w:val="20"/>
        </w:rPr>
        <w:t>L</w:t>
      </w:r>
      <w:r w:rsidR="006D22BD" w:rsidRPr="00147D0A">
        <w:rPr>
          <w:rFonts w:ascii="Arial Hebrew" w:hAnsi="Arial Hebrew" w:cs="Arial Hebrew" w:hint="cs"/>
          <w:sz w:val="20"/>
          <w:szCs w:val="20"/>
        </w:rPr>
        <w:t>ike the other two major agencies</w:t>
      </w:r>
      <w:r w:rsidR="006F6A50" w:rsidRPr="00147D0A">
        <w:rPr>
          <w:rFonts w:ascii="Arial Hebrew" w:hAnsi="Arial Hebrew" w:cs="Arial Hebrew" w:hint="cs"/>
          <w:sz w:val="20"/>
          <w:szCs w:val="20"/>
        </w:rPr>
        <w:t>, Fitch</w:t>
      </w:r>
      <w:r w:rsidR="006D22BD" w:rsidRPr="00147D0A">
        <w:rPr>
          <w:rFonts w:ascii="Arial Hebrew" w:hAnsi="Arial Hebrew" w:cs="Arial Hebrew" w:hint="cs"/>
          <w:sz w:val="20"/>
          <w:szCs w:val="20"/>
        </w:rPr>
        <w:t xml:space="preserve"> </w:t>
      </w:r>
      <w:r w:rsidR="005B62C2" w:rsidRPr="00147D0A">
        <w:rPr>
          <w:rFonts w:ascii="Arial Hebrew" w:hAnsi="Arial Hebrew" w:cs="Arial Hebrew" w:hint="cs"/>
          <w:sz w:val="20"/>
          <w:szCs w:val="20"/>
        </w:rPr>
        <w:t>uses</w:t>
      </w:r>
      <w:r w:rsidR="00C07431" w:rsidRPr="00147D0A">
        <w:rPr>
          <w:rFonts w:ascii="Arial Hebrew" w:hAnsi="Arial Hebrew" w:cs="Arial Hebrew" w:hint="cs"/>
          <w:sz w:val="20"/>
          <w:szCs w:val="20"/>
        </w:rPr>
        <w:t xml:space="preserve"> </w:t>
      </w:r>
      <w:r w:rsidR="002723FF" w:rsidRPr="00147D0A">
        <w:rPr>
          <w:rFonts w:ascii="Arial Hebrew" w:hAnsi="Arial Hebrew" w:cs="Arial Hebrew" w:hint="cs"/>
          <w:sz w:val="20"/>
          <w:szCs w:val="20"/>
        </w:rPr>
        <w:t xml:space="preserve">an </w:t>
      </w:r>
      <w:r w:rsidR="00C07431" w:rsidRPr="00147D0A">
        <w:rPr>
          <w:rFonts w:ascii="Arial Hebrew" w:hAnsi="Arial Hebrew" w:cs="Arial Hebrew" w:hint="cs"/>
          <w:sz w:val="20"/>
          <w:szCs w:val="20"/>
        </w:rPr>
        <w:t>alternative methodolog</w:t>
      </w:r>
      <w:r w:rsidR="002723FF" w:rsidRPr="00147D0A">
        <w:rPr>
          <w:rFonts w:ascii="Arial Hebrew" w:hAnsi="Arial Hebrew" w:cs="Arial Hebrew" w:hint="cs"/>
          <w:sz w:val="20"/>
          <w:szCs w:val="20"/>
        </w:rPr>
        <w:t>y</w:t>
      </w:r>
      <w:r w:rsidR="00C07431" w:rsidRPr="00147D0A">
        <w:rPr>
          <w:rFonts w:ascii="Arial Hebrew" w:hAnsi="Arial Hebrew" w:cs="Arial Hebrew" w:hint="cs"/>
          <w:sz w:val="20"/>
          <w:szCs w:val="20"/>
        </w:rPr>
        <w:t xml:space="preserve"> </w:t>
      </w:r>
      <w:r w:rsidR="0029747B" w:rsidRPr="00147D0A">
        <w:rPr>
          <w:rFonts w:ascii="Arial Hebrew" w:hAnsi="Arial Hebrew" w:cs="Arial Hebrew" w:hint="cs"/>
          <w:sz w:val="20"/>
          <w:szCs w:val="20"/>
        </w:rPr>
        <w:t>(without any risk matrix) to rate</w:t>
      </w:r>
      <w:r w:rsidR="00C07431" w:rsidRPr="00147D0A">
        <w:rPr>
          <w:rFonts w:ascii="Arial Hebrew" w:hAnsi="Arial Hebrew" w:cs="Arial Hebrew" w:hint="cs"/>
          <w:sz w:val="20"/>
          <w:szCs w:val="20"/>
        </w:rPr>
        <w:t xml:space="preserve"> sub-sovereign</w:t>
      </w:r>
      <w:r w:rsidR="0029747B" w:rsidRPr="00147D0A">
        <w:rPr>
          <w:rFonts w:ascii="Arial Hebrew" w:hAnsi="Arial Hebrew" w:cs="Arial Hebrew" w:hint="cs"/>
          <w:sz w:val="20"/>
          <w:szCs w:val="20"/>
        </w:rPr>
        <w:t>s</w:t>
      </w:r>
      <w:r w:rsidR="00C07431" w:rsidRPr="00147D0A">
        <w:rPr>
          <w:rFonts w:ascii="Arial Hebrew" w:hAnsi="Arial Hebrew" w:cs="Arial Hebrew" w:hint="cs"/>
          <w:sz w:val="20"/>
          <w:szCs w:val="20"/>
        </w:rPr>
        <w:t xml:space="preserve"> inside the United States</w:t>
      </w:r>
      <w:r w:rsidR="002723FF" w:rsidRPr="00147D0A">
        <w:rPr>
          <w:rFonts w:ascii="Arial Hebrew" w:hAnsi="Arial Hebrew" w:cs="Arial Hebrew" w:hint="cs"/>
          <w:sz w:val="20"/>
          <w:szCs w:val="20"/>
        </w:rPr>
        <w:t>.</w:t>
      </w:r>
      <w:r w:rsidR="006F6A50" w:rsidRPr="00147D0A">
        <w:rPr>
          <w:rFonts w:ascii="Arial Hebrew" w:hAnsi="Arial Hebrew" w:cs="Arial Hebrew" w:hint="cs"/>
          <w:sz w:val="20"/>
          <w:szCs w:val="20"/>
        </w:rPr>
        <w:t xml:space="preserve"> Assessments of</w:t>
      </w:r>
      <w:r w:rsidR="006D22BD" w:rsidRPr="00147D0A">
        <w:rPr>
          <w:rFonts w:ascii="Arial Hebrew" w:hAnsi="Arial Hebrew" w:cs="Arial Hebrew" w:hint="cs"/>
          <w:sz w:val="20"/>
          <w:szCs w:val="20"/>
        </w:rPr>
        <w:t xml:space="preserve"> </w:t>
      </w:r>
      <w:r w:rsidR="004015BC" w:rsidRPr="00147D0A">
        <w:rPr>
          <w:rFonts w:ascii="Arial Hebrew" w:hAnsi="Arial Hebrew" w:cs="Arial Hebrew" w:hint="cs"/>
          <w:sz w:val="20"/>
          <w:szCs w:val="20"/>
        </w:rPr>
        <w:t>U.S. state government</w:t>
      </w:r>
      <w:r w:rsidR="006F6A50" w:rsidRPr="00147D0A">
        <w:rPr>
          <w:rFonts w:ascii="Arial Hebrew" w:hAnsi="Arial Hebrew" w:cs="Arial Hebrew" w:hint="cs"/>
          <w:sz w:val="20"/>
          <w:szCs w:val="20"/>
        </w:rPr>
        <w:t>s</w:t>
      </w:r>
      <w:r w:rsidR="004015BC" w:rsidRPr="00147D0A">
        <w:rPr>
          <w:rFonts w:ascii="Arial Hebrew" w:hAnsi="Arial Hebrew" w:cs="Arial Hebrew" w:hint="cs"/>
          <w:sz w:val="20"/>
          <w:szCs w:val="20"/>
        </w:rPr>
        <w:t xml:space="preserve"> are</w:t>
      </w:r>
      <w:r w:rsidR="003C3929" w:rsidRPr="00147D0A">
        <w:rPr>
          <w:rFonts w:ascii="Arial Hebrew" w:hAnsi="Arial Hebrew" w:cs="Arial Hebrew" w:hint="cs"/>
          <w:sz w:val="20"/>
          <w:szCs w:val="20"/>
        </w:rPr>
        <w:t xml:space="preserve"> based on four “key rating drivers”:</w:t>
      </w:r>
    </w:p>
    <w:p w14:paraId="1C031332" w14:textId="302EABCC" w:rsidR="003C3929" w:rsidRPr="00147D0A" w:rsidRDefault="003C3929" w:rsidP="003C3929">
      <w:pPr>
        <w:pStyle w:val="ListParagraph"/>
        <w:numPr>
          <w:ilvl w:val="0"/>
          <w:numId w:val="49"/>
        </w:numPr>
        <w:spacing w:after="240" w:line="360" w:lineRule="auto"/>
        <w:rPr>
          <w:rFonts w:ascii="Arial Hebrew" w:hAnsi="Arial Hebrew" w:cs="Arial Hebrew"/>
          <w:sz w:val="20"/>
          <w:szCs w:val="20"/>
        </w:rPr>
      </w:pPr>
      <w:r w:rsidRPr="00147D0A">
        <w:rPr>
          <w:rFonts w:ascii="Arial Hebrew" w:hAnsi="Arial Hebrew" w:cs="Arial Hebrew" w:hint="cs"/>
          <w:b/>
          <w:bCs/>
          <w:i/>
          <w:iCs/>
          <w:sz w:val="20"/>
          <w:szCs w:val="20"/>
        </w:rPr>
        <w:t>Revenue Framework:</w:t>
      </w:r>
      <w:r w:rsidRPr="00147D0A">
        <w:rPr>
          <w:rFonts w:ascii="Arial Hebrew" w:hAnsi="Arial Hebrew" w:cs="Arial Hebrew" w:hint="cs"/>
          <w:sz w:val="20"/>
          <w:szCs w:val="20"/>
        </w:rPr>
        <w:t xml:space="preserve"> Long-term growth prospects and the </w:t>
      </w:r>
      <w:r w:rsidR="007067EB" w:rsidRPr="00147D0A">
        <w:rPr>
          <w:rFonts w:ascii="Arial Hebrew" w:hAnsi="Arial Hebrew" w:cs="Arial Hebrew" w:hint="cs"/>
          <w:sz w:val="20"/>
          <w:szCs w:val="20"/>
        </w:rPr>
        <w:t xml:space="preserve">ability </w:t>
      </w:r>
      <w:r w:rsidRPr="00147D0A">
        <w:rPr>
          <w:rFonts w:ascii="Arial Hebrew" w:hAnsi="Arial Hebrew" w:cs="Arial Hebrew" w:hint="cs"/>
          <w:sz w:val="20"/>
          <w:szCs w:val="20"/>
        </w:rPr>
        <w:t>to raise taxes or fees.</w:t>
      </w:r>
    </w:p>
    <w:p w14:paraId="0ADC1965" w14:textId="33872707" w:rsidR="003C3929" w:rsidRPr="00147D0A" w:rsidRDefault="007067EB" w:rsidP="00FF2BC0">
      <w:pPr>
        <w:pStyle w:val="ListParagraph"/>
        <w:numPr>
          <w:ilvl w:val="0"/>
          <w:numId w:val="49"/>
        </w:numPr>
        <w:spacing w:line="360" w:lineRule="auto"/>
        <w:rPr>
          <w:rFonts w:ascii="Arial Hebrew" w:hAnsi="Arial Hebrew" w:cs="Arial Hebrew"/>
          <w:sz w:val="20"/>
          <w:szCs w:val="20"/>
        </w:rPr>
      </w:pPr>
      <w:r w:rsidRPr="00147D0A">
        <w:rPr>
          <w:rFonts w:ascii="Arial Hebrew" w:hAnsi="Arial Hebrew" w:cs="Arial Hebrew" w:hint="cs"/>
          <w:b/>
          <w:bCs/>
          <w:i/>
          <w:iCs/>
          <w:sz w:val="20"/>
          <w:szCs w:val="20"/>
        </w:rPr>
        <w:t>Expenditure Framework</w:t>
      </w:r>
      <w:r w:rsidR="003C3929" w:rsidRPr="00147D0A">
        <w:rPr>
          <w:rFonts w:ascii="Arial Hebrew" w:hAnsi="Arial Hebrew" w:cs="Arial Hebrew" w:hint="cs"/>
          <w:i/>
          <w:iCs/>
          <w:sz w:val="20"/>
          <w:szCs w:val="20"/>
        </w:rPr>
        <w:t>:</w:t>
      </w:r>
      <w:r w:rsidR="003C3929" w:rsidRPr="00147D0A">
        <w:rPr>
          <w:rFonts w:ascii="Arial Hebrew" w:hAnsi="Arial Hebrew" w:cs="Arial Hebrew" w:hint="cs"/>
          <w:sz w:val="20"/>
          <w:szCs w:val="20"/>
        </w:rPr>
        <w:t xml:space="preserve"> </w:t>
      </w:r>
      <w:r w:rsidRPr="00147D0A">
        <w:rPr>
          <w:rFonts w:ascii="Arial Hebrew" w:hAnsi="Arial Hebrew" w:cs="Arial Hebrew" w:hint="cs"/>
          <w:sz w:val="20"/>
          <w:szCs w:val="20"/>
        </w:rPr>
        <w:t>Expected baseline spending growth versus revenue trend and the ability to cut or defer costs</w:t>
      </w:r>
      <w:r w:rsidR="00F3296C" w:rsidRPr="00147D0A">
        <w:rPr>
          <w:rFonts w:ascii="Arial Hebrew" w:hAnsi="Arial Hebrew" w:cs="Arial Hebrew" w:hint="cs"/>
          <w:sz w:val="20"/>
          <w:szCs w:val="20"/>
        </w:rPr>
        <w:t>.</w:t>
      </w:r>
    </w:p>
    <w:p w14:paraId="409127BD" w14:textId="62F10804" w:rsidR="007067EB" w:rsidRPr="00147D0A" w:rsidRDefault="007067EB" w:rsidP="00FF2BC0">
      <w:pPr>
        <w:pStyle w:val="ListParagraph"/>
        <w:numPr>
          <w:ilvl w:val="0"/>
          <w:numId w:val="49"/>
        </w:numPr>
        <w:spacing w:line="360" w:lineRule="auto"/>
        <w:rPr>
          <w:rFonts w:ascii="Arial Hebrew" w:hAnsi="Arial Hebrew" w:cs="Arial Hebrew"/>
          <w:sz w:val="20"/>
          <w:szCs w:val="20"/>
        </w:rPr>
      </w:pPr>
      <w:r w:rsidRPr="00147D0A">
        <w:rPr>
          <w:rFonts w:ascii="Arial Hebrew" w:hAnsi="Arial Hebrew" w:cs="Arial Hebrew" w:hint="cs"/>
          <w:b/>
          <w:bCs/>
          <w:i/>
          <w:iCs/>
          <w:sz w:val="20"/>
          <w:szCs w:val="20"/>
        </w:rPr>
        <w:t>Long-Term Liability Burden</w:t>
      </w:r>
      <w:r w:rsidR="00F3296C" w:rsidRPr="00147D0A">
        <w:rPr>
          <w:rFonts w:ascii="Arial Hebrew" w:hAnsi="Arial Hebrew" w:cs="Arial Hebrew" w:hint="cs"/>
          <w:b/>
          <w:bCs/>
          <w:i/>
          <w:iCs/>
          <w:sz w:val="20"/>
          <w:szCs w:val="20"/>
        </w:rPr>
        <w:t>:</w:t>
      </w:r>
      <w:r w:rsidR="00F3296C" w:rsidRPr="00147D0A">
        <w:rPr>
          <w:rFonts w:ascii="Arial Hebrew" w:hAnsi="Arial Hebrew" w:cs="Arial Hebrew" w:hint="cs"/>
          <w:sz w:val="20"/>
          <w:szCs w:val="20"/>
        </w:rPr>
        <w:t xml:space="preserve"> Net tax-supported debt plus unfunded retirement liabilities.</w:t>
      </w:r>
    </w:p>
    <w:p w14:paraId="0DD8A6F6" w14:textId="72F314DA" w:rsidR="007067EB" w:rsidRPr="00147D0A" w:rsidRDefault="00F3296C" w:rsidP="00FF2BC0">
      <w:pPr>
        <w:pStyle w:val="ListParagraph"/>
        <w:numPr>
          <w:ilvl w:val="0"/>
          <w:numId w:val="49"/>
        </w:numPr>
        <w:spacing w:line="360" w:lineRule="auto"/>
        <w:rPr>
          <w:rFonts w:ascii="Arial Hebrew" w:hAnsi="Arial Hebrew" w:cs="Arial Hebrew"/>
          <w:sz w:val="20"/>
          <w:szCs w:val="20"/>
        </w:rPr>
      </w:pPr>
      <w:r w:rsidRPr="00147D0A">
        <w:rPr>
          <w:rFonts w:ascii="Arial Hebrew" w:hAnsi="Arial Hebrew" w:cs="Arial Hebrew" w:hint="cs"/>
          <w:b/>
          <w:bCs/>
          <w:i/>
          <w:iCs/>
          <w:sz w:val="20"/>
          <w:szCs w:val="20"/>
        </w:rPr>
        <w:t>Operating Performance:</w:t>
      </w:r>
      <w:r w:rsidRPr="00147D0A">
        <w:rPr>
          <w:rFonts w:ascii="Arial Hebrew" w:hAnsi="Arial Hebrew" w:cs="Arial Hebrew" w:hint="cs"/>
          <w:b/>
          <w:bCs/>
          <w:sz w:val="20"/>
          <w:szCs w:val="20"/>
        </w:rPr>
        <w:t xml:space="preserve"> </w:t>
      </w:r>
      <w:r w:rsidRPr="00147D0A">
        <w:rPr>
          <w:rFonts w:ascii="Arial Hebrew" w:hAnsi="Arial Hebrew" w:cs="Arial Hebrew" w:hint="cs"/>
          <w:sz w:val="20"/>
          <w:szCs w:val="20"/>
        </w:rPr>
        <w:t>Reserve levels, historical budget management, stress-test performance</w:t>
      </w:r>
      <w:r w:rsidR="008E45DE" w:rsidRPr="00147D0A">
        <w:rPr>
          <w:rFonts w:ascii="Arial Hebrew" w:hAnsi="Arial Hebrew" w:cs="Arial Hebrew" w:hint="cs"/>
          <w:sz w:val="20"/>
          <w:szCs w:val="20"/>
        </w:rPr>
        <w:t xml:space="preserve"> (severe-but-plausible downturn scenario)</w:t>
      </w:r>
      <w:r w:rsidRPr="00147D0A">
        <w:rPr>
          <w:rFonts w:ascii="Arial Hebrew" w:hAnsi="Arial Hebrew" w:cs="Arial Hebrew" w:hint="cs"/>
          <w:sz w:val="20"/>
          <w:szCs w:val="20"/>
        </w:rPr>
        <w:t>.</w:t>
      </w:r>
    </w:p>
    <w:p w14:paraId="49D0B85A" w14:textId="111E28BD" w:rsidR="00544810" w:rsidRPr="00147D0A" w:rsidRDefault="002378F1" w:rsidP="00DC62A1">
      <w:p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Analyst judgement </w:t>
      </w:r>
      <w:r w:rsidR="002723FF" w:rsidRPr="00147D0A">
        <w:rPr>
          <w:rFonts w:ascii="Arial Hebrew" w:hAnsi="Arial Hebrew" w:cs="Arial Hebrew" w:hint="cs"/>
          <w:sz w:val="20"/>
          <w:szCs w:val="20"/>
        </w:rPr>
        <w:t xml:space="preserve">– </w:t>
      </w:r>
      <w:r w:rsidRPr="00147D0A">
        <w:rPr>
          <w:rFonts w:ascii="Arial Hebrew" w:hAnsi="Arial Hebrew" w:cs="Arial Hebrew" w:hint="cs"/>
          <w:sz w:val="20"/>
          <w:szCs w:val="20"/>
        </w:rPr>
        <w:t>rather than</w:t>
      </w:r>
      <w:r w:rsidR="00F3296C" w:rsidRPr="00147D0A">
        <w:rPr>
          <w:rFonts w:ascii="Arial Hebrew" w:hAnsi="Arial Hebrew" w:cs="Arial Hebrew" w:hint="cs"/>
          <w:sz w:val="20"/>
          <w:szCs w:val="20"/>
        </w:rPr>
        <w:t xml:space="preserve"> </w:t>
      </w:r>
      <w:r w:rsidRPr="00147D0A">
        <w:rPr>
          <w:rFonts w:ascii="Arial Hebrew" w:hAnsi="Arial Hebrew" w:cs="Arial Hebrew" w:hint="cs"/>
          <w:sz w:val="20"/>
          <w:szCs w:val="20"/>
        </w:rPr>
        <w:t>a specific set of</w:t>
      </w:r>
      <w:r w:rsidR="00F3296C" w:rsidRPr="00147D0A">
        <w:rPr>
          <w:rFonts w:ascii="Arial Hebrew" w:hAnsi="Arial Hebrew" w:cs="Arial Hebrew" w:hint="cs"/>
          <w:sz w:val="20"/>
          <w:szCs w:val="20"/>
        </w:rPr>
        <w:t xml:space="preserve"> weights</w:t>
      </w:r>
      <w:r w:rsidR="002723FF" w:rsidRPr="00147D0A">
        <w:rPr>
          <w:rFonts w:ascii="Arial Hebrew" w:hAnsi="Arial Hebrew" w:cs="Arial Hebrew" w:hint="cs"/>
          <w:sz w:val="20"/>
          <w:szCs w:val="20"/>
        </w:rPr>
        <w:t xml:space="preserve"> –</w:t>
      </w:r>
      <w:r w:rsidR="00F3296C" w:rsidRPr="00147D0A">
        <w:rPr>
          <w:rFonts w:ascii="Arial Hebrew" w:hAnsi="Arial Hebrew" w:cs="Arial Hebrew" w:hint="cs"/>
          <w:sz w:val="20"/>
          <w:szCs w:val="20"/>
        </w:rPr>
        <w:t xml:space="preserve"> </w:t>
      </w:r>
      <w:r w:rsidRPr="00147D0A">
        <w:rPr>
          <w:rFonts w:ascii="Arial Hebrew" w:hAnsi="Arial Hebrew" w:cs="Arial Hebrew" w:hint="cs"/>
          <w:sz w:val="20"/>
          <w:szCs w:val="20"/>
        </w:rPr>
        <w:t>is used to combine the</w:t>
      </w:r>
      <w:r w:rsidR="002723FF" w:rsidRPr="00147D0A">
        <w:rPr>
          <w:rFonts w:ascii="Arial Hebrew" w:hAnsi="Arial Hebrew" w:cs="Arial Hebrew" w:hint="cs"/>
          <w:sz w:val="20"/>
          <w:szCs w:val="20"/>
        </w:rPr>
        <w:t xml:space="preserve"> four</w:t>
      </w:r>
      <w:r w:rsidRPr="00147D0A">
        <w:rPr>
          <w:rFonts w:ascii="Arial Hebrew" w:hAnsi="Arial Hebrew" w:cs="Arial Hebrew" w:hint="cs"/>
          <w:sz w:val="20"/>
          <w:szCs w:val="20"/>
        </w:rPr>
        <w:t xml:space="preserve"> drivers</w:t>
      </w:r>
      <w:r w:rsidR="002723FF" w:rsidRPr="00147D0A">
        <w:rPr>
          <w:rFonts w:ascii="Arial Hebrew" w:hAnsi="Arial Hebrew" w:cs="Arial Hebrew" w:hint="cs"/>
          <w:sz w:val="20"/>
          <w:szCs w:val="20"/>
        </w:rPr>
        <w:t>, with</w:t>
      </w:r>
      <w:r w:rsidR="004015BC" w:rsidRPr="00147D0A">
        <w:rPr>
          <w:rFonts w:ascii="Arial Hebrew" w:hAnsi="Arial Hebrew" w:cs="Arial Hebrew" w:hint="cs"/>
          <w:sz w:val="20"/>
          <w:szCs w:val="20"/>
        </w:rPr>
        <w:t xml:space="preserve"> </w:t>
      </w:r>
      <w:r w:rsidR="00F3296C" w:rsidRPr="00147D0A">
        <w:rPr>
          <w:rFonts w:ascii="Arial Hebrew" w:hAnsi="Arial Hebrew" w:cs="Arial Hebrew" w:hint="cs"/>
          <w:sz w:val="20"/>
          <w:szCs w:val="20"/>
        </w:rPr>
        <w:t xml:space="preserve">a minimum function </w:t>
      </w:r>
      <w:r w:rsidR="002723FF" w:rsidRPr="00147D0A">
        <w:rPr>
          <w:rFonts w:ascii="Arial Hebrew" w:hAnsi="Arial Hebrew" w:cs="Arial Hebrew" w:hint="cs"/>
          <w:sz w:val="20"/>
          <w:szCs w:val="20"/>
        </w:rPr>
        <w:t>potentially</w:t>
      </w:r>
      <w:r w:rsidR="00F3296C" w:rsidRPr="00147D0A">
        <w:rPr>
          <w:rFonts w:ascii="Arial Hebrew" w:hAnsi="Arial Hebrew" w:cs="Arial Hebrew" w:hint="cs"/>
          <w:sz w:val="20"/>
          <w:szCs w:val="20"/>
        </w:rPr>
        <w:t xml:space="preserve"> used for aggregation. </w:t>
      </w:r>
      <w:r w:rsidR="008E45DE" w:rsidRPr="00147D0A">
        <w:rPr>
          <w:rFonts w:ascii="Arial Hebrew" w:hAnsi="Arial Hebrew" w:cs="Arial Hebrew" w:hint="cs"/>
          <w:sz w:val="20"/>
          <w:szCs w:val="20"/>
        </w:rPr>
        <w:t xml:space="preserve">A resulting </w:t>
      </w:r>
      <w:r w:rsidR="00940F5E" w:rsidRPr="00147D0A">
        <w:rPr>
          <w:rFonts w:ascii="Arial Hebrew" w:hAnsi="Arial Hebrew" w:cs="Arial Hebrew" w:hint="cs"/>
          <w:sz w:val="20"/>
          <w:szCs w:val="20"/>
        </w:rPr>
        <w:t>provisional rating</w:t>
      </w:r>
      <w:r w:rsidRPr="00147D0A">
        <w:rPr>
          <w:rFonts w:ascii="Arial Hebrew" w:hAnsi="Arial Hebrew" w:cs="Arial Hebrew" w:hint="cs"/>
          <w:sz w:val="20"/>
          <w:szCs w:val="20"/>
        </w:rPr>
        <w:t xml:space="preserve"> may then be adjusted according to</w:t>
      </w:r>
      <w:r w:rsidR="004015BC"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considerations </w:t>
      </w:r>
      <w:r w:rsidR="008E45DE" w:rsidRPr="00147D0A">
        <w:rPr>
          <w:rFonts w:ascii="Arial Hebrew" w:hAnsi="Arial Hebrew" w:cs="Arial Hebrew" w:hint="cs"/>
          <w:sz w:val="20"/>
          <w:szCs w:val="20"/>
        </w:rPr>
        <w:t>(</w:t>
      </w:r>
      <w:r w:rsidRPr="00147D0A">
        <w:rPr>
          <w:rFonts w:ascii="Arial Hebrew" w:hAnsi="Arial Hebrew" w:cs="Arial Hebrew" w:hint="cs"/>
          <w:sz w:val="20"/>
          <w:szCs w:val="20"/>
        </w:rPr>
        <w:t>such as event risk</w:t>
      </w:r>
      <w:r w:rsidR="008E45DE" w:rsidRPr="00147D0A">
        <w:rPr>
          <w:rFonts w:ascii="Arial Hebrew" w:hAnsi="Arial Hebrew" w:cs="Arial Hebrew" w:hint="cs"/>
          <w:sz w:val="20"/>
          <w:szCs w:val="20"/>
        </w:rPr>
        <w:t>)</w:t>
      </w:r>
      <w:r w:rsidRPr="00147D0A">
        <w:rPr>
          <w:rFonts w:ascii="Arial Hebrew" w:hAnsi="Arial Hebrew" w:cs="Arial Hebrew" w:hint="cs"/>
          <w:sz w:val="20"/>
          <w:szCs w:val="20"/>
        </w:rPr>
        <w:t xml:space="preserve"> to arrive at a final rating. The methodology for states differs from local governments</w:t>
      </w:r>
      <w:r w:rsidR="00773294" w:rsidRPr="00147D0A">
        <w:rPr>
          <w:rFonts w:ascii="Arial Hebrew" w:hAnsi="Arial Hebrew" w:cs="Arial Hebrew" w:hint="cs"/>
          <w:sz w:val="20"/>
          <w:szCs w:val="20"/>
        </w:rPr>
        <w:t>;</w:t>
      </w:r>
      <w:r w:rsidRPr="00147D0A">
        <w:rPr>
          <w:rFonts w:ascii="Arial Hebrew" w:hAnsi="Arial Hebrew" w:cs="Arial Hebrew" w:hint="cs"/>
          <w:sz w:val="20"/>
          <w:szCs w:val="20"/>
        </w:rPr>
        <w:t xml:space="preserve"> the latter</w:t>
      </w:r>
      <w:r w:rsidR="004015BC" w:rsidRPr="00147D0A">
        <w:rPr>
          <w:rFonts w:ascii="Arial Hebrew" w:hAnsi="Arial Hebrew" w:cs="Arial Hebrew" w:hint="cs"/>
          <w:sz w:val="20"/>
          <w:szCs w:val="20"/>
        </w:rPr>
        <w:t xml:space="preserve"> </w:t>
      </w:r>
      <w:r w:rsidR="008E45DE" w:rsidRPr="00147D0A">
        <w:rPr>
          <w:rFonts w:ascii="Arial Hebrew" w:hAnsi="Arial Hebrew" w:cs="Arial Hebrew" w:hint="cs"/>
          <w:sz w:val="20"/>
          <w:szCs w:val="20"/>
        </w:rPr>
        <w:t>replacing</w:t>
      </w:r>
      <w:r w:rsidR="004015BC" w:rsidRPr="00147D0A">
        <w:rPr>
          <w:rFonts w:ascii="Arial Hebrew" w:hAnsi="Arial Hebrew" w:cs="Arial Hebrew" w:hint="cs"/>
          <w:sz w:val="20"/>
          <w:szCs w:val="20"/>
        </w:rPr>
        <w:t xml:space="preserve"> the four key drivers </w:t>
      </w:r>
      <w:r w:rsidR="0029747B" w:rsidRPr="00147D0A">
        <w:rPr>
          <w:rFonts w:ascii="Arial Hebrew" w:hAnsi="Arial Hebrew" w:cs="Arial Hebrew" w:hint="cs"/>
          <w:sz w:val="20"/>
          <w:szCs w:val="20"/>
        </w:rPr>
        <w:t>with</w:t>
      </w:r>
      <w:r w:rsidR="004015BC" w:rsidRPr="00147D0A">
        <w:rPr>
          <w:rFonts w:ascii="Arial Hebrew" w:hAnsi="Arial Hebrew" w:cs="Arial Hebrew" w:hint="cs"/>
          <w:sz w:val="20"/>
          <w:szCs w:val="20"/>
        </w:rPr>
        <w:t xml:space="preserve"> a </w:t>
      </w:r>
      <w:r w:rsidRPr="00147D0A">
        <w:rPr>
          <w:rFonts w:ascii="Arial Hebrew" w:hAnsi="Arial Hebrew" w:cs="Arial Hebrew" w:hint="cs"/>
          <w:b/>
          <w:bCs/>
          <w:sz w:val="20"/>
          <w:szCs w:val="20"/>
        </w:rPr>
        <w:t>Local Government Rating Model</w:t>
      </w:r>
      <w:r w:rsidR="00D76AE8" w:rsidRPr="00147D0A">
        <w:rPr>
          <w:rFonts w:ascii="Arial Hebrew" w:hAnsi="Arial Hebrew" w:cs="Arial Hebrew" w:hint="cs"/>
          <w:b/>
          <w:bCs/>
          <w:sz w:val="20"/>
          <w:szCs w:val="20"/>
        </w:rPr>
        <w:t xml:space="preserve"> (LGRM)</w:t>
      </w:r>
      <w:r w:rsidR="004015BC"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based on twelve standard metrics </w:t>
      </w:r>
      <w:r w:rsidR="004015BC" w:rsidRPr="00147D0A">
        <w:rPr>
          <w:rFonts w:ascii="Arial Hebrew" w:hAnsi="Arial Hebrew" w:cs="Arial Hebrew" w:hint="cs"/>
          <w:sz w:val="20"/>
          <w:szCs w:val="20"/>
        </w:rPr>
        <w:t>that capture the local government’s financial profile, demographic and economic strength, and long-term liability burden.</w:t>
      </w:r>
      <w:r w:rsidRPr="00147D0A">
        <w:rPr>
          <w:rFonts w:ascii="Arial Hebrew" w:hAnsi="Arial Hebrew" w:cs="Arial Hebrew" w:hint="cs"/>
          <w:sz w:val="20"/>
          <w:szCs w:val="20"/>
        </w:rPr>
        <w:t xml:space="preserve"> </w:t>
      </w:r>
      <w:r w:rsidR="008E45DE" w:rsidRPr="00147D0A">
        <w:rPr>
          <w:rFonts w:ascii="Arial Hebrew" w:hAnsi="Arial Hebrew" w:cs="Arial Hebrew" w:hint="cs"/>
          <w:sz w:val="20"/>
          <w:szCs w:val="20"/>
        </w:rPr>
        <w:t>Model weights correspond to regression coefficients</w:t>
      </w:r>
      <w:r w:rsidR="00DC62A1" w:rsidRPr="00147D0A">
        <w:rPr>
          <w:rFonts w:ascii="Arial Hebrew" w:hAnsi="Arial Hebrew" w:cs="Arial Hebrew" w:hint="cs"/>
          <w:sz w:val="20"/>
          <w:szCs w:val="20"/>
        </w:rPr>
        <w:t xml:space="preserve"> (</w:t>
      </w:r>
      <w:r w:rsidR="008E45DE" w:rsidRPr="00147D0A">
        <w:rPr>
          <w:rFonts w:ascii="Arial Hebrew" w:hAnsi="Arial Hebrew" w:cs="Arial Hebrew" w:hint="cs"/>
          <w:sz w:val="20"/>
          <w:szCs w:val="20"/>
        </w:rPr>
        <w:t xml:space="preserve">similarly </w:t>
      </w:r>
      <w:r w:rsidR="00DC62A1" w:rsidRPr="00147D0A">
        <w:rPr>
          <w:rFonts w:ascii="Arial Hebrew" w:hAnsi="Arial Hebrew" w:cs="Arial Hebrew" w:hint="cs"/>
          <w:sz w:val="20"/>
          <w:szCs w:val="20"/>
        </w:rPr>
        <w:t>to</w:t>
      </w:r>
      <w:r w:rsidR="008E45DE" w:rsidRPr="00147D0A">
        <w:rPr>
          <w:rFonts w:ascii="Arial Hebrew" w:hAnsi="Arial Hebrew" w:cs="Arial Hebrew" w:hint="cs"/>
          <w:sz w:val="20"/>
          <w:szCs w:val="20"/>
        </w:rPr>
        <w:t xml:space="preserve"> those in</w:t>
      </w:r>
      <w:r w:rsidR="00DC62A1" w:rsidRPr="00147D0A">
        <w:rPr>
          <w:rFonts w:ascii="Arial Hebrew" w:hAnsi="Arial Hebrew" w:cs="Arial Hebrew" w:hint="cs"/>
          <w:sz w:val="20"/>
          <w:szCs w:val="20"/>
        </w:rPr>
        <w:t xml:space="preserve"> the</w:t>
      </w:r>
      <w:r w:rsidR="008E45DE" w:rsidRPr="00147D0A">
        <w:rPr>
          <w:rFonts w:ascii="Arial Hebrew" w:hAnsi="Arial Hebrew" w:cs="Arial Hebrew" w:hint="cs"/>
          <w:sz w:val="20"/>
          <w:szCs w:val="20"/>
        </w:rPr>
        <w:t xml:space="preserve"> Fitch Sovereign Rating Model</w:t>
      </w:r>
      <w:r w:rsidR="00DC62A1" w:rsidRPr="00147D0A">
        <w:rPr>
          <w:rFonts w:ascii="Arial Hebrew" w:hAnsi="Arial Hebrew" w:cs="Arial Hebrew" w:hint="cs"/>
          <w:sz w:val="20"/>
          <w:szCs w:val="20"/>
        </w:rPr>
        <w:t>)</w:t>
      </w:r>
      <w:r w:rsidR="008E45DE" w:rsidRPr="00147D0A">
        <w:rPr>
          <w:rFonts w:ascii="Arial Hebrew" w:hAnsi="Arial Hebrew" w:cs="Arial Hebrew" w:hint="cs"/>
          <w:sz w:val="20"/>
          <w:szCs w:val="20"/>
        </w:rPr>
        <w:t>.</w:t>
      </w:r>
    </w:p>
    <w:p w14:paraId="48D81278" w14:textId="606B303A" w:rsidR="00DC639F" w:rsidRPr="00147D0A" w:rsidRDefault="002F421F" w:rsidP="00FC7877">
      <w:pPr>
        <w:pStyle w:val="Heading1"/>
        <w:rPr>
          <w:rFonts w:ascii="Arial Hebrew" w:hAnsi="Arial Hebrew" w:cs="Arial Hebrew"/>
          <w:sz w:val="26"/>
          <w:szCs w:val="26"/>
        </w:rPr>
      </w:pPr>
      <w:bookmarkStart w:id="12" w:name="_Toc199450890"/>
      <w:bookmarkEnd w:id="0"/>
      <w:bookmarkEnd w:id="1"/>
      <w:r w:rsidRPr="00147D0A">
        <w:rPr>
          <w:rFonts w:ascii="Arial Hebrew" w:hAnsi="Arial Hebrew" w:cs="Arial Hebrew" w:hint="cs"/>
          <w:sz w:val="26"/>
          <w:szCs w:val="26"/>
        </w:rPr>
        <w:lastRenderedPageBreak/>
        <w:t xml:space="preserve">Institutional and Governance Quality </w:t>
      </w:r>
      <w:r w:rsidR="00C54683" w:rsidRPr="00147D0A">
        <w:rPr>
          <w:rFonts w:ascii="Arial Hebrew" w:hAnsi="Arial Hebrew" w:cs="Arial Hebrew" w:hint="cs"/>
          <w:sz w:val="26"/>
          <w:szCs w:val="26"/>
        </w:rPr>
        <w:t>in Credit Assessments</w:t>
      </w:r>
      <w:bookmarkEnd w:id="12"/>
    </w:p>
    <w:p w14:paraId="5A7929D0" w14:textId="77777777" w:rsidR="00FC7877" w:rsidRPr="00147D0A" w:rsidRDefault="00FC7877" w:rsidP="00FC7877">
      <w:pPr>
        <w:spacing w:line="360" w:lineRule="auto"/>
        <w:rPr>
          <w:rFonts w:ascii="Arial Hebrew" w:hAnsi="Arial Hebrew" w:cs="Arial Hebrew"/>
          <w:sz w:val="20"/>
          <w:szCs w:val="20"/>
        </w:rPr>
      </w:pPr>
    </w:p>
    <w:p w14:paraId="019A4189" w14:textId="05152FD7" w:rsidR="001C5C2C" w:rsidRPr="00147D0A" w:rsidRDefault="000B73F8" w:rsidP="001C5C2C">
      <w:pPr>
        <w:spacing w:line="360" w:lineRule="auto"/>
        <w:ind w:firstLine="720"/>
        <w:rPr>
          <w:rFonts w:ascii="Arial Hebrew" w:hAnsi="Arial Hebrew" w:cs="Arial Hebrew"/>
          <w:sz w:val="20"/>
          <w:szCs w:val="20"/>
        </w:rPr>
      </w:pPr>
      <w:r w:rsidRPr="00147D0A">
        <w:rPr>
          <w:rFonts w:ascii="Arial Hebrew" w:hAnsi="Arial Hebrew" w:cs="Arial Hebrew" w:hint="cs"/>
          <w:sz w:val="20"/>
          <w:szCs w:val="20"/>
        </w:rPr>
        <w:t xml:space="preserve">Ratings agencies recognise that ‘objective’ statistical measures - official economic and financial indicators, such as GDP, debt ratios, and fiscal balances - do not capture the full range of factors relevant to a government’s ability and willingness to meet </w:t>
      </w:r>
      <w:r w:rsidR="00ED548E" w:rsidRPr="00147D0A">
        <w:rPr>
          <w:rFonts w:ascii="Arial Hebrew" w:hAnsi="Arial Hebrew" w:cs="Arial Hebrew" w:hint="cs"/>
          <w:sz w:val="20"/>
          <w:szCs w:val="20"/>
        </w:rPr>
        <w:t xml:space="preserve">financial </w:t>
      </w:r>
      <w:r w:rsidRPr="00147D0A">
        <w:rPr>
          <w:rFonts w:ascii="Arial Hebrew" w:hAnsi="Arial Hebrew" w:cs="Arial Hebrew" w:hint="cs"/>
          <w:sz w:val="20"/>
          <w:szCs w:val="20"/>
        </w:rPr>
        <w:t xml:space="preserve">obligations to creditors. </w:t>
      </w:r>
      <w:r w:rsidR="008A2AB3" w:rsidRPr="00147D0A">
        <w:rPr>
          <w:rFonts w:ascii="Arial Hebrew" w:hAnsi="Arial Hebrew" w:cs="Arial Hebrew" w:hint="cs"/>
          <w:sz w:val="20"/>
          <w:szCs w:val="20"/>
        </w:rPr>
        <w:t>E</w:t>
      </w:r>
      <w:r w:rsidR="004734E0" w:rsidRPr="00147D0A">
        <w:rPr>
          <w:rFonts w:ascii="Arial Hebrew" w:hAnsi="Arial Hebrew" w:cs="Arial Hebrew" w:hint="cs"/>
          <w:sz w:val="20"/>
          <w:szCs w:val="20"/>
        </w:rPr>
        <w:t>ffective and reliable institutions</w:t>
      </w:r>
      <w:r w:rsidR="008A2AB3" w:rsidRPr="00147D0A">
        <w:rPr>
          <w:rFonts w:ascii="Arial Hebrew" w:hAnsi="Arial Hebrew" w:cs="Arial Hebrew" w:hint="cs"/>
          <w:sz w:val="20"/>
          <w:szCs w:val="20"/>
        </w:rPr>
        <w:t xml:space="preserve"> -</w:t>
      </w:r>
      <w:r w:rsidR="006F3E0E" w:rsidRPr="00147D0A">
        <w:rPr>
          <w:rFonts w:ascii="Arial Hebrew" w:hAnsi="Arial Hebrew" w:cs="Arial Hebrew" w:hint="cs"/>
          <w:sz w:val="20"/>
          <w:szCs w:val="20"/>
        </w:rPr>
        <w:t xml:space="preserve"> </w:t>
      </w:r>
      <w:r w:rsidR="00815E7C" w:rsidRPr="00147D0A">
        <w:rPr>
          <w:rFonts w:ascii="Arial Hebrew" w:hAnsi="Arial Hebrew" w:cs="Arial Hebrew" w:hint="cs"/>
          <w:sz w:val="20"/>
          <w:szCs w:val="20"/>
        </w:rPr>
        <w:t>stable and transparent systems for law-making,</w:t>
      </w:r>
      <w:r w:rsidR="00F42653" w:rsidRPr="00147D0A">
        <w:rPr>
          <w:rFonts w:ascii="Arial Hebrew" w:hAnsi="Arial Hebrew" w:cs="Arial Hebrew" w:hint="cs"/>
          <w:sz w:val="20"/>
          <w:szCs w:val="20"/>
        </w:rPr>
        <w:t xml:space="preserve"> </w:t>
      </w:r>
      <w:r w:rsidR="00D07A89" w:rsidRPr="00147D0A">
        <w:rPr>
          <w:rFonts w:ascii="Arial Hebrew" w:hAnsi="Arial Hebrew" w:cs="Arial Hebrew" w:hint="cs"/>
          <w:sz w:val="20"/>
          <w:szCs w:val="20"/>
        </w:rPr>
        <w:t xml:space="preserve">judicial integrity, and </w:t>
      </w:r>
      <w:r w:rsidR="00815E7C" w:rsidRPr="00147D0A">
        <w:rPr>
          <w:rFonts w:ascii="Arial Hebrew" w:hAnsi="Arial Hebrew" w:cs="Arial Hebrew" w:hint="cs"/>
          <w:sz w:val="20"/>
          <w:szCs w:val="20"/>
        </w:rPr>
        <w:t>professional public administrations</w:t>
      </w:r>
      <w:r w:rsidR="008A2AB3" w:rsidRPr="00147D0A">
        <w:rPr>
          <w:rFonts w:ascii="Arial Hebrew" w:hAnsi="Arial Hebrew" w:cs="Arial Hebrew" w:hint="cs"/>
          <w:sz w:val="20"/>
          <w:szCs w:val="20"/>
        </w:rPr>
        <w:t xml:space="preserve"> – are </w:t>
      </w:r>
      <w:r w:rsidRPr="00147D0A">
        <w:rPr>
          <w:rFonts w:ascii="Arial Hebrew" w:hAnsi="Arial Hebrew" w:cs="Arial Hebrew" w:hint="cs"/>
          <w:sz w:val="20"/>
          <w:szCs w:val="20"/>
        </w:rPr>
        <w:t xml:space="preserve">also </w:t>
      </w:r>
      <w:r w:rsidR="008A2AB3" w:rsidRPr="00147D0A">
        <w:rPr>
          <w:rFonts w:ascii="Arial Hebrew" w:hAnsi="Arial Hebrew" w:cs="Arial Hebrew" w:hint="cs"/>
          <w:sz w:val="20"/>
          <w:szCs w:val="20"/>
        </w:rPr>
        <w:t xml:space="preserve">important elements of creditworthiness, although they </w:t>
      </w:r>
      <w:r w:rsidR="00ED548E" w:rsidRPr="00147D0A">
        <w:rPr>
          <w:rFonts w:ascii="Arial Hebrew" w:hAnsi="Arial Hebrew" w:cs="Arial Hebrew" w:hint="cs"/>
          <w:sz w:val="20"/>
          <w:szCs w:val="20"/>
        </w:rPr>
        <w:t>resist</w:t>
      </w:r>
      <w:r w:rsidR="008A2AB3" w:rsidRPr="00147D0A">
        <w:rPr>
          <w:rFonts w:ascii="Arial Hebrew" w:hAnsi="Arial Hebrew" w:cs="Arial Hebrew" w:hint="cs"/>
          <w:sz w:val="20"/>
          <w:szCs w:val="20"/>
        </w:rPr>
        <w:t xml:space="preserve"> direct measurement. </w:t>
      </w:r>
      <w:r w:rsidRPr="00147D0A">
        <w:rPr>
          <w:rFonts w:ascii="Arial Hebrew" w:hAnsi="Arial Hebrew" w:cs="Arial Hebrew" w:hint="cs"/>
          <w:sz w:val="20"/>
          <w:szCs w:val="20"/>
        </w:rPr>
        <w:t xml:space="preserve">While </w:t>
      </w:r>
      <w:r w:rsidR="00A13556" w:rsidRPr="00147D0A">
        <w:rPr>
          <w:rFonts w:ascii="Arial Hebrew" w:hAnsi="Arial Hebrew" w:cs="Arial Hebrew" w:hint="cs"/>
          <w:sz w:val="20"/>
          <w:szCs w:val="20"/>
        </w:rPr>
        <w:t xml:space="preserve">official statistics </w:t>
      </w:r>
      <w:r w:rsidR="00D76AE8" w:rsidRPr="00147D0A">
        <w:rPr>
          <w:rFonts w:ascii="Arial Hebrew" w:hAnsi="Arial Hebrew" w:cs="Arial Hebrew" w:hint="cs"/>
          <w:sz w:val="20"/>
          <w:szCs w:val="20"/>
        </w:rPr>
        <w:t>inform the larger part of</w:t>
      </w:r>
      <w:r w:rsidR="00A13556" w:rsidRPr="00147D0A">
        <w:rPr>
          <w:rFonts w:ascii="Arial Hebrew" w:hAnsi="Arial Hebrew" w:cs="Arial Hebrew" w:hint="cs"/>
          <w:sz w:val="20"/>
          <w:szCs w:val="20"/>
        </w:rPr>
        <w:t xml:space="preserve"> sovereign assessments, </w:t>
      </w:r>
      <w:r w:rsidR="00774BF4" w:rsidRPr="00147D0A">
        <w:rPr>
          <w:rFonts w:ascii="Arial Hebrew" w:hAnsi="Arial Hebrew" w:cs="Arial Hebrew" w:hint="cs"/>
          <w:sz w:val="20"/>
          <w:szCs w:val="20"/>
        </w:rPr>
        <w:t>qualit</w:t>
      </w:r>
      <w:r w:rsidR="00ED548E" w:rsidRPr="00147D0A">
        <w:rPr>
          <w:rFonts w:ascii="Arial Hebrew" w:hAnsi="Arial Hebrew" w:cs="Arial Hebrew" w:hint="cs"/>
          <w:sz w:val="20"/>
          <w:szCs w:val="20"/>
        </w:rPr>
        <w:t>ative evaluations</w:t>
      </w:r>
      <w:r w:rsidR="00774BF4" w:rsidRPr="00147D0A">
        <w:rPr>
          <w:rFonts w:ascii="Arial Hebrew" w:hAnsi="Arial Hebrew" w:cs="Arial Hebrew" w:hint="cs"/>
          <w:sz w:val="20"/>
          <w:szCs w:val="20"/>
        </w:rPr>
        <w:t xml:space="preserve"> of institutions and governance are</w:t>
      </w:r>
      <w:r w:rsidR="00D76AE8" w:rsidRPr="00147D0A">
        <w:rPr>
          <w:rFonts w:ascii="Arial Hebrew" w:hAnsi="Arial Hebrew" w:cs="Arial Hebrew" w:hint="cs"/>
          <w:sz w:val="20"/>
          <w:szCs w:val="20"/>
        </w:rPr>
        <w:t xml:space="preserve"> nevertheless</w:t>
      </w:r>
      <w:r w:rsidR="004734E0" w:rsidRPr="00147D0A">
        <w:rPr>
          <w:rFonts w:ascii="Arial Hebrew" w:hAnsi="Arial Hebrew" w:cs="Arial Hebrew" w:hint="cs"/>
          <w:sz w:val="20"/>
          <w:szCs w:val="20"/>
        </w:rPr>
        <w:t xml:space="preserve"> </w:t>
      </w:r>
      <w:r w:rsidR="00815E7C" w:rsidRPr="00147D0A">
        <w:rPr>
          <w:rFonts w:ascii="Arial Hebrew" w:hAnsi="Arial Hebrew" w:cs="Arial Hebrew" w:hint="cs"/>
          <w:sz w:val="20"/>
          <w:szCs w:val="20"/>
        </w:rPr>
        <w:t>a</w:t>
      </w:r>
      <w:r w:rsidR="00366FA8" w:rsidRPr="00147D0A">
        <w:rPr>
          <w:rFonts w:ascii="Arial Hebrew" w:hAnsi="Arial Hebrew" w:cs="Arial Hebrew" w:hint="cs"/>
          <w:sz w:val="20"/>
          <w:szCs w:val="20"/>
        </w:rPr>
        <w:t>ssigned</w:t>
      </w:r>
      <w:r w:rsidR="00815E7C" w:rsidRPr="00147D0A">
        <w:rPr>
          <w:rFonts w:ascii="Arial Hebrew" w:hAnsi="Arial Hebrew" w:cs="Arial Hebrew" w:hint="cs"/>
          <w:sz w:val="20"/>
          <w:szCs w:val="20"/>
        </w:rPr>
        <w:t xml:space="preserve"> substantial </w:t>
      </w:r>
      <w:r w:rsidR="00774BF4" w:rsidRPr="00147D0A">
        <w:rPr>
          <w:rFonts w:ascii="Arial Hebrew" w:hAnsi="Arial Hebrew" w:cs="Arial Hebrew" w:hint="cs"/>
          <w:sz w:val="20"/>
          <w:szCs w:val="20"/>
        </w:rPr>
        <w:t>importance</w:t>
      </w:r>
      <w:r w:rsidR="00815E7C" w:rsidRPr="00147D0A">
        <w:rPr>
          <w:rFonts w:ascii="Arial Hebrew" w:hAnsi="Arial Hebrew" w:cs="Arial Hebrew" w:hint="cs"/>
          <w:sz w:val="20"/>
          <w:szCs w:val="20"/>
        </w:rPr>
        <w:t xml:space="preserve"> </w:t>
      </w:r>
      <w:r w:rsidR="00D07A89" w:rsidRPr="00147D0A">
        <w:rPr>
          <w:rFonts w:ascii="Arial Hebrew" w:hAnsi="Arial Hebrew" w:cs="Arial Hebrew" w:hint="cs"/>
          <w:sz w:val="20"/>
          <w:szCs w:val="20"/>
        </w:rPr>
        <w:t>in</w:t>
      </w:r>
      <w:r w:rsidR="00815E7C" w:rsidRPr="00147D0A">
        <w:rPr>
          <w:rFonts w:ascii="Arial Hebrew" w:hAnsi="Arial Hebrew" w:cs="Arial Hebrew" w:hint="cs"/>
          <w:sz w:val="20"/>
          <w:szCs w:val="20"/>
        </w:rPr>
        <w:t xml:space="preserve"> the frameworks </w:t>
      </w:r>
      <w:r w:rsidR="00D07A89" w:rsidRPr="00147D0A">
        <w:rPr>
          <w:rFonts w:ascii="Arial Hebrew" w:hAnsi="Arial Hebrew" w:cs="Arial Hebrew" w:hint="cs"/>
          <w:sz w:val="20"/>
          <w:szCs w:val="20"/>
        </w:rPr>
        <w:t>of</w:t>
      </w:r>
      <w:r w:rsidR="00815E7C" w:rsidRPr="00147D0A">
        <w:rPr>
          <w:rFonts w:ascii="Arial Hebrew" w:hAnsi="Arial Hebrew" w:cs="Arial Hebrew" w:hint="cs"/>
          <w:sz w:val="20"/>
          <w:szCs w:val="20"/>
        </w:rPr>
        <w:t xml:space="preserve"> a</w:t>
      </w:r>
      <w:r w:rsidR="00FC7877" w:rsidRPr="00147D0A">
        <w:rPr>
          <w:rFonts w:ascii="Arial Hebrew" w:hAnsi="Arial Hebrew" w:cs="Arial Hebrew" w:hint="cs"/>
          <w:sz w:val="20"/>
          <w:szCs w:val="20"/>
        </w:rPr>
        <w:t>ll three major rating agencies</w:t>
      </w:r>
      <w:r w:rsidR="004734E0" w:rsidRPr="00147D0A">
        <w:rPr>
          <w:rFonts w:ascii="Arial Hebrew" w:hAnsi="Arial Hebrew" w:cs="Arial Hebrew" w:hint="cs"/>
          <w:sz w:val="20"/>
          <w:szCs w:val="20"/>
        </w:rPr>
        <w:t xml:space="preserve"> (</w:t>
      </w:r>
      <w:r w:rsidR="004734E0" w:rsidRPr="00147D0A">
        <w:rPr>
          <w:rFonts w:ascii="Arial Hebrew" w:hAnsi="Arial Hebrew" w:cs="Arial Hebrew" w:hint="cs"/>
          <w:b/>
          <w:bCs/>
          <w:sz w:val="20"/>
          <w:szCs w:val="20"/>
        </w:rPr>
        <w:t>Table 3</w:t>
      </w:r>
      <w:r w:rsidR="004734E0" w:rsidRPr="00147D0A">
        <w:rPr>
          <w:rFonts w:ascii="Arial Hebrew" w:hAnsi="Arial Hebrew" w:cs="Arial Hebrew" w:hint="cs"/>
          <w:sz w:val="20"/>
          <w:szCs w:val="20"/>
        </w:rPr>
        <w:t xml:space="preserve">). </w:t>
      </w:r>
    </w:p>
    <w:p w14:paraId="61C39962" w14:textId="5693DB01" w:rsidR="00465D36" w:rsidRPr="00147D0A" w:rsidRDefault="00465D36" w:rsidP="00465D36">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Table 3.</w:t>
      </w:r>
      <w:r w:rsidRPr="00147D0A">
        <w:rPr>
          <w:rFonts w:ascii="Arial Hebrew" w:hAnsi="Arial Hebrew" w:cs="Arial Hebrew" w:hint="cs"/>
          <w:i/>
          <w:iCs/>
          <w:sz w:val="16"/>
          <w:szCs w:val="16"/>
        </w:rPr>
        <w:t xml:space="preserve"> Qualitative</w:t>
      </w:r>
      <w:r w:rsidR="0034460D" w:rsidRPr="00147D0A">
        <w:rPr>
          <w:rFonts w:ascii="Arial Hebrew" w:hAnsi="Arial Hebrew" w:cs="Arial Hebrew" w:hint="cs"/>
          <w:i/>
          <w:iCs/>
          <w:sz w:val="16"/>
          <w:szCs w:val="16"/>
        </w:rPr>
        <w:t xml:space="preserve"> Institutional and Governance</w:t>
      </w:r>
      <w:r w:rsidRPr="00147D0A">
        <w:rPr>
          <w:rFonts w:ascii="Arial Hebrew" w:hAnsi="Arial Hebrew" w:cs="Arial Hebrew" w:hint="cs"/>
          <w:i/>
          <w:iCs/>
          <w:sz w:val="16"/>
          <w:szCs w:val="16"/>
        </w:rPr>
        <w:t xml:space="preserve"> Components in </w:t>
      </w:r>
      <w:r w:rsidR="0034460D" w:rsidRPr="00147D0A">
        <w:rPr>
          <w:rFonts w:ascii="Arial Hebrew" w:hAnsi="Arial Hebrew" w:cs="Arial Hebrew" w:hint="cs"/>
          <w:i/>
          <w:iCs/>
          <w:sz w:val="16"/>
          <w:szCs w:val="16"/>
        </w:rPr>
        <w:t xml:space="preserve">Credit Ratings </w:t>
      </w:r>
      <w:r w:rsidRPr="00147D0A">
        <w:rPr>
          <w:rFonts w:ascii="Arial Hebrew" w:hAnsi="Arial Hebrew" w:cs="Arial Hebrew" w:hint="cs"/>
          <w:i/>
          <w:iCs/>
          <w:sz w:val="16"/>
          <w:szCs w:val="16"/>
        </w:rPr>
        <w:t>Agency Frameworks</w:t>
      </w:r>
    </w:p>
    <w:tbl>
      <w:tblPr>
        <w:tblStyle w:val="TableGrid"/>
        <w:tblW w:w="8931" w:type="dxa"/>
        <w:tblLayout w:type="fixed"/>
        <w:tblLook w:val="04A0" w:firstRow="1" w:lastRow="0" w:firstColumn="1" w:lastColumn="0" w:noHBand="0" w:noVBand="1"/>
      </w:tblPr>
      <w:tblGrid>
        <w:gridCol w:w="1560"/>
        <w:gridCol w:w="2362"/>
        <w:gridCol w:w="2504"/>
        <w:gridCol w:w="2505"/>
      </w:tblGrid>
      <w:tr w:rsidR="00465D36" w:rsidRPr="00147D0A" w14:paraId="4B5B7CCA" w14:textId="77777777" w:rsidTr="001003A1">
        <w:trPr>
          <w:trHeight w:val="139"/>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27E0396B" w14:textId="10D06193" w:rsidR="00465D36" w:rsidRPr="00147D0A" w:rsidRDefault="001C5C2C" w:rsidP="001C5C2C">
            <w:pPr>
              <w:rPr>
                <w:rFonts w:ascii="Arial Hebrew" w:hAnsi="Arial Hebrew" w:cs="Arial Hebrew"/>
                <w:b/>
                <w:bCs/>
                <w:sz w:val="17"/>
                <w:szCs w:val="17"/>
              </w:rPr>
            </w:pPr>
            <w:r w:rsidRPr="00147D0A">
              <w:rPr>
                <w:rFonts w:ascii="Arial Hebrew" w:hAnsi="Arial Hebrew" w:cs="Arial Hebrew" w:hint="cs"/>
                <w:b/>
                <w:bCs/>
                <w:sz w:val="17"/>
                <w:szCs w:val="17"/>
              </w:rPr>
              <w:t>Assessment Dimension</w:t>
            </w:r>
          </w:p>
        </w:tc>
        <w:tc>
          <w:tcPr>
            <w:tcW w:w="2362" w:type="dxa"/>
            <w:tcBorders>
              <w:top w:val="single" w:sz="4" w:space="0" w:color="auto"/>
              <w:left w:val="nil"/>
              <w:bottom w:val="single" w:sz="4" w:space="0" w:color="auto"/>
              <w:right w:val="nil"/>
            </w:tcBorders>
            <w:shd w:val="clear" w:color="auto" w:fill="F2F2F2" w:themeFill="background1" w:themeFillShade="F2"/>
            <w:vAlign w:val="center"/>
          </w:tcPr>
          <w:p w14:paraId="6007782A" w14:textId="6F0F898B" w:rsidR="00465D36" w:rsidRPr="00147D0A" w:rsidRDefault="006D22BD" w:rsidP="0025505D">
            <w:pPr>
              <w:rPr>
                <w:rFonts w:ascii="Arial Hebrew" w:hAnsi="Arial Hebrew" w:cs="Arial Hebrew"/>
                <w:b/>
                <w:bCs/>
                <w:sz w:val="17"/>
                <w:szCs w:val="17"/>
              </w:rPr>
            </w:pPr>
            <w:r w:rsidRPr="00147D0A">
              <w:rPr>
                <w:rFonts w:ascii="Arial Hebrew" w:hAnsi="Arial Hebrew" w:cs="Arial Hebrew" w:hint="cs"/>
                <w:b/>
                <w:bCs/>
                <w:sz w:val="17"/>
                <w:szCs w:val="17"/>
              </w:rPr>
              <w:t>Moody’s</w:t>
            </w:r>
          </w:p>
        </w:tc>
        <w:tc>
          <w:tcPr>
            <w:tcW w:w="2504" w:type="dxa"/>
            <w:tcBorders>
              <w:top w:val="single" w:sz="4" w:space="0" w:color="auto"/>
              <w:left w:val="nil"/>
              <w:bottom w:val="single" w:sz="4" w:space="0" w:color="auto"/>
              <w:right w:val="nil"/>
            </w:tcBorders>
            <w:shd w:val="clear" w:color="auto" w:fill="F2F2F2" w:themeFill="background1" w:themeFillShade="F2"/>
            <w:vAlign w:val="center"/>
          </w:tcPr>
          <w:p w14:paraId="1999C93D" w14:textId="4992FCDF" w:rsidR="00465D36" w:rsidRPr="00147D0A" w:rsidRDefault="006D22BD" w:rsidP="0025505D">
            <w:pPr>
              <w:rPr>
                <w:rFonts w:ascii="Arial Hebrew" w:hAnsi="Arial Hebrew" w:cs="Arial Hebrew"/>
                <w:b/>
                <w:bCs/>
                <w:sz w:val="17"/>
                <w:szCs w:val="17"/>
              </w:rPr>
            </w:pPr>
            <w:r w:rsidRPr="00147D0A">
              <w:rPr>
                <w:rFonts w:ascii="Arial Hebrew" w:hAnsi="Arial Hebrew" w:cs="Arial Hebrew" w:hint="cs"/>
                <w:b/>
                <w:bCs/>
                <w:sz w:val="17"/>
                <w:szCs w:val="17"/>
              </w:rPr>
              <w:t>S&amp;P</w:t>
            </w:r>
          </w:p>
        </w:tc>
        <w:tc>
          <w:tcPr>
            <w:tcW w:w="2505" w:type="dxa"/>
            <w:tcBorders>
              <w:top w:val="single" w:sz="4" w:space="0" w:color="auto"/>
              <w:left w:val="nil"/>
              <w:bottom w:val="single" w:sz="4" w:space="0" w:color="auto"/>
              <w:right w:val="nil"/>
            </w:tcBorders>
            <w:shd w:val="clear" w:color="auto" w:fill="F2F2F2" w:themeFill="background1" w:themeFillShade="F2"/>
            <w:vAlign w:val="center"/>
          </w:tcPr>
          <w:p w14:paraId="3BC9E4CE" w14:textId="342577CE" w:rsidR="00465D36" w:rsidRPr="00147D0A" w:rsidRDefault="006D22BD" w:rsidP="0025505D">
            <w:pPr>
              <w:rPr>
                <w:rFonts w:ascii="Arial Hebrew" w:hAnsi="Arial Hebrew" w:cs="Arial Hebrew"/>
                <w:b/>
                <w:bCs/>
                <w:sz w:val="17"/>
                <w:szCs w:val="17"/>
              </w:rPr>
            </w:pPr>
            <w:r w:rsidRPr="00147D0A">
              <w:rPr>
                <w:rFonts w:ascii="Arial Hebrew" w:hAnsi="Arial Hebrew" w:cs="Arial Hebrew" w:hint="cs"/>
                <w:b/>
                <w:bCs/>
                <w:sz w:val="17"/>
                <w:szCs w:val="17"/>
              </w:rPr>
              <w:t>Fitch</w:t>
            </w:r>
          </w:p>
        </w:tc>
      </w:tr>
      <w:tr w:rsidR="003121FD" w:rsidRPr="00147D0A" w14:paraId="0C85681B"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0FCF35F1" w14:textId="45565B76" w:rsidR="003121FD" w:rsidRPr="00147D0A" w:rsidRDefault="001003A1" w:rsidP="001C5C2C">
            <w:pPr>
              <w:rPr>
                <w:rFonts w:ascii="Arial Hebrew" w:hAnsi="Arial Hebrew" w:cs="Arial Hebrew"/>
                <w:sz w:val="17"/>
                <w:szCs w:val="17"/>
              </w:rPr>
            </w:pPr>
            <w:r w:rsidRPr="00147D0A">
              <w:rPr>
                <w:rFonts w:ascii="Arial Hebrew" w:hAnsi="Arial Hebrew" w:cs="Arial Hebrew" w:hint="cs"/>
                <w:sz w:val="17"/>
                <w:szCs w:val="17"/>
              </w:rPr>
              <w:t>Framework</w:t>
            </w:r>
            <w:r w:rsidR="0025505D" w:rsidRPr="00147D0A">
              <w:rPr>
                <w:rFonts w:ascii="Arial Hebrew" w:hAnsi="Arial Hebrew" w:cs="Arial Hebrew" w:hint="cs"/>
                <w:sz w:val="17"/>
                <w:szCs w:val="17"/>
              </w:rPr>
              <w:t xml:space="preserve"> component</w:t>
            </w:r>
          </w:p>
        </w:tc>
        <w:tc>
          <w:tcPr>
            <w:tcW w:w="2362" w:type="dxa"/>
            <w:tcBorders>
              <w:top w:val="single" w:sz="4" w:space="0" w:color="auto"/>
              <w:left w:val="nil"/>
              <w:bottom w:val="single" w:sz="4" w:space="0" w:color="auto"/>
              <w:right w:val="nil"/>
            </w:tcBorders>
          </w:tcPr>
          <w:p w14:paraId="6A7F2C3C" w14:textId="7B986429" w:rsidR="00AD0F82"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b/>
                <w:bCs/>
                <w:sz w:val="15"/>
                <w:szCs w:val="15"/>
              </w:rPr>
              <w:t>Institutions &amp; Governance Strength</w:t>
            </w:r>
            <w:r w:rsidRPr="00147D0A">
              <w:rPr>
                <w:rFonts w:ascii="Arial Hebrew" w:hAnsi="Arial Hebrew" w:cs="Arial Hebrew" w:hint="cs"/>
                <w:sz w:val="15"/>
                <w:szCs w:val="15"/>
              </w:rPr>
              <w:t xml:space="preserve"> </w:t>
            </w:r>
            <w:r w:rsidR="00AD0F82" w:rsidRPr="00147D0A">
              <w:rPr>
                <w:rFonts w:ascii="Arial Hebrew" w:hAnsi="Arial Hebrew" w:cs="Arial Hebrew" w:hint="cs"/>
                <w:sz w:val="15"/>
                <w:szCs w:val="15"/>
              </w:rPr>
              <w:t xml:space="preserve">scorecard </w:t>
            </w:r>
            <w:r w:rsidRPr="00147D0A">
              <w:rPr>
                <w:rFonts w:ascii="Arial Hebrew" w:hAnsi="Arial Hebrew" w:cs="Arial Hebrew" w:hint="cs"/>
                <w:sz w:val="15"/>
                <w:szCs w:val="15"/>
              </w:rPr>
              <w:t>factor</w:t>
            </w:r>
            <w:r w:rsidR="00AD0F82" w:rsidRPr="00147D0A">
              <w:rPr>
                <w:rFonts w:ascii="Arial Hebrew" w:hAnsi="Arial Hebrew" w:cs="Arial Hebrew" w:hint="cs"/>
                <w:sz w:val="15"/>
                <w:szCs w:val="15"/>
              </w:rPr>
              <w:t xml:space="preserve">; </w:t>
            </w:r>
          </w:p>
          <w:p w14:paraId="7252D4FF" w14:textId="03A149C0" w:rsidR="0025505D"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b/>
                <w:bCs/>
                <w:i/>
                <w:iCs/>
                <w:sz w:val="15"/>
                <w:szCs w:val="15"/>
              </w:rPr>
              <w:t>Poltical risk</w:t>
            </w:r>
            <w:r w:rsidRPr="00147D0A">
              <w:rPr>
                <w:rFonts w:ascii="Arial Hebrew" w:hAnsi="Arial Hebrew" w:cs="Arial Hebrew" w:hint="cs"/>
                <w:sz w:val="15"/>
                <w:szCs w:val="15"/>
              </w:rPr>
              <w:t xml:space="preserve"> </w:t>
            </w:r>
            <w:r w:rsidR="00AD0F82" w:rsidRPr="00147D0A">
              <w:rPr>
                <w:rFonts w:ascii="Arial Hebrew" w:hAnsi="Arial Hebrew" w:cs="Arial Hebrew" w:hint="cs"/>
                <w:sz w:val="15"/>
                <w:szCs w:val="15"/>
              </w:rPr>
              <w:t xml:space="preserve">scorecard </w:t>
            </w:r>
            <w:r w:rsidRPr="00147D0A">
              <w:rPr>
                <w:rFonts w:ascii="Arial Hebrew" w:hAnsi="Arial Hebrew" w:cs="Arial Hebrew" w:hint="cs"/>
                <w:sz w:val="15"/>
                <w:szCs w:val="15"/>
              </w:rPr>
              <w:t>sub-factor</w:t>
            </w:r>
          </w:p>
        </w:tc>
        <w:tc>
          <w:tcPr>
            <w:tcW w:w="2504" w:type="dxa"/>
            <w:tcBorders>
              <w:top w:val="single" w:sz="4" w:space="0" w:color="auto"/>
              <w:left w:val="nil"/>
              <w:bottom w:val="single" w:sz="4" w:space="0" w:color="auto"/>
              <w:right w:val="nil"/>
            </w:tcBorders>
          </w:tcPr>
          <w:p w14:paraId="23CBB220" w14:textId="4C3CC34B" w:rsidR="003121FD"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b/>
                <w:bCs/>
                <w:i/>
                <w:iCs/>
                <w:sz w:val="15"/>
                <w:szCs w:val="15"/>
              </w:rPr>
              <w:t>Institutional Assessment</w:t>
            </w:r>
            <w:r w:rsidRPr="00147D0A">
              <w:rPr>
                <w:rFonts w:ascii="Arial Hebrew" w:hAnsi="Arial Hebrew" w:cs="Arial Hebrew" w:hint="cs"/>
                <w:sz w:val="15"/>
                <w:szCs w:val="15"/>
              </w:rPr>
              <w:t xml:space="preserve"> </w:t>
            </w:r>
            <w:r w:rsidR="009E0501" w:rsidRPr="00147D0A">
              <w:rPr>
                <w:rFonts w:ascii="Arial Hebrew" w:hAnsi="Arial Hebrew" w:cs="Arial Hebrew" w:hint="cs"/>
                <w:sz w:val="15"/>
                <w:szCs w:val="15"/>
              </w:rPr>
              <w:t xml:space="preserve">factor </w:t>
            </w:r>
            <w:r w:rsidR="00563F8E" w:rsidRPr="00147D0A">
              <w:rPr>
                <w:rFonts w:ascii="Arial Hebrew" w:hAnsi="Arial Hebrew" w:cs="Arial Hebrew" w:hint="cs"/>
                <w:sz w:val="15"/>
                <w:szCs w:val="15"/>
              </w:rPr>
              <w:t xml:space="preserve">in </w:t>
            </w:r>
            <w:r w:rsidR="00563F8E" w:rsidRPr="00147D0A">
              <w:rPr>
                <w:rFonts w:ascii="Arial Hebrew" w:hAnsi="Arial Hebrew" w:cs="Arial Hebrew" w:hint="cs"/>
                <w:b/>
                <w:bCs/>
                <w:sz w:val="15"/>
                <w:szCs w:val="15"/>
              </w:rPr>
              <w:t>Institutional and Economic Profile</w:t>
            </w:r>
          </w:p>
        </w:tc>
        <w:tc>
          <w:tcPr>
            <w:tcW w:w="2505" w:type="dxa"/>
            <w:tcBorders>
              <w:top w:val="single" w:sz="4" w:space="0" w:color="auto"/>
              <w:left w:val="nil"/>
              <w:bottom w:val="single" w:sz="4" w:space="0" w:color="auto"/>
              <w:right w:val="nil"/>
            </w:tcBorders>
          </w:tcPr>
          <w:p w14:paraId="46BE45B7" w14:textId="49402B3C" w:rsidR="003121FD" w:rsidRPr="00147D0A" w:rsidRDefault="0025505D" w:rsidP="0025505D">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Composite Governance Indicator</w:t>
            </w:r>
            <w:r w:rsidR="00563F8E" w:rsidRPr="00147D0A">
              <w:rPr>
                <w:rFonts w:ascii="Arial Hebrew" w:hAnsi="Arial Hebrew" w:cs="Arial Hebrew" w:hint="cs"/>
                <w:sz w:val="15"/>
                <w:szCs w:val="15"/>
              </w:rPr>
              <w:t xml:space="preserve"> in </w:t>
            </w:r>
            <w:r w:rsidR="00563F8E" w:rsidRPr="00147D0A">
              <w:rPr>
                <w:rFonts w:ascii="Arial Hebrew" w:hAnsi="Arial Hebrew" w:cs="Arial Hebrew" w:hint="cs"/>
                <w:b/>
                <w:bCs/>
                <w:sz w:val="15"/>
                <w:szCs w:val="15"/>
              </w:rPr>
              <w:t>Structural Features</w:t>
            </w:r>
            <w:r w:rsidR="00563F8E" w:rsidRPr="00147D0A">
              <w:rPr>
                <w:rFonts w:ascii="Arial Hebrew" w:hAnsi="Arial Hebrew" w:cs="Arial Hebrew" w:hint="cs"/>
                <w:sz w:val="15"/>
                <w:szCs w:val="15"/>
              </w:rPr>
              <w:t xml:space="preserve"> factor</w:t>
            </w:r>
            <w:r w:rsidR="009E0501" w:rsidRPr="00147D0A">
              <w:rPr>
                <w:rFonts w:ascii="Arial Hebrew" w:hAnsi="Arial Hebrew" w:cs="Arial Hebrew" w:hint="cs"/>
                <w:sz w:val="15"/>
                <w:szCs w:val="15"/>
              </w:rPr>
              <w:t xml:space="preserve"> of </w:t>
            </w:r>
            <w:r w:rsidR="009E0501" w:rsidRPr="00147D0A">
              <w:rPr>
                <w:rFonts w:ascii="Arial Hebrew" w:hAnsi="Arial Hebrew" w:cs="Arial Hebrew" w:hint="cs"/>
                <w:b/>
                <w:bCs/>
                <w:sz w:val="15"/>
                <w:szCs w:val="15"/>
              </w:rPr>
              <w:t>Sovereign Rating Model</w:t>
            </w:r>
          </w:p>
        </w:tc>
      </w:tr>
      <w:tr w:rsidR="001003A1" w:rsidRPr="00147D0A" w14:paraId="5280525C" w14:textId="77777777" w:rsidTr="001003A1">
        <w:trPr>
          <w:trHeight w:val="227"/>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74F7997D" w14:textId="34C1DA3C" w:rsidR="001003A1" w:rsidRPr="00147D0A" w:rsidRDefault="007B1AE9" w:rsidP="001003A1">
            <w:pPr>
              <w:rPr>
                <w:rFonts w:ascii="Arial Hebrew" w:hAnsi="Arial Hebrew" w:cs="Arial Hebrew"/>
                <w:sz w:val="17"/>
                <w:szCs w:val="17"/>
              </w:rPr>
            </w:pPr>
            <w:r w:rsidRPr="00147D0A">
              <w:rPr>
                <w:rFonts w:ascii="Arial Hebrew" w:hAnsi="Arial Hebrew" w:cs="Arial Hebrew" w:hint="cs"/>
                <w:sz w:val="17"/>
                <w:szCs w:val="17"/>
              </w:rPr>
              <w:t xml:space="preserve">Direct </w:t>
            </w:r>
            <w:r w:rsidR="001003A1" w:rsidRPr="00147D0A">
              <w:rPr>
                <w:rFonts w:ascii="Arial Hebrew" w:hAnsi="Arial Hebrew" w:cs="Arial Hebrew" w:hint="cs"/>
                <w:sz w:val="17"/>
                <w:szCs w:val="17"/>
              </w:rPr>
              <w:t>Weighting</w:t>
            </w:r>
          </w:p>
        </w:tc>
        <w:tc>
          <w:tcPr>
            <w:tcW w:w="2362" w:type="dxa"/>
            <w:tcBorders>
              <w:top w:val="single" w:sz="4" w:space="0" w:color="auto"/>
              <w:left w:val="nil"/>
              <w:bottom w:val="single" w:sz="4" w:space="0" w:color="auto"/>
              <w:right w:val="nil"/>
            </w:tcBorders>
          </w:tcPr>
          <w:p w14:paraId="7E0CF0DE" w14:textId="77777777" w:rsidR="001003A1" w:rsidRPr="00147D0A" w:rsidRDefault="001003A1" w:rsidP="001003A1">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~20-30%</w:t>
            </w:r>
          </w:p>
          <w:p w14:paraId="0F51E92C" w14:textId="518160EB" w:rsidR="001003A1" w:rsidRPr="00147D0A" w:rsidRDefault="001003A1" w:rsidP="001003A1">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Varies due to dynamic weights</w:t>
            </w:r>
          </w:p>
        </w:tc>
        <w:tc>
          <w:tcPr>
            <w:tcW w:w="2504" w:type="dxa"/>
            <w:tcBorders>
              <w:top w:val="single" w:sz="4" w:space="0" w:color="auto"/>
              <w:left w:val="nil"/>
              <w:bottom w:val="single" w:sz="4" w:space="0" w:color="auto"/>
              <w:right w:val="nil"/>
            </w:tcBorders>
          </w:tcPr>
          <w:p w14:paraId="76908D14" w14:textId="77777777" w:rsidR="001003A1" w:rsidRPr="00147D0A" w:rsidRDefault="001003A1" w:rsidP="001003A1">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~25%</w:t>
            </w:r>
          </w:p>
          <w:p w14:paraId="26D9A20E" w14:textId="22812B5C" w:rsidR="001003A1" w:rsidRPr="00147D0A" w:rsidRDefault="001003A1" w:rsidP="001003A1">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Varies due to risk matrix</w:t>
            </w:r>
          </w:p>
        </w:tc>
        <w:tc>
          <w:tcPr>
            <w:tcW w:w="2505" w:type="dxa"/>
            <w:tcBorders>
              <w:top w:val="single" w:sz="4" w:space="0" w:color="auto"/>
              <w:left w:val="nil"/>
              <w:bottom w:val="single" w:sz="4" w:space="0" w:color="auto"/>
              <w:right w:val="nil"/>
            </w:tcBorders>
          </w:tcPr>
          <w:p w14:paraId="6B601839" w14:textId="77777777" w:rsidR="001003A1" w:rsidRPr="00147D0A" w:rsidRDefault="001003A1" w:rsidP="001003A1">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~22%</w:t>
            </w:r>
          </w:p>
          <w:p w14:paraId="32C5349E" w14:textId="53985E1C" w:rsidR="001003A1" w:rsidRPr="00147D0A" w:rsidRDefault="001003A1" w:rsidP="001003A1">
            <w:pPr>
              <w:spacing w:beforeLines="10" w:before="24" w:afterLines="10" w:after="24"/>
              <w:rPr>
                <w:rFonts w:ascii="Arial Hebrew" w:hAnsi="Arial Hebrew" w:cs="Arial Hebrew"/>
                <w:sz w:val="15"/>
                <w:szCs w:val="15"/>
              </w:rPr>
            </w:pPr>
            <w:r w:rsidRPr="00147D0A">
              <w:rPr>
                <w:rFonts w:ascii="Arial Hebrew" w:hAnsi="Arial Hebrew" w:cs="Arial Hebrew" w:hint="cs"/>
                <w:i/>
                <w:iCs/>
                <w:sz w:val="15"/>
                <w:szCs w:val="15"/>
              </w:rPr>
              <w:t>Varies due to Qualitative Overlay</w:t>
            </w:r>
            <w:r w:rsidR="00406118"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 xml:space="preserve"> </w:t>
            </w:r>
          </w:p>
        </w:tc>
      </w:tr>
      <w:tr w:rsidR="003121FD" w:rsidRPr="00147D0A" w14:paraId="0D239C67"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1FE47FC5" w14:textId="3AAAB278" w:rsidR="003121FD" w:rsidRPr="00147D0A" w:rsidRDefault="00822959" w:rsidP="001C5C2C">
            <w:pPr>
              <w:rPr>
                <w:rFonts w:ascii="Arial Hebrew" w:hAnsi="Arial Hebrew" w:cs="Arial Hebrew"/>
                <w:sz w:val="17"/>
                <w:szCs w:val="17"/>
              </w:rPr>
            </w:pPr>
            <w:r w:rsidRPr="00147D0A">
              <w:rPr>
                <w:rFonts w:ascii="Arial Hebrew" w:hAnsi="Arial Hebrew" w:cs="Arial Hebrew" w:hint="cs"/>
                <w:sz w:val="17"/>
                <w:szCs w:val="17"/>
              </w:rPr>
              <w:t>S</w:t>
            </w:r>
            <w:r w:rsidR="003121FD" w:rsidRPr="00147D0A">
              <w:rPr>
                <w:rFonts w:ascii="Arial Hebrew" w:hAnsi="Arial Hebrew" w:cs="Arial Hebrew" w:hint="cs"/>
                <w:sz w:val="17"/>
                <w:szCs w:val="17"/>
              </w:rPr>
              <w:t>ub-components</w:t>
            </w:r>
          </w:p>
        </w:tc>
        <w:tc>
          <w:tcPr>
            <w:tcW w:w="2362" w:type="dxa"/>
            <w:tcBorders>
              <w:top w:val="single" w:sz="4" w:space="0" w:color="auto"/>
              <w:left w:val="nil"/>
              <w:bottom w:val="single" w:sz="4" w:space="0" w:color="auto"/>
              <w:right w:val="nil"/>
            </w:tcBorders>
          </w:tcPr>
          <w:p w14:paraId="7207AB8E" w14:textId="58DCF798"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Legislative &amp; Executive Institutions (20%)</w:t>
            </w:r>
          </w:p>
          <w:p w14:paraId="2B4D570E" w14:textId="54A95075"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Civil Society &amp; Judiciary Strength (20%)</w:t>
            </w:r>
          </w:p>
          <w:p w14:paraId="5111804A" w14:textId="21590403"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Fiscal Policy Effectiveness (30%)</w:t>
            </w:r>
          </w:p>
          <w:p w14:paraId="2773664F" w14:textId="4E08B286" w:rsidR="0025505D" w:rsidRPr="00147D0A" w:rsidRDefault="00822959"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Monetary Policy Effectiveness (30%)</w:t>
            </w:r>
          </w:p>
          <w:p w14:paraId="08D7438B" w14:textId="62E46E04" w:rsidR="003121FD" w:rsidRPr="00147D0A" w:rsidRDefault="00822959" w:rsidP="00822959">
            <w:pPr>
              <w:spacing w:line="276" w:lineRule="auto"/>
              <w:rPr>
                <w:rFonts w:ascii="Arial Hebrew" w:hAnsi="Arial Hebrew" w:cs="Arial Hebrew"/>
                <w:i/>
                <w:iCs/>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Political Risk within Event Risk assessment</w:t>
            </w:r>
          </w:p>
        </w:tc>
        <w:tc>
          <w:tcPr>
            <w:tcW w:w="2504" w:type="dxa"/>
            <w:tcBorders>
              <w:top w:val="single" w:sz="4" w:space="0" w:color="auto"/>
              <w:left w:val="nil"/>
              <w:bottom w:val="single" w:sz="4" w:space="0" w:color="auto"/>
              <w:right w:val="nil"/>
            </w:tcBorders>
          </w:tcPr>
          <w:p w14:paraId="47A05DD5" w14:textId="1C53E721"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Policy effectiveness and predictability</w:t>
            </w:r>
          </w:p>
          <w:p w14:paraId="6E3C9170" w14:textId="1A3CB6B4"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Transparency and accountability</w:t>
            </w:r>
          </w:p>
          <w:p w14:paraId="24A46675" w14:textId="138A086B"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Debt payment culture</w:t>
            </w:r>
          </w:p>
          <w:p w14:paraId="51FB5837" w14:textId="6E702AE0" w:rsidR="0025505D" w:rsidRPr="00147D0A" w:rsidRDefault="007F7EA2" w:rsidP="0025505D">
            <w:pPr>
              <w:rPr>
                <w:rFonts w:ascii="Arial Hebrew" w:hAnsi="Arial Hebrew" w:cs="Arial Hebrew"/>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Security risks assessment</w:t>
            </w:r>
          </w:p>
          <w:p w14:paraId="7E6E471F" w14:textId="77777777" w:rsidR="00822959" w:rsidRPr="00147D0A" w:rsidRDefault="00822959" w:rsidP="0025505D">
            <w:pPr>
              <w:rPr>
                <w:rFonts w:ascii="Arial Hebrew" w:hAnsi="Arial Hebrew" w:cs="Arial Hebrew"/>
                <w:i/>
                <w:iCs/>
                <w:sz w:val="15"/>
                <w:szCs w:val="15"/>
              </w:rPr>
            </w:pPr>
          </w:p>
          <w:p w14:paraId="32741B49" w14:textId="6B38D5C8" w:rsidR="0025505D" w:rsidRPr="00147D0A" w:rsidRDefault="0025505D" w:rsidP="0025505D">
            <w:pPr>
              <w:rPr>
                <w:rFonts w:ascii="Arial Hebrew" w:hAnsi="Arial Hebrew" w:cs="Arial Hebrew"/>
                <w:i/>
                <w:iCs/>
                <w:sz w:val="15"/>
                <w:szCs w:val="15"/>
              </w:rPr>
            </w:pPr>
            <w:r w:rsidRPr="00147D0A">
              <w:rPr>
                <w:rFonts w:ascii="Arial Hebrew" w:hAnsi="Arial Hebrew" w:cs="Arial Hebrew" w:hint="cs"/>
                <w:i/>
                <w:iCs/>
                <w:sz w:val="15"/>
                <w:szCs w:val="15"/>
              </w:rPr>
              <w:t>Specific weights not publicly disclosed</w:t>
            </w:r>
          </w:p>
          <w:p w14:paraId="4ABC89F0" w14:textId="1643F34D" w:rsidR="003121FD" w:rsidRPr="00147D0A" w:rsidRDefault="003121FD" w:rsidP="003121FD">
            <w:pPr>
              <w:spacing w:beforeLines="10" w:before="24" w:afterLines="10" w:after="24"/>
              <w:rPr>
                <w:rFonts w:ascii="Arial Hebrew" w:hAnsi="Arial Hebrew" w:cs="Arial Hebrew"/>
                <w:i/>
                <w:iCs/>
                <w:sz w:val="15"/>
                <w:szCs w:val="15"/>
              </w:rPr>
            </w:pPr>
          </w:p>
        </w:tc>
        <w:tc>
          <w:tcPr>
            <w:tcW w:w="2505" w:type="dxa"/>
            <w:tcBorders>
              <w:top w:val="single" w:sz="4" w:space="0" w:color="auto"/>
              <w:left w:val="nil"/>
              <w:bottom w:val="single" w:sz="4" w:space="0" w:color="auto"/>
              <w:right w:val="nil"/>
            </w:tcBorders>
          </w:tcPr>
          <w:p w14:paraId="0EA06B50" w14:textId="06443D53" w:rsidR="0025505D" w:rsidRPr="00147D0A" w:rsidRDefault="0025505D" w:rsidP="0025505D">
            <w:pPr>
              <w:rPr>
                <w:rFonts w:ascii="Arial Hebrew" w:hAnsi="Arial Hebrew" w:cs="Arial Hebrew"/>
                <w:sz w:val="15"/>
                <w:szCs w:val="15"/>
              </w:rPr>
            </w:pPr>
            <w:r w:rsidRPr="00147D0A">
              <w:rPr>
                <w:rFonts w:ascii="Arial Hebrew" w:hAnsi="Arial Hebrew" w:cs="Arial Hebrew" w:hint="cs"/>
                <w:sz w:val="15"/>
                <w:szCs w:val="15"/>
              </w:rPr>
              <w:t>Single composite score incorporating:</w:t>
            </w:r>
          </w:p>
          <w:p w14:paraId="5C5D94D5" w14:textId="53A84CC2" w:rsidR="003121FD" w:rsidRPr="00147D0A" w:rsidRDefault="00822959" w:rsidP="0025505D">
            <w:pPr>
              <w:rPr>
                <w:rFonts w:ascii="Arial Hebrew" w:hAnsi="Arial Hebrew" w:cs="Arial Hebrew"/>
                <w:i/>
                <w:iCs/>
                <w:sz w:val="15"/>
                <w:szCs w:val="15"/>
              </w:rPr>
            </w:pP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Governance quality</w:t>
            </w:r>
            <w:r w:rsidR="0025505D" w:rsidRPr="00147D0A">
              <w:rPr>
                <w:rFonts w:ascii="Arial Hebrew" w:hAnsi="Arial Hebrew" w:cs="Arial Hebrew" w:hint="cs"/>
                <w:sz w:val="15"/>
                <w:szCs w:val="15"/>
              </w:rPr>
              <w:br/>
            </w: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Rule of law</w:t>
            </w:r>
            <w:r w:rsidR="0025505D" w:rsidRPr="00147D0A">
              <w:rPr>
                <w:rFonts w:ascii="Arial Hebrew" w:hAnsi="Arial Hebrew" w:cs="Arial Hebrew" w:hint="cs"/>
                <w:sz w:val="15"/>
                <w:szCs w:val="15"/>
              </w:rPr>
              <w:br/>
            </w: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Political stability</w:t>
            </w:r>
            <w:r w:rsidR="0025505D" w:rsidRPr="00147D0A">
              <w:rPr>
                <w:rFonts w:ascii="Arial Hebrew" w:hAnsi="Arial Hebrew" w:cs="Arial Hebrew" w:hint="cs"/>
                <w:sz w:val="15"/>
                <w:szCs w:val="15"/>
              </w:rPr>
              <w:br/>
            </w:r>
            <w:r w:rsidRPr="00147D0A">
              <w:rPr>
                <w:rFonts w:ascii="Arial Hebrew" w:hAnsi="Arial Hebrew" w:cs="Arial Hebrew" w:hint="cs"/>
                <w:sz w:val="15"/>
                <w:szCs w:val="15"/>
              </w:rPr>
              <w:t xml:space="preserve">- </w:t>
            </w:r>
            <w:r w:rsidR="0025505D" w:rsidRPr="00147D0A">
              <w:rPr>
                <w:rFonts w:ascii="Arial Hebrew" w:hAnsi="Arial Hebrew" w:cs="Arial Hebrew" w:hint="cs"/>
                <w:sz w:val="15"/>
                <w:szCs w:val="15"/>
              </w:rPr>
              <w:t>Corruption control</w:t>
            </w:r>
          </w:p>
        </w:tc>
      </w:tr>
      <w:tr w:rsidR="00822959" w:rsidRPr="00147D0A" w14:paraId="5B3ECFEA"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2A33D9E9" w14:textId="31E788B3" w:rsidR="00822959" w:rsidRPr="00147D0A" w:rsidRDefault="00822959" w:rsidP="001C5C2C">
            <w:pPr>
              <w:rPr>
                <w:rFonts w:ascii="Arial Hebrew" w:hAnsi="Arial Hebrew" w:cs="Arial Hebrew"/>
                <w:sz w:val="17"/>
                <w:szCs w:val="17"/>
              </w:rPr>
            </w:pPr>
            <w:r w:rsidRPr="00147D0A">
              <w:rPr>
                <w:rFonts w:ascii="Arial Hebrew" w:hAnsi="Arial Hebrew" w:cs="Arial Hebrew" w:hint="cs"/>
                <w:sz w:val="17"/>
                <w:szCs w:val="17"/>
              </w:rPr>
              <w:t xml:space="preserve">External data </w:t>
            </w:r>
            <w:r w:rsidR="001C5C2C" w:rsidRPr="00147D0A">
              <w:rPr>
                <w:rFonts w:ascii="Arial Hebrew" w:hAnsi="Arial Hebrew" w:cs="Arial Hebrew" w:hint="cs"/>
                <w:sz w:val="17"/>
                <w:szCs w:val="17"/>
              </w:rPr>
              <w:t>sources</w:t>
            </w:r>
          </w:p>
        </w:tc>
        <w:tc>
          <w:tcPr>
            <w:tcW w:w="2362" w:type="dxa"/>
            <w:tcBorders>
              <w:top w:val="single" w:sz="4" w:space="0" w:color="auto"/>
              <w:left w:val="nil"/>
              <w:bottom w:val="single" w:sz="4" w:space="0" w:color="auto"/>
              <w:right w:val="nil"/>
            </w:tcBorders>
          </w:tcPr>
          <w:p w14:paraId="3EAE28F5" w14:textId="577E3C68" w:rsidR="00822959" w:rsidRPr="00147D0A" w:rsidRDefault="00822959" w:rsidP="00822959">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World Bank Worldwide Governance Indicators (WGI)</w:t>
            </w:r>
            <w:r w:rsidR="007F7EA2" w:rsidRPr="00147D0A">
              <w:rPr>
                <w:rFonts w:ascii="Arial Hebrew" w:hAnsi="Arial Hebrew" w:cs="Arial Hebrew" w:hint="cs"/>
                <w:sz w:val="15"/>
                <w:szCs w:val="15"/>
              </w:rPr>
              <w:t xml:space="preserve"> and Country Policy &amp; Institutional Assessments</w:t>
            </w:r>
          </w:p>
          <w:p w14:paraId="3A661CAA" w14:textId="77777777" w:rsidR="00822959" w:rsidRPr="00147D0A" w:rsidRDefault="00822959" w:rsidP="00822959">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World Economic Forum Global Competitiveness Index</w:t>
            </w:r>
          </w:p>
          <w:p w14:paraId="4A643BE1" w14:textId="1E086C9A" w:rsidR="00822959" w:rsidRPr="00147D0A" w:rsidRDefault="00822959" w:rsidP="00822959">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xml:space="preserve">- IMF data adequacy assessments </w:t>
            </w:r>
          </w:p>
        </w:tc>
        <w:tc>
          <w:tcPr>
            <w:tcW w:w="2504" w:type="dxa"/>
            <w:tcBorders>
              <w:top w:val="single" w:sz="4" w:space="0" w:color="auto"/>
              <w:left w:val="nil"/>
              <w:bottom w:val="single" w:sz="4" w:space="0" w:color="auto"/>
              <w:right w:val="nil"/>
            </w:tcBorders>
          </w:tcPr>
          <w:p w14:paraId="08DFA352" w14:textId="615AFD08" w:rsidR="00822959" w:rsidRPr="00147D0A" w:rsidRDefault="00822959"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Specific indicators not publicly disclosed but documentation suggests similar sources to other agencies</w:t>
            </w:r>
          </w:p>
        </w:tc>
        <w:tc>
          <w:tcPr>
            <w:tcW w:w="2505" w:type="dxa"/>
            <w:tcBorders>
              <w:top w:val="single" w:sz="4" w:space="0" w:color="auto"/>
              <w:left w:val="nil"/>
              <w:bottom w:val="single" w:sz="4" w:space="0" w:color="auto"/>
              <w:right w:val="nil"/>
            </w:tcBorders>
          </w:tcPr>
          <w:p w14:paraId="6E80B8CF" w14:textId="1B8C3677" w:rsidR="00822959" w:rsidRPr="00147D0A" w:rsidRDefault="00822959"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sz w:val="15"/>
                <w:szCs w:val="15"/>
              </w:rPr>
              <w:t>Composite governance indicator</w:t>
            </w:r>
            <w:r w:rsidRPr="00147D0A">
              <w:rPr>
                <w:rFonts w:ascii="Arial Hebrew" w:hAnsi="Arial Hebrew" w:cs="Arial Hebrew" w:hint="cs"/>
                <w:i/>
                <w:iCs/>
                <w:sz w:val="15"/>
                <w:szCs w:val="15"/>
              </w:rPr>
              <w:t xml:space="preserve"> directly incorporates </w:t>
            </w:r>
            <w:r w:rsidR="002B5B31" w:rsidRPr="00147D0A">
              <w:rPr>
                <w:rFonts w:ascii="Arial Hebrew" w:hAnsi="Arial Hebrew" w:cs="Arial Hebrew" w:hint="cs"/>
                <w:i/>
                <w:iCs/>
                <w:sz w:val="15"/>
                <w:szCs w:val="15"/>
              </w:rPr>
              <w:t xml:space="preserve">simple average of six </w:t>
            </w:r>
            <w:r w:rsidRPr="00147D0A">
              <w:rPr>
                <w:rFonts w:ascii="Arial Hebrew" w:hAnsi="Arial Hebrew" w:cs="Arial Hebrew" w:hint="cs"/>
                <w:i/>
                <w:iCs/>
                <w:sz w:val="15"/>
                <w:szCs w:val="15"/>
              </w:rPr>
              <w:t>W</w:t>
            </w:r>
            <w:r w:rsidR="002B5B31" w:rsidRPr="00147D0A">
              <w:rPr>
                <w:rFonts w:ascii="Arial Hebrew" w:hAnsi="Arial Hebrew" w:cs="Arial Hebrew" w:hint="cs"/>
                <w:i/>
                <w:iCs/>
                <w:sz w:val="15"/>
                <w:szCs w:val="15"/>
              </w:rPr>
              <w:t>orld Bank WGI</w:t>
            </w:r>
            <w:r w:rsidRPr="00147D0A">
              <w:rPr>
                <w:rFonts w:ascii="Arial Hebrew" w:hAnsi="Arial Hebrew" w:cs="Arial Hebrew" w:hint="cs"/>
                <w:i/>
                <w:iCs/>
                <w:sz w:val="15"/>
                <w:szCs w:val="15"/>
              </w:rPr>
              <w:t xml:space="preserve"> scores </w:t>
            </w:r>
          </w:p>
        </w:tc>
      </w:tr>
      <w:tr w:rsidR="00822959" w:rsidRPr="00147D0A" w14:paraId="5CA8DA07" w14:textId="77777777" w:rsidTr="001003A1">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4B978A2C" w14:textId="3D08D710" w:rsidR="00822959" w:rsidRPr="00147D0A" w:rsidRDefault="00822959" w:rsidP="001C5C2C">
            <w:pPr>
              <w:rPr>
                <w:rFonts w:ascii="Arial Hebrew" w:hAnsi="Arial Hebrew" w:cs="Arial Hebrew"/>
                <w:sz w:val="17"/>
                <w:szCs w:val="17"/>
              </w:rPr>
            </w:pPr>
            <w:r w:rsidRPr="00147D0A">
              <w:rPr>
                <w:rFonts w:ascii="Arial Hebrew" w:hAnsi="Arial Hebrew" w:cs="Arial Hebrew" w:hint="cs"/>
                <w:sz w:val="17"/>
                <w:szCs w:val="17"/>
              </w:rPr>
              <w:t>Methodological features</w:t>
            </w:r>
          </w:p>
        </w:tc>
        <w:tc>
          <w:tcPr>
            <w:tcW w:w="2362" w:type="dxa"/>
            <w:tcBorders>
              <w:top w:val="single" w:sz="4" w:space="0" w:color="auto"/>
              <w:left w:val="nil"/>
              <w:bottom w:val="single" w:sz="4" w:space="0" w:color="auto"/>
              <w:right w:val="nil"/>
            </w:tcBorders>
          </w:tcPr>
          <w:p w14:paraId="0F9C9075" w14:textId="78A5AFDD"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Higher institutional strength weighting in Government Financial Assessment for wealthy sovereigns. Institutional weakness penalises multiple rating components.</w:t>
            </w:r>
          </w:p>
        </w:tc>
        <w:tc>
          <w:tcPr>
            <w:tcW w:w="2504" w:type="dxa"/>
            <w:tcBorders>
              <w:top w:val="single" w:sz="4" w:space="0" w:color="auto"/>
              <w:left w:val="nil"/>
              <w:bottom w:val="single" w:sz="4" w:space="0" w:color="auto"/>
              <w:right w:val="nil"/>
            </w:tcBorders>
          </w:tcPr>
          <w:p w14:paraId="045E9427" w14:textId="0C20A67B"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Combines institutional and economic profiles through </w:t>
            </w:r>
            <w:r w:rsidR="00AD0F82" w:rsidRPr="00147D0A">
              <w:rPr>
                <w:rFonts w:ascii="Arial Hebrew" w:hAnsi="Arial Hebrew" w:cs="Arial Hebrew" w:hint="cs"/>
                <w:i/>
                <w:iCs/>
                <w:sz w:val="15"/>
                <w:szCs w:val="15"/>
              </w:rPr>
              <w:t xml:space="preserve">risk </w:t>
            </w:r>
            <w:r w:rsidRPr="00147D0A">
              <w:rPr>
                <w:rFonts w:ascii="Arial Hebrew" w:hAnsi="Arial Hebrew" w:cs="Arial Hebrew" w:hint="cs"/>
                <w:i/>
                <w:iCs/>
                <w:sz w:val="15"/>
                <w:szCs w:val="15"/>
              </w:rPr>
              <w:t>matri</w:t>
            </w:r>
            <w:r w:rsidR="00AD0F82" w:rsidRPr="00147D0A">
              <w:rPr>
                <w:rFonts w:ascii="Arial Hebrew" w:hAnsi="Arial Hebrew" w:cs="Arial Hebrew" w:hint="cs"/>
                <w:i/>
                <w:iCs/>
                <w:sz w:val="15"/>
                <w:szCs w:val="15"/>
              </w:rPr>
              <w:t>ces</w:t>
            </w:r>
            <w:r w:rsidRPr="00147D0A">
              <w:rPr>
                <w:rFonts w:ascii="Arial Hebrew" w:hAnsi="Arial Hebrew" w:cs="Arial Hebrew" w:hint="cs"/>
                <w:i/>
                <w:iCs/>
                <w:sz w:val="15"/>
                <w:szCs w:val="15"/>
              </w:rPr>
              <w:t xml:space="preserve"> rather than weighted average</w:t>
            </w:r>
            <w:r w:rsidR="00AD0F82" w:rsidRPr="00147D0A">
              <w:rPr>
                <w:rFonts w:ascii="Arial Hebrew" w:hAnsi="Arial Hebrew" w:cs="Arial Hebrew" w:hint="cs"/>
                <w:i/>
                <w:iCs/>
                <w:sz w:val="15"/>
                <w:szCs w:val="15"/>
              </w:rPr>
              <w:t>s</w:t>
            </w:r>
            <w:r w:rsidRPr="00147D0A">
              <w:rPr>
                <w:rFonts w:ascii="Arial Hebrew" w:hAnsi="Arial Hebrew" w:cs="Arial Hebrew" w:hint="cs"/>
                <w:i/>
                <w:iCs/>
                <w:sz w:val="15"/>
                <w:szCs w:val="15"/>
              </w:rPr>
              <w:t xml:space="preserve">. </w:t>
            </w:r>
          </w:p>
        </w:tc>
        <w:tc>
          <w:tcPr>
            <w:tcW w:w="2505" w:type="dxa"/>
            <w:tcBorders>
              <w:top w:val="single" w:sz="4" w:space="0" w:color="auto"/>
              <w:left w:val="nil"/>
              <w:bottom w:val="single" w:sz="4" w:space="0" w:color="auto"/>
              <w:right w:val="nil"/>
            </w:tcBorders>
          </w:tcPr>
          <w:p w14:paraId="3B663FC2" w14:textId="3B4BE086"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Governance integrated into regression-based sovereign rating model using transparent governance factor</w:t>
            </w:r>
            <w:r w:rsidR="00AD0F82" w:rsidRPr="00147D0A">
              <w:rPr>
                <w:rFonts w:ascii="Arial Hebrew" w:hAnsi="Arial Hebrew" w:cs="Arial Hebrew" w:hint="cs"/>
                <w:i/>
                <w:iCs/>
                <w:sz w:val="15"/>
                <w:szCs w:val="15"/>
              </w:rPr>
              <w:t>,</w:t>
            </w:r>
            <w:r w:rsidRPr="00147D0A">
              <w:rPr>
                <w:rFonts w:ascii="Arial Hebrew" w:hAnsi="Arial Hebrew" w:cs="Arial Hebrew" w:hint="cs"/>
                <w:i/>
                <w:iCs/>
                <w:sz w:val="15"/>
                <w:szCs w:val="15"/>
              </w:rPr>
              <w:t xml:space="preserve"> directly incorporating </w:t>
            </w:r>
            <w:r w:rsidR="00AD0F82" w:rsidRPr="00147D0A">
              <w:rPr>
                <w:rFonts w:ascii="Arial Hebrew" w:hAnsi="Arial Hebrew" w:cs="Arial Hebrew" w:hint="cs"/>
                <w:i/>
                <w:iCs/>
                <w:sz w:val="15"/>
                <w:szCs w:val="15"/>
              </w:rPr>
              <w:t xml:space="preserve">simple average of four </w:t>
            </w:r>
            <w:r w:rsidRPr="00147D0A">
              <w:rPr>
                <w:rFonts w:ascii="Arial Hebrew" w:hAnsi="Arial Hebrew" w:cs="Arial Hebrew" w:hint="cs"/>
                <w:i/>
                <w:iCs/>
                <w:sz w:val="15"/>
                <w:szCs w:val="15"/>
              </w:rPr>
              <w:t>WGI</w:t>
            </w:r>
            <w:r w:rsidR="00AD0F82" w:rsidRPr="00147D0A">
              <w:rPr>
                <w:rFonts w:ascii="Arial Hebrew" w:hAnsi="Arial Hebrew" w:cs="Arial Hebrew" w:hint="cs"/>
                <w:i/>
                <w:iCs/>
                <w:sz w:val="15"/>
                <w:szCs w:val="15"/>
              </w:rPr>
              <w:t xml:space="preserve">s </w:t>
            </w:r>
          </w:p>
        </w:tc>
      </w:tr>
      <w:tr w:rsidR="00822959" w:rsidRPr="00147D0A" w14:paraId="5C4DD168" w14:textId="77777777" w:rsidTr="00ED548E">
        <w:trPr>
          <w:trHeight w:val="490"/>
        </w:trPr>
        <w:tc>
          <w:tcPr>
            <w:tcW w:w="1560" w:type="dxa"/>
            <w:tcBorders>
              <w:top w:val="single" w:sz="4" w:space="0" w:color="auto"/>
              <w:left w:val="nil"/>
              <w:bottom w:val="single" w:sz="4" w:space="0" w:color="auto"/>
              <w:right w:val="nil"/>
            </w:tcBorders>
            <w:shd w:val="clear" w:color="auto" w:fill="F2F2F2" w:themeFill="background1" w:themeFillShade="F2"/>
            <w:vAlign w:val="center"/>
          </w:tcPr>
          <w:p w14:paraId="2AF40065" w14:textId="3D279112" w:rsidR="00822959" w:rsidRPr="00147D0A" w:rsidRDefault="007F7EA2" w:rsidP="001C5C2C">
            <w:pPr>
              <w:rPr>
                <w:rFonts w:ascii="Arial Hebrew" w:hAnsi="Arial Hebrew" w:cs="Arial Hebrew"/>
                <w:sz w:val="17"/>
                <w:szCs w:val="17"/>
              </w:rPr>
            </w:pPr>
            <w:r w:rsidRPr="00147D0A">
              <w:rPr>
                <w:rFonts w:ascii="Arial Hebrew" w:hAnsi="Arial Hebrew" w:cs="Arial Hebrew" w:hint="cs"/>
                <w:sz w:val="17"/>
                <w:szCs w:val="17"/>
              </w:rPr>
              <w:t>Qualitative adjustment process</w:t>
            </w:r>
          </w:p>
        </w:tc>
        <w:tc>
          <w:tcPr>
            <w:tcW w:w="2362" w:type="dxa"/>
            <w:tcBorders>
              <w:top w:val="single" w:sz="4" w:space="0" w:color="auto"/>
              <w:left w:val="nil"/>
              <w:bottom w:val="single" w:sz="4" w:space="0" w:color="auto"/>
              <w:right w:val="nil"/>
            </w:tcBorders>
          </w:tcPr>
          <w:p w14:paraId="6DBFE1A1" w14:textId="75F33169"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Ratings committee can make qualitative adjustments to scorecard output based on institutional factors not captured in quantitative metrics</w:t>
            </w:r>
          </w:p>
        </w:tc>
        <w:tc>
          <w:tcPr>
            <w:tcW w:w="2504" w:type="dxa"/>
            <w:tcBorders>
              <w:top w:val="single" w:sz="4" w:space="0" w:color="auto"/>
              <w:left w:val="nil"/>
              <w:bottom w:val="single" w:sz="4" w:space="0" w:color="auto"/>
              <w:right w:val="nil"/>
            </w:tcBorders>
          </w:tcPr>
          <w:p w14:paraId="753FCD81" w14:textId="0D48A10F"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Institutional considerations can modify indicative rating level through supplemental factors</w:t>
            </w:r>
          </w:p>
        </w:tc>
        <w:tc>
          <w:tcPr>
            <w:tcW w:w="2505" w:type="dxa"/>
            <w:tcBorders>
              <w:top w:val="single" w:sz="4" w:space="0" w:color="auto"/>
              <w:left w:val="nil"/>
              <w:bottom w:val="single" w:sz="4" w:space="0" w:color="auto"/>
              <w:right w:val="nil"/>
            </w:tcBorders>
          </w:tcPr>
          <w:p w14:paraId="2BBBBCFC" w14:textId="368AEC19" w:rsidR="00822959" w:rsidRPr="00147D0A" w:rsidRDefault="001C5C2C" w:rsidP="00822959">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Forward-looking governance assessments, policy credibility, and institutional flexibility can adjust model-generated ratings</w:t>
            </w:r>
          </w:p>
        </w:tc>
      </w:tr>
      <w:tr w:rsidR="00ED548E" w:rsidRPr="00147D0A" w14:paraId="0F91E22C" w14:textId="77777777" w:rsidTr="001003A1">
        <w:trPr>
          <w:trHeight w:val="490"/>
        </w:trPr>
        <w:tc>
          <w:tcPr>
            <w:tcW w:w="1560" w:type="dxa"/>
            <w:tcBorders>
              <w:top w:val="single" w:sz="4" w:space="0" w:color="auto"/>
              <w:left w:val="nil"/>
              <w:bottom w:val="double" w:sz="4" w:space="0" w:color="auto"/>
              <w:right w:val="nil"/>
            </w:tcBorders>
            <w:shd w:val="clear" w:color="auto" w:fill="F2F2F2" w:themeFill="background1" w:themeFillShade="F2"/>
            <w:vAlign w:val="center"/>
          </w:tcPr>
          <w:p w14:paraId="309E91E1" w14:textId="24249B77" w:rsidR="00ED548E" w:rsidRPr="00147D0A" w:rsidRDefault="00ED548E" w:rsidP="00ED548E">
            <w:pPr>
              <w:rPr>
                <w:rFonts w:ascii="Arial Hebrew" w:hAnsi="Arial Hebrew" w:cs="Arial Hebrew"/>
                <w:sz w:val="17"/>
                <w:szCs w:val="17"/>
              </w:rPr>
            </w:pPr>
            <w:r w:rsidRPr="00147D0A">
              <w:rPr>
                <w:rFonts w:ascii="Arial Hebrew" w:hAnsi="Arial Hebrew" w:cs="Arial Hebrew" w:hint="cs"/>
                <w:sz w:val="17"/>
                <w:szCs w:val="17"/>
              </w:rPr>
              <w:t>Sub-sovereign treatment</w:t>
            </w:r>
          </w:p>
        </w:tc>
        <w:tc>
          <w:tcPr>
            <w:tcW w:w="2362" w:type="dxa"/>
            <w:tcBorders>
              <w:top w:val="single" w:sz="4" w:space="0" w:color="auto"/>
              <w:left w:val="nil"/>
              <w:bottom w:val="double" w:sz="4" w:space="0" w:color="auto"/>
              <w:right w:val="nil"/>
            </w:tcBorders>
          </w:tcPr>
          <w:p w14:paraId="41D8C5EA" w14:textId="77777777" w:rsidR="00ED548E" w:rsidRPr="00147D0A" w:rsidRDefault="00ED548E" w:rsidP="00ED548E">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Institutional Framework &amp; Governance (30% international, 20% US states, 10% US cities)</w:t>
            </w:r>
          </w:p>
          <w:p w14:paraId="342D7E05" w14:textId="77777777" w:rsidR="00ED548E" w:rsidRPr="00147D0A" w:rsidRDefault="00ED548E" w:rsidP="00ED548E">
            <w:pPr>
              <w:spacing w:beforeLines="10" w:before="24" w:afterLines="10" w:after="24"/>
              <w:rPr>
                <w:rFonts w:ascii="Arial Hebrew" w:hAnsi="Arial Hebrew" w:cs="Arial Hebrew"/>
                <w:sz w:val="15"/>
                <w:szCs w:val="15"/>
              </w:rPr>
            </w:pPr>
          </w:p>
          <w:p w14:paraId="4E4F2028" w14:textId="504861C1"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Macro Operating Assessment incorporates evaluation of institutional framework</w:t>
            </w:r>
          </w:p>
        </w:tc>
        <w:tc>
          <w:tcPr>
            <w:tcW w:w="2504" w:type="dxa"/>
            <w:tcBorders>
              <w:top w:val="single" w:sz="4" w:space="0" w:color="auto"/>
              <w:left w:val="nil"/>
              <w:bottom w:val="double" w:sz="4" w:space="0" w:color="auto"/>
              <w:right w:val="nil"/>
            </w:tcBorders>
          </w:tcPr>
          <w:p w14:paraId="03DAFE16" w14:textId="77777777" w:rsidR="00ED548E" w:rsidRPr="00147D0A" w:rsidRDefault="00ED548E" w:rsidP="00ED548E">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 xml:space="preserve">Institutional Framework Assessment (25%): </w:t>
            </w:r>
          </w:p>
          <w:p w14:paraId="035244B9" w14:textId="77777777"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Predictability;</w:t>
            </w:r>
          </w:p>
          <w:p w14:paraId="06231F90" w14:textId="77777777"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 Revenue/Expenditure Balance; </w:t>
            </w:r>
          </w:p>
          <w:p w14:paraId="4C9179F1" w14:textId="0C7E8D31" w:rsidR="00ED548E" w:rsidRPr="00147D0A" w:rsidRDefault="00ED548E"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Transparency &amp; Accountability</w:t>
            </w:r>
            <w:r w:rsidRPr="00147D0A">
              <w:rPr>
                <w:rFonts w:ascii="Arial Hebrew" w:hAnsi="Arial Hebrew" w:cs="Arial Hebrew" w:hint="cs"/>
                <w:sz w:val="15"/>
                <w:szCs w:val="15"/>
              </w:rPr>
              <w:t xml:space="preserve"> </w:t>
            </w:r>
          </w:p>
        </w:tc>
        <w:tc>
          <w:tcPr>
            <w:tcW w:w="2505" w:type="dxa"/>
            <w:tcBorders>
              <w:top w:val="single" w:sz="4" w:space="0" w:color="auto"/>
              <w:left w:val="nil"/>
              <w:bottom w:val="double" w:sz="4" w:space="0" w:color="auto"/>
              <w:right w:val="nil"/>
            </w:tcBorders>
          </w:tcPr>
          <w:p w14:paraId="6DFB4BE8" w14:textId="77777777" w:rsidR="00ED548E" w:rsidRPr="00147D0A" w:rsidRDefault="00ED548E" w:rsidP="00ED548E">
            <w:pPr>
              <w:spacing w:beforeLines="10" w:before="24" w:afterLines="10" w:after="24"/>
              <w:rPr>
                <w:rFonts w:ascii="Arial Hebrew" w:hAnsi="Arial Hebrew" w:cs="Arial Hebrew"/>
                <w:sz w:val="15"/>
                <w:szCs w:val="15"/>
              </w:rPr>
            </w:pPr>
            <w:r w:rsidRPr="00147D0A">
              <w:rPr>
                <w:rFonts w:ascii="Arial Hebrew" w:hAnsi="Arial Hebrew" w:cs="Arial Hebrew" w:hint="cs"/>
                <w:sz w:val="15"/>
                <w:szCs w:val="15"/>
              </w:rPr>
              <w:t>Risk Profile assessment</w:t>
            </w:r>
          </w:p>
          <w:p w14:paraId="5C9C004A" w14:textId="77777777" w:rsidR="00ED548E" w:rsidRPr="00147D0A" w:rsidRDefault="00ED548E" w:rsidP="00ED548E">
            <w:pPr>
              <w:spacing w:beforeLines="10" w:before="24" w:afterLines="10" w:after="24"/>
              <w:rPr>
                <w:rFonts w:ascii="Arial Hebrew" w:hAnsi="Arial Hebrew" w:cs="Arial Hebrew"/>
                <w:sz w:val="15"/>
                <w:szCs w:val="15"/>
              </w:rPr>
            </w:pPr>
          </w:p>
          <w:p w14:paraId="264D3E91" w14:textId="39834E51" w:rsidR="00ED548E" w:rsidRPr="00147D0A" w:rsidRDefault="0028676A"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Risk matrix approach used for non-U.S. sub-sovereigns. </w:t>
            </w:r>
            <w:r w:rsidR="00ED548E" w:rsidRPr="00147D0A">
              <w:rPr>
                <w:rFonts w:ascii="Arial Hebrew" w:hAnsi="Arial Hebrew" w:cs="Arial Hebrew" w:hint="cs"/>
                <w:i/>
                <w:iCs/>
                <w:sz w:val="15"/>
                <w:szCs w:val="15"/>
              </w:rPr>
              <w:t>Governance considerations integrated into revenue and expenditure adjustability factors</w:t>
            </w:r>
            <w:r w:rsidRPr="00147D0A">
              <w:rPr>
                <w:rFonts w:ascii="Arial Hebrew" w:hAnsi="Arial Hebrew" w:cs="Arial Hebrew" w:hint="cs"/>
                <w:i/>
                <w:iCs/>
                <w:sz w:val="15"/>
                <w:szCs w:val="15"/>
              </w:rPr>
              <w:t>.</w:t>
            </w:r>
          </w:p>
          <w:p w14:paraId="71CC3F20" w14:textId="1E3CB20A" w:rsidR="0028676A" w:rsidRPr="00147D0A" w:rsidRDefault="0028676A" w:rsidP="00ED548E">
            <w:pPr>
              <w:spacing w:beforeLines="10" w:before="24" w:afterLines="10" w:after="24"/>
              <w:rPr>
                <w:rFonts w:ascii="Arial Hebrew" w:hAnsi="Arial Hebrew" w:cs="Arial Hebrew"/>
                <w:i/>
                <w:iCs/>
                <w:sz w:val="15"/>
                <w:szCs w:val="15"/>
              </w:rPr>
            </w:pPr>
            <w:r w:rsidRPr="00147D0A">
              <w:rPr>
                <w:rFonts w:ascii="Arial Hebrew" w:hAnsi="Arial Hebrew" w:cs="Arial Hebrew" w:hint="cs"/>
                <w:i/>
                <w:iCs/>
                <w:sz w:val="15"/>
                <w:szCs w:val="15"/>
              </w:rPr>
              <w:t xml:space="preserve">Integrated into Operating Performance key rating driver </w:t>
            </w:r>
            <w:r w:rsidR="00D76AE8" w:rsidRPr="00147D0A">
              <w:rPr>
                <w:rFonts w:ascii="Arial Hebrew" w:hAnsi="Arial Hebrew" w:cs="Arial Hebrew" w:hint="cs"/>
                <w:i/>
                <w:iCs/>
                <w:sz w:val="15"/>
                <w:szCs w:val="15"/>
              </w:rPr>
              <w:t xml:space="preserve">/ LGRM factor </w:t>
            </w:r>
            <w:r w:rsidRPr="00147D0A">
              <w:rPr>
                <w:rFonts w:ascii="Arial Hebrew" w:hAnsi="Arial Hebrew" w:cs="Arial Hebrew" w:hint="cs"/>
                <w:i/>
                <w:iCs/>
                <w:sz w:val="15"/>
                <w:szCs w:val="15"/>
              </w:rPr>
              <w:t xml:space="preserve">for U.S. </w:t>
            </w:r>
            <w:r w:rsidR="00D76AE8" w:rsidRPr="00147D0A">
              <w:rPr>
                <w:rFonts w:ascii="Arial Hebrew" w:hAnsi="Arial Hebrew" w:cs="Arial Hebrew" w:hint="cs"/>
                <w:i/>
                <w:iCs/>
                <w:sz w:val="15"/>
                <w:szCs w:val="15"/>
              </w:rPr>
              <w:t xml:space="preserve">sub-sovereigns </w:t>
            </w:r>
          </w:p>
          <w:p w14:paraId="04000379" w14:textId="30A8F055" w:rsidR="002B5B31" w:rsidRPr="00147D0A" w:rsidRDefault="002B5B31" w:rsidP="00ED548E">
            <w:pPr>
              <w:spacing w:beforeLines="10" w:before="24" w:afterLines="10" w:after="24"/>
              <w:rPr>
                <w:rFonts w:ascii="Arial Hebrew" w:hAnsi="Arial Hebrew" w:cs="Arial Hebrew"/>
                <w:i/>
                <w:iCs/>
                <w:sz w:val="15"/>
                <w:szCs w:val="15"/>
              </w:rPr>
            </w:pPr>
          </w:p>
        </w:tc>
      </w:tr>
    </w:tbl>
    <w:p w14:paraId="5AFC80A6" w14:textId="262E43C8" w:rsidR="00774BF4" w:rsidRPr="00147D0A" w:rsidRDefault="00774BF4" w:rsidP="001C5C2C">
      <w:pPr>
        <w:pStyle w:val="Heading2"/>
        <w:spacing w:after="240"/>
        <w:rPr>
          <w:rFonts w:ascii="Arial Hebrew" w:hAnsi="Arial Hebrew" w:cs="Arial Hebrew"/>
          <w:sz w:val="22"/>
          <w:szCs w:val="22"/>
        </w:rPr>
      </w:pPr>
      <w:bookmarkStart w:id="13" w:name="_Toc199450891"/>
      <w:r w:rsidRPr="00147D0A">
        <w:rPr>
          <w:rFonts w:ascii="Arial Hebrew" w:hAnsi="Arial Hebrew" w:cs="Arial Hebrew" w:hint="cs"/>
          <w:sz w:val="22"/>
          <w:szCs w:val="22"/>
        </w:rPr>
        <w:lastRenderedPageBreak/>
        <w:t xml:space="preserve">Quantifying </w:t>
      </w:r>
      <w:r w:rsidR="00822959" w:rsidRPr="00147D0A">
        <w:rPr>
          <w:rFonts w:ascii="Arial Hebrew" w:hAnsi="Arial Hebrew" w:cs="Arial Hebrew" w:hint="cs"/>
          <w:sz w:val="22"/>
          <w:szCs w:val="22"/>
        </w:rPr>
        <w:t>Qualit</w:t>
      </w:r>
      <w:r w:rsidR="002F421F" w:rsidRPr="00147D0A">
        <w:rPr>
          <w:rFonts w:ascii="Arial Hebrew" w:hAnsi="Arial Hebrew" w:cs="Arial Hebrew" w:hint="cs"/>
          <w:sz w:val="22"/>
          <w:szCs w:val="22"/>
        </w:rPr>
        <w:t>ative Factors</w:t>
      </w:r>
      <w:bookmarkEnd w:id="13"/>
      <w:r w:rsidR="002F421F" w:rsidRPr="00147D0A">
        <w:rPr>
          <w:rFonts w:ascii="Arial Hebrew" w:hAnsi="Arial Hebrew" w:cs="Arial Hebrew" w:hint="cs"/>
          <w:sz w:val="22"/>
          <w:szCs w:val="22"/>
        </w:rPr>
        <w:t xml:space="preserve"> </w:t>
      </w:r>
    </w:p>
    <w:p w14:paraId="78CB971C" w14:textId="0DE72DE3" w:rsidR="002F421F" w:rsidRPr="00147D0A" w:rsidRDefault="007F7EA2" w:rsidP="00ED548E">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Scores for institutional and governance quality comprise weighted</w:t>
      </w:r>
      <w:r w:rsidR="00CF71EA" w:rsidRPr="00147D0A">
        <w:rPr>
          <w:rFonts w:ascii="Arial Hebrew" w:hAnsi="Arial Hebrew" w:cs="Arial Hebrew" w:hint="cs"/>
          <w:sz w:val="20"/>
          <w:szCs w:val="20"/>
        </w:rPr>
        <w:t xml:space="preserve"> (‘scorecard’)</w:t>
      </w:r>
      <w:r w:rsidRPr="00147D0A">
        <w:rPr>
          <w:rFonts w:ascii="Arial Hebrew" w:hAnsi="Arial Hebrew" w:cs="Arial Hebrew" w:hint="cs"/>
          <w:sz w:val="20"/>
          <w:szCs w:val="20"/>
        </w:rPr>
        <w:t xml:space="preserve"> components of all three agencies’ sovereign ratings frameworks</w:t>
      </w:r>
      <w:r w:rsidR="00423BA1" w:rsidRPr="00147D0A">
        <w:rPr>
          <w:rFonts w:ascii="Arial Hebrew" w:hAnsi="Arial Hebrew" w:cs="Arial Hebrew" w:hint="cs"/>
          <w:sz w:val="20"/>
          <w:szCs w:val="20"/>
        </w:rPr>
        <w:t>. These components</w:t>
      </w:r>
      <w:r w:rsidR="008A2AB3" w:rsidRPr="00147D0A">
        <w:rPr>
          <w:rFonts w:ascii="Arial Hebrew" w:hAnsi="Arial Hebrew" w:cs="Arial Hebrew" w:hint="cs"/>
          <w:sz w:val="20"/>
          <w:szCs w:val="20"/>
        </w:rPr>
        <w:t xml:space="preserve"> representing various intangible </w:t>
      </w:r>
      <w:r w:rsidR="000B73F8" w:rsidRPr="00147D0A">
        <w:rPr>
          <w:rFonts w:ascii="Arial Hebrew" w:hAnsi="Arial Hebrew" w:cs="Arial Hebrew" w:hint="cs"/>
          <w:sz w:val="20"/>
          <w:szCs w:val="20"/>
        </w:rPr>
        <w:t xml:space="preserve">factors </w:t>
      </w:r>
      <w:r w:rsidR="00423BA1" w:rsidRPr="00147D0A">
        <w:rPr>
          <w:rFonts w:ascii="Arial Hebrew" w:hAnsi="Arial Hebrew" w:cs="Arial Hebrew" w:hint="cs"/>
          <w:sz w:val="20"/>
          <w:szCs w:val="20"/>
        </w:rPr>
        <w:t xml:space="preserve">that are </w:t>
      </w:r>
      <w:r w:rsidR="000B73F8" w:rsidRPr="00147D0A">
        <w:rPr>
          <w:rFonts w:ascii="Arial Hebrew" w:hAnsi="Arial Hebrew" w:cs="Arial Hebrew" w:hint="cs"/>
          <w:sz w:val="20"/>
          <w:szCs w:val="20"/>
        </w:rPr>
        <w:t>taken to differentiate the creditworthiness of borrowers with similar economic and financial profiles</w:t>
      </w:r>
      <w:r w:rsidRPr="00147D0A">
        <w:rPr>
          <w:rFonts w:ascii="Arial Hebrew" w:hAnsi="Arial Hebrew" w:cs="Arial Hebrew" w:hint="cs"/>
          <w:sz w:val="20"/>
          <w:szCs w:val="20"/>
        </w:rPr>
        <w:t>. The</w:t>
      </w:r>
      <w:r w:rsidR="008F273C" w:rsidRPr="00147D0A">
        <w:rPr>
          <w:rFonts w:ascii="Arial Hebrew" w:hAnsi="Arial Hebrew" w:cs="Arial Hebrew" w:hint="cs"/>
          <w:sz w:val="20"/>
          <w:szCs w:val="20"/>
        </w:rPr>
        <w:t xml:space="preserve"> Moody's </w:t>
      </w:r>
      <w:r w:rsidRPr="00147D0A">
        <w:rPr>
          <w:rFonts w:ascii="Arial Hebrew" w:hAnsi="Arial Hebrew" w:cs="Arial Hebrew" w:hint="cs"/>
          <w:sz w:val="20"/>
          <w:szCs w:val="20"/>
        </w:rPr>
        <w:t>framework assigns</w:t>
      </w:r>
      <w:r w:rsidR="008F273C" w:rsidRPr="00147D0A">
        <w:rPr>
          <w:rFonts w:ascii="Arial Hebrew" w:hAnsi="Arial Hebrew" w:cs="Arial Hebrew" w:hint="cs"/>
          <w:sz w:val="20"/>
          <w:szCs w:val="20"/>
        </w:rPr>
        <w:t xml:space="preserve"> the </w:t>
      </w:r>
      <w:r w:rsidR="008F273C" w:rsidRPr="00147D0A">
        <w:rPr>
          <w:rFonts w:ascii="Arial Hebrew" w:hAnsi="Arial Hebrew" w:cs="Arial Hebrew" w:hint="cs"/>
          <w:b/>
          <w:bCs/>
          <w:sz w:val="20"/>
          <w:szCs w:val="20"/>
        </w:rPr>
        <w:t>Institutions &amp; Governance Strength</w:t>
      </w:r>
      <w:r w:rsidR="008F273C" w:rsidRPr="00147D0A">
        <w:rPr>
          <w:rFonts w:ascii="Arial Hebrew" w:hAnsi="Arial Hebrew" w:cs="Arial Hebrew" w:hint="cs"/>
          <w:sz w:val="20"/>
          <w:szCs w:val="20"/>
        </w:rPr>
        <w:t xml:space="preserve"> factor approximately 20-30% of the initial sovereign assessment</w:t>
      </w:r>
      <w:r w:rsidR="009353D7" w:rsidRPr="00147D0A">
        <w:rPr>
          <w:rFonts w:ascii="Arial Hebrew" w:hAnsi="Arial Hebrew" w:cs="Arial Hebrew" w:hint="cs"/>
          <w:sz w:val="20"/>
          <w:szCs w:val="20"/>
        </w:rPr>
        <w:t xml:space="preserve"> (varying due to dynamic </w:t>
      </w:r>
      <w:r w:rsidR="000B73F8" w:rsidRPr="00147D0A">
        <w:rPr>
          <w:rFonts w:ascii="Arial Hebrew" w:hAnsi="Arial Hebrew" w:cs="Arial Hebrew" w:hint="cs"/>
          <w:sz w:val="20"/>
          <w:szCs w:val="20"/>
        </w:rPr>
        <w:t xml:space="preserve">scorecard </w:t>
      </w:r>
      <w:r w:rsidR="009353D7" w:rsidRPr="00147D0A">
        <w:rPr>
          <w:rFonts w:ascii="Arial Hebrew" w:hAnsi="Arial Hebrew" w:cs="Arial Hebrew" w:hint="cs"/>
          <w:sz w:val="20"/>
          <w:szCs w:val="20"/>
        </w:rPr>
        <w:t>weights)</w:t>
      </w:r>
      <w:r w:rsidR="00CF71EA" w:rsidRPr="00147D0A">
        <w:rPr>
          <w:rFonts w:ascii="Arial Hebrew" w:hAnsi="Arial Hebrew" w:cs="Arial Hebrew" w:hint="cs"/>
          <w:sz w:val="20"/>
          <w:szCs w:val="20"/>
        </w:rPr>
        <w:t>, with</w:t>
      </w:r>
      <w:r w:rsidR="008F273C" w:rsidRPr="00147D0A">
        <w:rPr>
          <w:rFonts w:ascii="Arial Hebrew" w:hAnsi="Arial Hebrew" w:cs="Arial Hebrew" w:hint="cs"/>
          <w:sz w:val="20"/>
          <w:szCs w:val="20"/>
        </w:rPr>
        <w:t xml:space="preserve"> </w:t>
      </w:r>
      <w:r w:rsidR="00362B60" w:rsidRPr="00147D0A">
        <w:rPr>
          <w:rFonts w:ascii="Arial Hebrew" w:hAnsi="Arial Hebrew" w:cs="Arial Hebrew" w:hint="cs"/>
          <w:sz w:val="20"/>
          <w:szCs w:val="20"/>
        </w:rPr>
        <w:t xml:space="preserve">additional </w:t>
      </w:r>
      <w:r w:rsidR="008F273C" w:rsidRPr="00147D0A">
        <w:rPr>
          <w:rFonts w:ascii="Arial Hebrew" w:hAnsi="Arial Hebrew" w:cs="Arial Hebrew" w:hint="cs"/>
          <w:sz w:val="20"/>
          <w:szCs w:val="20"/>
        </w:rPr>
        <w:t xml:space="preserve">influence </w:t>
      </w:r>
      <w:r w:rsidR="00362B60" w:rsidRPr="00147D0A">
        <w:rPr>
          <w:rFonts w:ascii="Arial Hebrew" w:hAnsi="Arial Hebrew" w:cs="Arial Hebrew" w:hint="cs"/>
          <w:sz w:val="20"/>
          <w:szCs w:val="20"/>
        </w:rPr>
        <w:t>com</w:t>
      </w:r>
      <w:r w:rsidR="00CF71EA" w:rsidRPr="00147D0A">
        <w:rPr>
          <w:rFonts w:ascii="Arial Hebrew" w:hAnsi="Arial Hebrew" w:cs="Arial Hebrew" w:hint="cs"/>
          <w:sz w:val="20"/>
          <w:szCs w:val="20"/>
        </w:rPr>
        <w:t>ing</w:t>
      </w:r>
      <w:r w:rsidR="00362B60" w:rsidRPr="00147D0A">
        <w:rPr>
          <w:rFonts w:ascii="Arial Hebrew" w:hAnsi="Arial Hebrew" w:cs="Arial Hebrew" w:hint="cs"/>
          <w:sz w:val="20"/>
          <w:szCs w:val="20"/>
        </w:rPr>
        <w:t xml:space="preserve"> through</w:t>
      </w:r>
      <w:r w:rsidR="008F273C" w:rsidRPr="00147D0A">
        <w:rPr>
          <w:rFonts w:ascii="Arial Hebrew" w:hAnsi="Arial Hebrew" w:cs="Arial Hebrew" w:hint="cs"/>
          <w:sz w:val="20"/>
          <w:szCs w:val="20"/>
        </w:rPr>
        <w:t xml:space="preserve"> the </w:t>
      </w:r>
      <w:r w:rsidR="008F273C" w:rsidRPr="00147D0A">
        <w:rPr>
          <w:rFonts w:ascii="Arial Hebrew" w:hAnsi="Arial Hebrew" w:cs="Arial Hebrew" w:hint="cs"/>
          <w:b/>
          <w:bCs/>
          <w:i/>
          <w:iCs/>
          <w:sz w:val="20"/>
          <w:szCs w:val="20"/>
        </w:rPr>
        <w:t>Political Risk</w:t>
      </w:r>
      <w:r w:rsidR="008F273C" w:rsidRPr="00147D0A">
        <w:rPr>
          <w:rFonts w:ascii="Arial Hebrew" w:hAnsi="Arial Hebrew" w:cs="Arial Hebrew" w:hint="cs"/>
          <w:sz w:val="20"/>
          <w:szCs w:val="20"/>
        </w:rPr>
        <w:t xml:space="preserve"> </w:t>
      </w:r>
      <w:r w:rsidR="00362B60" w:rsidRPr="00147D0A">
        <w:rPr>
          <w:rFonts w:ascii="Arial Hebrew" w:hAnsi="Arial Hebrew" w:cs="Arial Hebrew" w:hint="cs"/>
          <w:sz w:val="20"/>
          <w:szCs w:val="20"/>
        </w:rPr>
        <w:t>sub-</w:t>
      </w:r>
      <w:r w:rsidR="008F273C" w:rsidRPr="00147D0A">
        <w:rPr>
          <w:rFonts w:ascii="Arial Hebrew" w:hAnsi="Arial Hebrew" w:cs="Arial Hebrew" w:hint="cs"/>
          <w:sz w:val="20"/>
          <w:szCs w:val="20"/>
        </w:rPr>
        <w:t>component</w:t>
      </w:r>
      <w:r w:rsidR="00362B60" w:rsidRPr="00147D0A">
        <w:rPr>
          <w:rFonts w:ascii="Arial Hebrew" w:hAnsi="Arial Hebrew" w:cs="Arial Hebrew" w:hint="cs"/>
          <w:sz w:val="20"/>
          <w:szCs w:val="20"/>
        </w:rPr>
        <w:t xml:space="preserve"> of the </w:t>
      </w:r>
      <w:r w:rsidR="00362B60" w:rsidRPr="00147D0A">
        <w:rPr>
          <w:rFonts w:ascii="Arial Hebrew" w:hAnsi="Arial Hebrew" w:cs="Arial Hebrew" w:hint="cs"/>
          <w:b/>
          <w:bCs/>
          <w:sz w:val="20"/>
          <w:szCs w:val="20"/>
        </w:rPr>
        <w:t xml:space="preserve">Susceptibility to Event Risk </w:t>
      </w:r>
      <w:r w:rsidR="00362B60" w:rsidRPr="00147D0A">
        <w:rPr>
          <w:rFonts w:ascii="Arial Hebrew" w:hAnsi="Arial Hebrew" w:cs="Arial Hebrew" w:hint="cs"/>
          <w:sz w:val="20"/>
          <w:szCs w:val="20"/>
        </w:rPr>
        <w:t>factor</w:t>
      </w:r>
      <w:r w:rsidR="008F273C" w:rsidRPr="00147D0A">
        <w:rPr>
          <w:rFonts w:ascii="Arial Hebrew" w:hAnsi="Arial Hebrew" w:cs="Arial Hebrew" w:hint="cs"/>
          <w:sz w:val="20"/>
          <w:szCs w:val="20"/>
        </w:rPr>
        <w:t xml:space="preserve">. S&amp;P's </w:t>
      </w:r>
      <w:r w:rsidR="008F273C" w:rsidRPr="00147D0A">
        <w:rPr>
          <w:rFonts w:ascii="Arial Hebrew" w:hAnsi="Arial Hebrew" w:cs="Arial Hebrew" w:hint="cs"/>
          <w:b/>
          <w:bCs/>
          <w:sz w:val="20"/>
          <w:szCs w:val="20"/>
        </w:rPr>
        <w:t>Institutional Assessment</w:t>
      </w:r>
      <w:r w:rsidR="008F273C" w:rsidRPr="00147D0A">
        <w:rPr>
          <w:rFonts w:ascii="Arial Hebrew" w:hAnsi="Arial Hebrew" w:cs="Arial Hebrew" w:hint="cs"/>
          <w:sz w:val="20"/>
          <w:szCs w:val="20"/>
        </w:rPr>
        <w:t xml:space="preserve"> effectively represents a</w:t>
      </w:r>
      <w:r w:rsidR="000B73F8" w:rsidRPr="00147D0A">
        <w:rPr>
          <w:rFonts w:ascii="Arial Hebrew" w:hAnsi="Arial Hebrew" w:cs="Arial Hebrew" w:hint="cs"/>
          <w:sz w:val="20"/>
          <w:szCs w:val="20"/>
        </w:rPr>
        <w:t>bout</w:t>
      </w:r>
      <w:r w:rsidR="008F273C" w:rsidRPr="00147D0A">
        <w:rPr>
          <w:rFonts w:ascii="Arial Hebrew" w:hAnsi="Arial Hebrew" w:cs="Arial Hebrew" w:hint="cs"/>
          <w:sz w:val="20"/>
          <w:szCs w:val="20"/>
        </w:rPr>
        <w:t xml:space="preserve"> 25% of the preliminary rating calculation,</w:t>
      </w:r>
      <w:r w:rsidR="00DD75F8" w:rsidRPr="00147D0A">
        <w:rPr>
          <w:rStyle w:val="FootnoteReference"/>
          <w:rFonts w:ascii="Arial Hebrew" w:hAnsi="Arial Hebrew" w:cs="Arial Hebrew" w:hint="cs"/>
          <w:sz w:val="20"/>
          <w:szCs w:val="20"/>
        </w:rPr>
        <w:footnoteReference w:id="11"/>
      </w:r>
      <w:r w:rsidR="008F273C" w:rsidRPr="00147D0A">
        <w:rPr>
          <w:rFonts w:ascii="Arial Hebrew" w:hAnsi="Arial Hebrew" w:cs="Arial Hebrew" w:hint="cs"/>
          <w:sz w:val="20"/>
          <w:szCs w:val="20"/>
        </w:rPr>
        <w:t xml:space="preserve"> while </w:t>
      </w:r>
      <w:r w:rsidR="00362B60" w:rsidRPr="00147D0A">
        <w:rPr>
          <w:rFonts w:ascii="Arial Hebrew" w:hAnsi="Arial Hebrew" w:cs="Arial Hebrew" w:hint="cs"/>
          <w:sz w:val="20"/>
          <w:szCs w:val="20"/>
        </w:rPr>
        <w:t>a</w:t>
      </w:r>
      <w:r w:rsidR="008F273C" w:rsidRPr="00147D0A">
        <w:rPr>
          <w:rFonts w:ascii="Arial Hebrew" w:hAnsi="Arial Hebrew" w:cs="Arial Hebrew" w:hint="cs"/>
          <w:sz w:val="20"/>
          <w:szCs w:val="20"/>
        </w:rPr>
        <w:t xml:space="preserve"> </w:t>
      </w:r>
      <w:r w:rsidR="008F273C" w:rsidRPr="00147D0A">
        <w:rPr>
          <w:rFonts w:ascii="Arial Hebrew" w:hAnsi="Arial Hebrew" w:cs="Arial Hebrew" w:hint="cs"/>
          <w:i/>
          <w:iCs/>
          <w:sz w:val="20"/>
          <w:szCs w:val="20"/>
        </w:rPr>
        <w:t>Composite Governance Indicator</w:t>
      </w:r>
      <w:r w:rsidR="008F273C" w:rsidRPr="00147D0A">
        <w:rPr>
          <w:rFonts w:ascii="Arial Hebrew" w:hAnsi="Arial Hebrew" w:cs="Arial Hebrew" w:hint="cs"/>
          <w:sz w:val="20"/>
          <w:szCs w:val="20"/>
        </w:rPr>
        <w:t xml:space="preserve"> is the single most significant feature in </w:t>
      </w:r>
      <w:r w:rsidR="00362B60" w:rsidRPr="00147D0A">
        <w:rPr>
          <w:rFonts w:ascii="Arial Hebrew" w:hAnsi="Arial Hebrew" w:cs="Arial Hebrew" w:hint="cs"/>
          <w:sz w:val="20"/>
          <w:szCs w:val="20"/>
        </w:rPr>
        <w:t>Fitch’s</w:t>
      </w:r>
      <w:r w:rsidR="008F273C" w:rsidRPr="00147D0A">
        <w:rPr>
          <w:rFonts w:ascii="Arial Hebrew" w:hAnsi="Arial Hebrew" w:cs="Arial Hebrew" w:hint="cs"/>
          <w:sz w:val="20"/>
          <w:szCs w:val="20"/>
        </w:rPr>
        <w:t xml:space="preserve"> </w:t>
      </w:r>
      <w:r w:rsidR="008F273C" w:rsidRPr="00147D0A">
        <w:rPr>
          <w:rFonts w:ascii="Arial Hebrew" w:hAnsi="Arial Hebrew" w:cs="Arial Hebrew" w:hint="cs"/>
          <w:b/>
          <w:bCs/>
          <w:sz w:val="20"/>
          <w:szCs w:val="20"/>
        </w:rPr>
        <w:t>Sovereign Rating Model</w:t>
      </w:r>
      <w:r w:rsidR="008F273C" w:rsidRPr="00147D0A">
        <w:rPr>
          <w:rFonts w:ascii="Arial Hebrew" w:hAnsi="Arial Hebrew" w:cs="Arial Hebrew" w:hint="cs"/>
          <w:sz w:val="20"/>
          <w:szCs w:val="20"/>
        </w:rPr>
        <w:t>. Institutional quality factors are also important sub-sovereign assessment components</w:t>
      </w:r>
      <w:r w:rsidR="00346C44" w:rsidRPr="00147D0A">
        <w:rPr>
          <w:rFonts w:ascii="Arial Hebrew" w:hAnsi="Arial Hebrew" w:cs="Arial Hebrew" w:hint="cs"/>
          <w:sz w:val="20"/>
          <w:szCs w:val="20"/>
        </w:rPr>
        <w:t>,</w:t>
      </w:r>
      <w:r w:rsidR="009353D7" w:rsidRPr="00147D0A">
        <w:rPr>
          <w:rFonts w:ascii="Arial Hebrew" w:hAnsi="Arial Hebrew" w:cs="Arial Hebrew" w:hint="cs"/>
          <w:sz w:val="20"/>
          <w:szCs w:val="20"/>
        </w:rPr>
        <w:t xml:space="preserve"> though</w:t>
      </w:r>
      <w:r w:rsidR="008F273C" w:rsidRPr="00147D0A">
        <w:rPr>
          <w:rFonts w:ascii="Arial Hebrew" w:hAnsi="Arial Hebrew" w:cs="Arial Hebrew" w:hint="cs"/>
          <w:sz w:val="20"/>
          <w:szCs w:val="20"/>
        </w:rPr>
        <w:t xml:space="preserve"> carry</w:t>
      </w:r>
      <w:r w:rsidR="009353D7" w:rsidRPr="00147D0A">
        <w:rPr>
          <w:rFonts w:ascii="Arial Hebrew" w:hAnsi="Arial Hebrew" w:cs="Arial Hebrew" w:hint="cs"/>
          <w:sz w:val="20"/>
          <w:szCs w:val="20"/>
        </w:rPr>
        <w:t>ing</w:t>
      </w:r>
      <w:r w:rsidR="008F273C" w:rsidRPr="00147D0A">
        <w:rPr>
          <w:rFonts w:ascii="Arial Hebrew" w:hAnsi="Arial Hebrew" w:cs="Arial Hebrew" w:hint="cs"/>
          <w:sz w:val="20"/>
          <w:szCs w:val="20"/>
        </w:rPr>
        <w:t xml:space="preserve"> lower explicit weights </w:t>
      </w:r>
      <w:r w:rsidR="00D76AE8" w:rsidRPr="00147D0A">
        <w:rPr>
          <w:rFonts w:ascii="Arial Hebrew" w:hAnsi="Arial Hebrew" w:cs="Arial Hebrew" w:hint="cs"/>
          <w:sz w:val="20"/>
          <w:szCs w:val="20"/>
        </w:rPr>
        <w:t>(</w:t>
      </w:r>
      <w:r w:rsidR="008F273C" w:rsidRPr="00147D0A">
        <w:rPr>
          <w:rFonts w:ascii="Arial Hebrew" w:hAnsi="Arial Hebrew" w:cs="Arial Hebrew" w:hint="cs"/>
          <w:sz w:val="20"/>
          <w:szCs w:val="20"/>
        </w:rPr>
        <w:t>around 10% to 30% depending on the jurisdiction and agency</w:t>
      </w:r>
      <w:r w:rsidR="00D76AE8" w:rsidRPr="00147D0A">
        <w:rPr>
          <w:rFonts w:ascii="Arial Hebrew" w:hAnsi="Arial Hebrew" w:cs="Arial Hebrew" w:hint="cs"/>
          <w:sz w:val="20"/>
          <w:szCs w:val="20"/>
        </w:rPr>
        <w:t>)</w:t>
      </w:r>
      <w:r w:rsidR="008F273C" w:rsidRPr="00147D0A">
        <w:rPr>
          <w:rFonts w:ascii="Arial Hebrew" w:hAnsi="Arial Hebrew" w:cs="Arial Hebrew" w:hint="cs"/>
          <w:sz w:val="20"/>
          <w:szCs w:val="20"/>
        </w:rPr>
        <w:t>.</w:t>
      </w:r>
      <w:r w:rsidRPr="00147D0A">
        <w:rPr>
          <w:rStyle w:val="FootnoteReference"/>
          <w:rFonts w:ascii="Arial Hebrew" w:hAnsi="Arial Hebrew" w:cs="Arial Hebrew" w:hint="cs"/>
          <w:sz w:val="20"/>
          <w:szCs w:val="20"/>
        </w:rPr>
        <w:footnoteReference w:id="12"/>
      </w:r>
      <w:r w:rsidR="008F273C" w:rsidRPr="00147D0A">
        <w:rPr>
          <w:rFonts w:ascii="Arial Hebrew" w:hAnsi="Arial Hebrew" w:cs="Arial Hebrew" w:hint="cs"/>
          <w:sz w:val="20"/>
          <w:szCs w:val="20"/>
        </w:rPr>
        <w:t xml:space="preserve"> In addition to the inclusion of institutional quality </w:t>
      </w:r>
      <w:r w:rsidR="003121FD" w:rsidRPr="00147D0A">
        <w:rPr>
          <w:rFonts w:ascii="Arial Hebrew" w:hAnsi="Arial Hebrew" w:cs="Arial Hebrew" w:hint="cs"/>
          <w:sz w:val="20"/>
          <w:szCs w:val="20"/>
        </w:rPr>
        <w:t xml:space="preserve">assessments </w:t>
      </w:r>
      <w:r w:rsidR="008F273C" w:rsidRPr="00147D0A">
        <w:rPr>
          <w:rFonts w:ascii="Arial Hebrew" w:hAnsi="Arial Hebrew" w:cs="Arial Hebrew" w:hint="cs"/>
          <w:sz w:val="20"/>
          <w:szCs w:val="20"/>
        </w:rPr>
        <w:t>as</w:t>
      </w:r>
      <w:r w:rsidR="003121FD" w:rsidRPr="00147D0A">
        <w:rPr>
          <w:rFonts w:ascii="Arial Hebrew" w:hAnsi="Arial Hebrew" w:cs="Arial Hebrew" w:hint="cs"/>
          <w:sz w:val="20"/>
          <w:szCs w:val="20"/>
        </w:rPr>
        <w:t xml:space="preserve"> primary</w:t>
      </w:r>
      <w:r w:rsidR="008F273C" w:rsidRPr="00147D0A">
        <w:rPr>
          <w:rFonts w:ascii="Arial Hebrew" w:hAnsi="Arial Hebrew" w:cs="Arial Hebrew" w:hint="cs"/>
          <w:sz w:val="20"/>
          <w:szCs w:val="20"/>
        </w:rPr>
        <w:t xml:space="preserve"> weighted components, all</w:t>
      </w:r>
      <w:r w:rsidR="003121FD" w:rsidRPr="00147D0A">
        <w:rPr>
          <w:rFonts w:ascii="Arial Hebrew" w:hAnsi="Arial Hebrew" w:cs="Arial Hebrew" w:hint="cs"/>
          <w:sz w:val="20"/>
          <w:szCs w:val="20"/>
        </w:rPr>
        <w:t xml:space="preserve"> ratings</w:t>
      </w:r>
      <w:r w:rsidR="008F273C" w:rsidRPr="00147D0A">
        <w:rPr>
          <w:rFonts w:ascii="Arial Hebrew" w:hAnsi="Arial Hebrew" w:cs="Arial Hebrew" w:hint="cs"/>
          <w:sz w:val="20"/>
          <w:szCs w:val="20"/>
        </w:rPr>
        <w:t xml:space="preserve"> frameworks </w:t>
      </w:r>
      <w:r w:rsidR="003121FD" w:rsidRPr="00147D0A">
        <w:rPr>
          <w:rFonts w:ascii="Arial Hebrew" w:hAnsi="Arial Hebrew" w:cs="Arial Hebrew" w:hint="cs"/>
          <w:sz w:val="20"/>
          <w:szCs w:val="20"/>
        </w:rPr>
        <w:t xml:space="preserve">allow </w:t>
      </w:r>
      <w:r w:rsidR="00AA7A42" w:rsidRPr="00147D0A">
        <w:rPr>
          <w:rFonts w:ascii="Arial Hebrew" w:hAnsi="Arial Hebrew" w:cs="Arial Hebrew" w:hint="cs"/>
          <w:sz w:val="20"/>
          <w:szCs w:val="20"/>
        </w:rPr>
        <w:t>the</w:t>
      </w:r>
      <w:r w:rsidR="00D76AE8" w:rsidRPr="00147D0A">
        <w:rPr>
          <w:rFonts w:ascii="Arial Hebrew" w:hAnsi="Arial Hebrew" w:cs="Arial Hebrew" w:hint="cs"/>
          <w:sz w:val="20"/>
          <w:szCs w:val="20"/>
        </w:rPr>
        <w:t>ir use in</w:t>
      </w:r>
      <w:r w:rsidR="008F273C" w:rsidRPr="00147D0A">
        <w:rPr>
          <w:rFonts w:ascii="Arial Hebrew" w:hAnsi="Arial Hebrew" w:cs="Arial Hebrew" w:hint="cs"/>
          <w:sz w:val="20"/>
          <w:szCs w:val="20"/>
        </w:rPr>
        <w:t xml:space="preserve"> </w:t>
      </w:r>
      <w:r w:rsidR="00362B60" w:rsidRPr="00147D0A">
        <w:rPr>
          <w:rFonts w:ascii="Arial Hebrew" w:hAnsi="Arial Hebrew" w:cs="Arial Hebrew" w:hint="cs"/>
          <w:sz w:val="20"/>
          <w:szCs w:val="20"/>
        </w:rPr>
        <w:t xml:space="preserve">discretionary </w:t>
      </w:r>
      <w:r w:rsidR="008F273C" w:rsidRPr="00147D0A">
        <w:rPr>
          <w:rFonts w:ascii="Arial Hebrew" w:hAnsi="Arial Hebrew" w:cs="Arial Hebrew" w:hint="cs"/>
          <w:sz w:val="20"/>
          <w:szCs w:val="20"/>
        </w:rPr>
        <w:t xml:space="preserve">adjustment factors to </w:t>
      </w:r>
      <w:r w:rsidR="003121FD" w:rsidRPr="00147D0A">
        <w:rPr>
          <w:rFonts w:ascii="Arial Hebrew" w:hAnsi="Arial Hebrew" w:cs="Arial Hebrew" w:hint="cs"/>
          <w:sz w:val="20"/>
          <w:szCs w:val="20"/>
        </w:rPr>
        <w:t>final ratings</w:t>
      </w:r>
      <w:r w:rsidR="008F273C" w:rsidRPr="00147D0A">
        <w:rPr>
          <w:rFonts w:ascii="Arial Hebrew" w:hAnsi="Arial Hebrew" w:cs="Arial Hebrew" w:hint="cs"/>
          <w:sz w:val="20"/>
          <w:szCs w:val="20"/>
        </w:rPr>
        <w:t xml:space="preserve">. </w:t>
      </w:r>
    </w:p>
    <w:p w14:paraId="187FB363" w14:textId="023EED6E" w:rsidR="000B73F8" w:rsidRPr="00147D0A" w:rsidRDefault="00010254"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A</w:t>
      </w:r>
      <w:r w:rsidR="006540FF" w:rsidRPr="00147D0A">
        <w:rPr>
          <w:rFonts w:ascii="Arial Hebrew" w:hAnsi="Arial Hebrew" w:cs="Arial Hebrew" w:hint="cs"/>
          <w:sz w:val="20"/>
          <w:szCs w:val="20"/>
        </w:rPr>
        <w:t>gencies cannot rely on primary</w:t>
      </w:r>
      <w:r w:rsidR="00B05A39" w:rsidRPr="00147D0A">
        <w:rPr>
          <w:rFonts w:ascii="Arial Hebrew" w:hAnsi="Arial Hebrew" w:cs="Arial Hebrew" w:hint="cs"/>
          <w:sz w:val="20"/>
          <w:szCs w:val="20"/>
        </w:rPr>
        <w:t xml:space="preserve"> </w:t>
      </w:r>
      <w:r w:rsidR="006540FF" w:rsidRPr="00147D0A">
        <w:rPr>
          <w:rFonts w:ascii="Arial Hebrew" w:hAnsi="Arial Hebrew" w:cs="Arial Hebrew" w:hint="cs"/>
          <w:sz w:val="20"/>
          <w:szCs w:val="20"/>
        </w:rPr>
        <w:t xml:space="preserve">data sources </w:t>
      </w:r>
      <w:r w:rsidR="00B05A39" w:rsidRPr="00147D0A">
        <w:rPr>
          <w:rFonts w:ascii="Arial Hebrew" w:hAnsi="Arial Hebrew" w:cs="Arial Hebrew" w:hint="cs"/>
          <w:sz w:val="20"/>
          <w:szCs w:val="20"/>
        </w:rPr>
        <w:t>to quantify</w:t>
      </w:r>
      <w:r w:rsidR="0029747B" w:rsidRPr="00147D0A">
        <w:rPr>
          <w:rFonts w:ascii="Arial Hebrew" w:hAnsi="Arial Hebrew" w:cs="Arial Hebrew" w:hint="cs"/>
          <w:sz w:val="20"/>
          <w:szCs w:val="20"/>
        </w:rPr>
        <w:t xml:space="preserve"> these</w:t>
      </w:r>
      <w:r w:rsidRPr="00147D0A">
        <w:rPr>
          <w:rFonts w:ascii="Arial Hebrew" w:hAnsi="Arial Hebrew" w:cs="Arial Hebrew" w:hint="cs"/>
          <w:sz w:val="20"/>
          <w:szCs w:val="20"/>
        </w:rPr>
        <w:t xml:space="preserve"> institutional qualities</w:t>
      </w:r>
      <w:r w:rsidR="006540FF" w:rsidRPr="00147D0A">
        <w:rPr>
          <w:rFonts w:ascii="Arial Hebrew" w:hAnsi="Arial Hebrew" w:cs="Arial Hebrew" w:hint="cs"/>
          <w:sz w:val="20"/>
          <w:szCs w:val="20"/>
        </w:rPr>
        <w:t xml:space="preserve"> in </w:t>
      </w:r>
      <w:r w:rsidR="00B05A39" w:rsidRPr="00147D0A">
        <w:rPr>
          <w:rFonts w:ascii="Arial Hebrew" w:hAnsi="Arial Hebrew" w:cs="Arial Hebrew" w:hint="cs"/>
          <w:sz w:val="20"/>
          <w:szCs w:val="20"/>
        </w:rPr>
        <w:t>their</w:t>
      </w:r>
      <w:r w:rsidR="006540FF" w:rsidRPr="00147D0A">
        <w:rPr>
          <w:rFonts w:ascii="Arial Hebrew" w:hAnsi="Arial Hebrew" w:cs="Arial Hebrew" w:hint="cs"/>
          <w:sz w:val="20"/>
          <w:szCs w:val="20"/>
        </w:rPr>
        <w:t xml:space="preserve"> </w:t>
      </w:r>
      <w:r w:rsidR="00B05A39" w:rsidRPr="00147D0A">
        <w:rPr>
          <w:rFonts w:ascii="Arial Hebrew" w:hAnsi="Arial Hebrew" w:cs="Arial Hebrew" w:hint="cs"/>
          <w:sz w:val="20"/>
          <w:szCs w:val="20"/>
        </w:rPr>
        <w:t xml:space="preserve">assessment </w:t>
      </w:r>
      <w:r w:rsidR="006540FF" w:rsidRPr="00147D0A">
        <w:rPr>
          <w:rFonts w:ascii="Arial Hebrew" w:hAnsi="Arial Hebrew" w:cs="Arial Hebrew" w:hint="cs"/>
          <w:sz w:val="20"/>
          <w:szCs w:val="20"/>
        </w:rPr>
        <w:t>framework</w:t>
      </w:r>
      <w:r w:rsidR="00B05A39" w:rsidRPr="00147D0A">
        <w:rPr>
          <w:rFonts w:ascii="Arial Hebrew" w:hAnsi="Arial Hebrew" w:cs="Arial Hebrew" w:hint="cs"/>
          <w:sz w:val="20"/>
          <w:szCs w:val="20"/>
        </w:rPr>
        <w:t>s</w:t>
      </w:r>
      <w:r w:rsidR="00D76AE8" w:rsidRPr="00147D0A">
        <w:rPr>
          <w:rFonts w:ascii="Arial Hebrew" w:hAnsi="Arial Hebrew" w:cs="Arial Hebrew" w:hint="cs"/>
          <w:sz w:val="20"/>
          <w:szCs w:val="20"/>
        </w:rPr>
        <w:t>. Instead they</w:t>
      </w:r>
      <w:r w:rsidR="007F7EA2" w:rsidRPr="00147D0A">
        <w:rPr>
          <w:rFonts w:ascii="Arial Hebrew" w:hAnsi="Arial Hebrew" w:cs="Arial Hebrew" w:hint="cs"/>
          <w:sz w:val="20"/>
          <w:szCs w:val="20"/>
        </w:rPr>
        <w:t xml:space="preserve"> </w:t>
      </w:r>
      <w:r w:rsidR="00D76AE8" w:rsidRPr="00147D0A">
        <w:rPr>
          <w:rFonts w:ascii="Arial Hebrew" w:hAnsi="Arial Hebrew" w:cs="Arial Hebrew" w:hint="cs"/>
          <w:sz w:val="20"/>
          <w:szCs w:val="20"/>
        </w:rPr>
        <w:t>rely</w:t>
      </w:r>
      <w:r w:rsidR="006540FF" w:rsidRPr="00147D0A">
        <w:rPr>
          <w:rFonts w:ascii="Arial Hebrew" w:hAnsi="Arial Hebrew" w:cs="Arial Hebrew" w:hint="cs"/>
          <w:sz w:val="20"/>
          <w:szCs w:val="20"/>
        </w:rPr>
        <w:t xml:space="preserve"> on</w:t>
      </w:r>
      <w:r w:rsidR="00FC7877" w:rsidRPr="00147D0A">
        <w:rPr>
          <w:rFonts w:ascii="Arial Hebrew" w:hAnsi="Arial Hebrew" w:cs="Arial Hebrew" w:hint="cs"/>
          <w:sz w:val="20"/>
          <w:szCs w:val="20"/>
        </w:rPr>
        <w:t xml:space="preserve"> external </w:t>
      </w:r>
      <w:r w:rsidR="00362B60" w:rsidRPr="00147D0A">
        <w:rPr>
          <w:rFonts w:ascii="Arial Hebrew" w:hAnsi="Arial Hebrew" w:cs="Arial Hebrew" w:hint="cs"/>
          <w:sz w:val="20"/>
          <w:szCs w:val="20"/>
        </w:rPr>
        <w:t>(</w:t>
      </w:r>
      <w:r w:rsidR="00AA7A42" w:rsidRPr="00147D0A">
        <w:rPr>
          <w:rFonts w:ascii="Arial Hebrew" w:hAnsi="Arial Hebrew" w:cs="Arial Hebrew" w:hint="cs"/>
          <w:sz w:val="20"/>
          <w:szCs w:val="20"/>
        </w:rPr>
        <w:t>‘</w:t>
      </w:r>
      <w:r w:rsidR="00362B60" w:rsidRPr="00147D0A">
        <w:rPr>
          <w:rFonts w:ascii="Arial Hebrew" w:hAnsi="Arial Hebrew" w:cs="Arial Hebrew" w:hint="cs"/>
          <w:sz w:val="20"/>
          <w:szCs w:val="20"/>
        </w:rPr>
        <w:t>secondary data</w:t>
      </w:r>
      <w:r w:rsidR="00AA7A42" w:rsidRPr="00147D0A">
        <w:rPr>
          <w:rFonts w:ascii="Arial Hebrew" w:hAnsi="Arial Hebrew" w:cs="Arial Hebrew" w:hint="cs"/>
          <w:sz w:val="20"/>
          <w:szCs w:val="20"/>
        </w:rPr>
        <w:t>’</w:t>
      </w:r>
      <w:r w:rsidR="00362B60" w:rsidRPr="00147D0A">
        <w:rPr>
          <w:rFonts w:ascii="Arial Hebrew" w:hAnsi="Arial Hebrew" w:cs="Arial Hebrew" w:hint="cs"/>
          <w:sz w:val="20"/>
          <w:szCs w:val="20"/>
        </w:rPr>
        <w:t xml:space="preserve">) </w:t>
      </w:r>
      <w:r w:rsidR="00FC7877" w:rsidRPr="00147D0A">
        <w:rPr>
          <w:rFonts w:ascii="Arial Hebrew" w:hAnsi="Arial Hebrew" w:cs="Arial Hebrew" w:hint="cs"/>
          <w:sz w:val="20"/>
          <w:szCs w:val="20"/>
        </w:rPr>
        <w:t xml:space="preserve">indicators, </w:t>
      </w:r>
      <w:r w:rsidR="00B05A39" w:rsidRPr="00147D0A">
        <w:rPr>
          <w:rFonts w:ascii="Arial Hebrew" w:hAnsi="Arial Hebrew" w:cs="Arial Hebrew" w:hint="cs"/>
          <w:sz w:val="20"/>
          <w:szCs w:val="20"/>
        </w:rPr>
        <w:t>primarily</w:t>
      </w:r>
      <w:r w:rsidR="00FC7877" w:rsidRPr="00147D0A">
        <w:rPr>
          <w:rFonts w:ascii="Arial Hebrew" w:hAnsi="Arial Hebrew" w:cs="Arial Hebrew" w:hint="cs"/>
          <w:sz w:val="20"/>
          <w:szCs w:val="20"/>
        </w:rPr>
        <w:t xml:space="preserve"> the World Bank</w:t>
      </w:r>
      <w:r w:rsidR="00FC7877" w:rsidRPr="00147D0A">
        <w:rPr>
          <w:rFonts w:ascii="Arial Hebrew" w:hAnsi="Arial Hebrew" w:cs="Arial Hebrew" w:hint="cs"/>
          <w:b/>
          <w:bCs/>
          <w:sz w:val="20"/>
          <w:szCs w:val="20"/>
        </w:rPr>
        <w:t xml:space="preserve"> Worldwide Governance Indicators </w:t>
      </w:r>
      <w:r w:rsidRPr="00147D0A">
        <w:rPr>
          <w:rFonts w:ascii="Arial Hebrew" w:hAnsi="Arial Hebrew" w:cs="Arial Hebrew" w:hint="cs"/>
          <w:b/>
          <w:bCs/>
          <w:sz w:val="20"/>
          <w:szCs w:val="20"/>
        </w:rPr>
        <w:t>(WGI)</w:t>
      </w:r>
      <w:r w:rsidR="007F7EA2" w:rsidRPr="00147D0A">
        <w:rPr>
          <w:rFonts w:ascii="Arial Hebrew" w:hAnsi="Arial Hebrew" w:cs="Arial Hebrew" w:hint="cs"/>
          <w:sz w:val="20"/>
          <w:szCs w:val="20"/>
        </w:rPr>
        <w:t>.</w:t>
      </w:r>
      <w:r w:rsidR="00362B60" w:rsidRPr="00147D0A">
        <w:rPr>
          <w:rStyle w:val="FootnoteReference"/>
          <w:rFonts w:ascii="Arial Hebrew" w:hAnsi="Arial Hebrew" w:cs="Arial Hebrew" w:hint="cs"/>
          <w:sz w:val="20"/>
          <w:szCs w:val="20"/>
        </w:rPr>
        <w:footnoteReference w:id="13"/>
      </w:r>
      <w:r w:rsidR="007F7EA2" w:rsidRPr="00147D0A">
        <w:rPr>
          <w:rFonts w:ascii="Arial Hebrew" w:hAnsi="Arial Hebrew" w:cs="Arial Hebrew" w:hint="cs"/>
          <w:sz w:val="20"/>
          <w:szCs w:val="20"/>
        </w:rPr>
        <w:t xml:space="preserve"> </w:t>
      </w:r>
      <w:r w:rsidR="00BD5EBC" w:rsidRPr="00147D0A">
        <w:rPr>
          <w:rFonts w:ascii="Arial Hebrew" w:hAnsi="Arial Hebrew" w:cs="Arial Hebrew" w:hint="cs"/>
          <w:sz w:val="20"/>
          <w:szCs w:val="20"/>
        </w:rPr>
        <w:t>Published annually since 1996, t</w:t>
      </w:r>
      <w:r w:rsidR="007F7EA2" w:rsidRPr="00147D0A">
        <w:rPr>
          <w:rFonts w:ascii="Arial Hebrew" w:hAnsi="Arial Hebrew" w:cs="Arial Hebrew" w:hint="cs"/>
          <w:sz w:val="20"/>
          <w:szCs w:val="20"/>
        </w:rPr>
        <w:t>hese</w:t>
      </w:r>
      <w:r w:rsidRPr="00147D0A">
        <w:rPr>
          <w:rFonts w:ascii="Arial Hebrew" w:hAnsi="Arial Hebrew" w:cs="Arial Hebrew" w:hint="cs"/>
          <w:sz w:val="20"/>
          <w:szCs w:val="20"/>
        </w:rPr>
        <w:t xml:space="preserve"> composite indices</w:t>
      </w:r>
      <w:r w:rsidR="003121FD" w:rsidRPr="00147D0A">
        <w:rPr>
          <w:rFonts w:ascii="Arial Hebrew" w:hAnsi="Arial Hebrew" w:cs="Arial Hebrew" w:hint="cs"/>
          <w:sz w:val="20"/>
          <w:szCs w:val="20"/>
        </w:rPr>
        <w:t xml:space="preserve"> </w:t>
      </w:r>
      <w:r w:rsidRPr="00147D0A">
        <w:rPr>
          <w:rFonts w:ascii="Arial Hebrew" w:hAnsi="Arial Hebrew" w:cs="Arial Hebrew" w:hint="cs"/>
          <w:sz w:val="20"/>
          <w:szCs w:val="20"/>
        </w:rPr>
        <w:t>measur</w:t>
      </w:r>
      <w:r w:rsidR="003121FD" w:rsidRPr="00147D0A">
        <w:rPr>
          <w:rFonts w:ascii="Arial Hebrew" w:hAnsi="Arial Hebrew" w:cs="Arial Hebrew" w:hint="cs"/>
          <w:sz w:val="20"/>
          <w:szCs w:val="20"/>
        </w:rPr>
        <w:t>e</w:t>
      </w:r>
      <w:r w:rsidRPr="00147D0A">
        <w:rPr>
          <w:rFonts w:ascii="Arial Hebrew" w:hAnsi="Arial Hebrew" w:cs="Arial Hebrew" w:hint="cs"/>
          <w:sz w:val="20"/>
          <w:szCs w:val="20"/>
        </w:rPr>
        <w:t xml:space="preserve"> </w:t>
      </w:r>
      <w:r w:rsidR="00AA7A42" w:rsidRPr="00147D0A">
        <w:rPr>
          <w:rFonts w:ascii="Arial Hebrew" w:hAnsi="Arial Hebrew" w:cs="Arial Hebrew" w:hint="cs"/>
          <w:sz w:val="20"/>
          <w:szCs w:val="20"/>
        </w:rPr>
        <w:t xml:space="preserve">six </w:t>
      </w:r>
      <w:r w:rsidRPr="00147D0A">
        <w:rPr>
          <w:rFonts w:ascii="Arial Hebrew" w:hAnsi="Arial Hebrew" w:cs="Arial Hebrew" w:hint="cs"/>
          <w:sz w:val="20"/>
          <w:szCs w:val="20"/>
        </w:rPr>
        <w:t>broad dimensions of governance</w:t>
      </w:r>
      <w:r w:rsidR="00F75426" w:rsidRPr="00147D0A">
        <w:rPr>
          <w:rFonts w:ascii="Arial Hebrew" w:hAnsi="Arial Hebrew" w:cs="Arial Hebrew" w:hint="cs"/>
          <w:sz w:val="20"/>
          <w:szCs w:val="20"/>
        </w:rPr>
        <w:t xml:space="preserve"> for over 200 countries:</w:t>
      </w:r>
      <w:r w:rsidR="00BD5EBC" w:rsidRPr="00147D0A">
        <w:rPr>
          <w:rFonts w:ascii="Arial Hebrew" w:hAnsi="Arial Hebrew" w:cs="Arial Hebrew" w:hint="cs"/>
          <w:sz w:val="20"/>
          <w:szCs w:val="20"/>
        </w:rPr>
        <w:t xml:space="preserve"> </w:t>
      </w:r>
      <w:r w:rsidR="00BD5EBC" w:rsidRPr="00147D0A">
        <w:rPr>
          <w:rFonts w:ascii="Arial Hebrew" w:hAnsi="Arial Hebrew" w:cs="Arial Hebrew" w:hint="cs"/>
          <w:i/>
          <w:iCs/>
          <w:color w:val="000000" w:themeColor="text1"/>
          <w:sz w:val="20"/>
          <w:szCs w:val="20"/>
        </w:rPr>
        <w:t>Rule of Law,</w:t>
      </w:r>
      <w:r w:rsidR="00BD5EBC" w:rsidRPr="00147D0A">
        <w:rPr>
          <w:rFonts w:ascii="Arial Hebrew" w:hAnsi="Arial Hebrew" w:cs="Arial Hebrew" w:hint="cs"/>
          <w:color w:val="000000" w:themeColor="text1"/>
          <w:sz w:val="20"/>
          <w:szCs w:val="20"/>
        </w:rPr>
        <w:t xml:space="preserve"> </w:t>
      </w:r>
      <w:r w:rsidR="00BD5EBC" w:rsidRPr="00147D0A">
        <w:rPr>
          <w:rFonts w:ascii="Arial Hebrew" w:hAnsi="Arial Hebrew" w:cs="Arial Hebrew" w:hint="cs"/>
          <w:i/>
          <w:iCs/>
          <w:color w:val="000000" w:themeColor="text1"/>
          <w:sz w:val="20"/>
          <w:szCs w:val="20"/>
        </w:rPr>
        <w:t>Control of Corruption, Government Effectiveness</w:t>
      </w:r>
      <w:r w:rsidR="00BD5EBC" w:rsidRPr="00147D0A">
        <w:rPr>
          <w:rFonts w:ascii="Arial Hebrew" w:hAnsi="Arial Hebrew" w:cs="Arial Hebrew" w:hint="cs"/>
          <w:color w:val="000000" w:themeColor="text1"/>
          <w:sz w:val="20"/>
          <w:szCs w:val="20"/>
        </w:rPr>
        <w:t xml:space="preserve">, </w:t>
      </w:r>
      <w:r w:rsidR="00BD5EBC" w:rsidRPr="00147D0A">
        <w:rPr>
          <w:rFonts w:ascii="Arial Hebrew" w:hAnsi="Arial Hebrew" w:cs="Arial Hebrew" w:hint="cs"/>
          <w:i/>
          <w:iCs/>
          <w:color w:val="000000" w:themeColor="text1"/>
          <w:sz w:val="20"/>
          <w:szCs w:val="20"/>
        </w:rPr>
        <w:t>Political Stability &amp; Absence of Violence/Terrorism</w:t>
      </w:r>
      <w:r w:rsidR="00BD5EBC" w:rsidRPr="00147D0A">
        <w:rPr>
          <w:rFonts w:ascii="Arial Hebrew" w:hAnsi="Arial Hebrew" w:cs="Arial Hebrew" w:hint="cs"/>
          <w:color w:val="000000" w:themeColor="text1"/>
          <w:sz w:val="20"/>
          <w:szCs w:val="20"/>
        </w:rPr>
        <w:t xml:space="preserve">, </w:t>
      </w:r>
      <w:r w:rsidR="00BD5EBC" w:rsidRPr="00147D0A">
        <w:rPr>
          <w:rFonts w:ascii="Arial Hebrew" w:hAnsi="Arial Hebrew" w:cs="Arial Hebrew" w:hint="cs"/>
          <w:i/>
          <w:iCs/>
          <w:color w:val="000000" w:themeColor="text1"/>
          <w:sz w:val="20"/>
          <w:szCs w:val="20"/>
        </w:rPr>
        <w:t xml:space="preserve">Voice &amp; Accountability, </w:t>
      </w:r>
      <w:r w:rsidR="00BD5EBC" w:rsidRPr="00147D0A">
        <w:rPr>
          <w:rFonts w:ascii="Arial Hebrew" w:hAnsi="Arial Hebrew" w:cs="Arial Hebrew" w:hint="cs"/>
          <w:color w:val="000000" w:themeColor="text1"/>
          <w:sz w:val="20"/>
          <w:szCs w:val="20"/>
        </w:rPr>
        <w:t>and</w:t>
      </w:r>
      <w:r w:rsidR="00BD5EBC" w:rsidRPr="00147D0A">
        <w:rPr>
          <w:rFonts w:ascii="Arial Hebrew" w:hAnsi="Arial Hebrew" w:cs="Arial Hebrew" w:hint="cs"/>
          <w:i/>
          <w:iCs/>
          <w:color w:val="000000" w:themeColor="text1"/>
          <w:sz w:val="20"/>
          <w:szCs w:val="20"/>
        </w:rPr>
        <w:t xml:space="preserve"> Regulatory Quality</w:t>
      </w:r>
      <w:r w:rsidR="007F7EA2" w:rsidRPr="00147D0A">
        <w:rPr>
          <w:rFonts w:ascii="Arial Hebrew" w:hAnsi="Arial Hebrew" w:cs="Arial Hebrew" w:hint="cs"/>
          <w:sz w:val="20"/>
          <w:szCs w:val="20"/>
        </w:rPr>
        <w:t>.</w:t>
      </w:r>
      <w:r w:rsidR="000906E4" w:rsidRPr="00147D0A">
        <w:rPr>
          <w:rStyle w:val="FootnoteReference"/>
          <w:rFonts w:ascii="Arial Hebrew" w:hAnsi="Arial Hebrew" w:cs="Arial Hebrew" w:hint="cs"/>
          <w:sz w:val="20"/>
          <w:szCs w:val="20"/>
        </w:rPr>
        <w:footnoteReference w:id="14"/>
      </w:r>
      <w:r w:rsidR="006E5737" w:rsidRPr="00147D0A">
        <w:rPr>
          <w:rFonts w:ascii="Arial Hebrew" w:hAnsi="Arial Hebrew" w:cs="Arial Hebrew" w:hint="cs"/>
          <w:sz w:val="20"/>
          <w:szCs w:val="20"/>
        </w:rPr>
        <w:t xml:space="preserve"> </w:t>
      </w:r>
      <w:r w:rsidR="007F7EA2" w:rsidRPr="00147D0A">
        <w:rPr>
          <w:rFonts w:ascii="Arial Hebrew" w:hAnsi="Arial Hebrew" w:cs="Arial Hebrew" w:hint="cs"/>
          <w:sz w:val="20"/>
          <w:szCs w:val="20"/>
        </w:rPr>
        <w:t>T</w:t>
      </w:r>
      <w:r w:rsidR="006E5737" w:rsidRPr="00147D0A">
        <w:rPr>
          <w:rFonts w:ascii="Arial Hebrew" w:hAnsi="Arial Hebrew" w:cs="Arial Hebrew" w:hint="cs"/>
          <w:sz w:val="20"/>
          <w:szCs w:val="20"/>
        </w:rPr>
        <w:t>he</w:t>
      </w:r>
      <w:r w:rsidR="008A500F" w:rsidRPr="00147D0A">
        <w:rPr>
          <w:rFonts w:ascii="Arial Hebrew" w:hAnsi="Arial Hebrew" w:cs="Arial Hebrew" w:hint="cs"/>
          <w:sz w:val="20"/>
          <w:szCs w:val="20"/>
        </w:rPr>
        <w:t xml:space="preserve"> </w:t>
      </w:r>
      <w:r w:rsidR="007F7EA2" w:rsidRPr="00147D0A">
        <w:rPr>
          <w:rFonts w:ascii="Arial Hebrew" w:hAnsi="Arial Hebrew" w:cs="Arial Hebrew" w:hint="cs"/>
          <w:sz w:val="20"/>
          <w:szCs w:val="20"/>
        </w:rPr>
        <w:t>WGI</w:t>
      </w:r>
      <w:r w:rsidR="00BD5EBC" w:rsidRPr="00147D0A">
        <w:rPr>
          <w:rFonts w:ascii="Arial Hebrew" w:hAnsi="Arial Hebrew" w:cs="Arial Hebrew" w:hint="cs"/>
          <w:sz w:val="20"/>
          <w:szCs w:val="20"/>
        </w:rPr>
        <w:t>s</w:t>
      </w:r>
      <w:r w:rsidR="006E5737" w:rsidRPr="00147D0A">
        <w:rPr>
          <w:rFonts w:ascii="Arial Hebrew" w:hAnsi="Arial Hebrew" w:cs="Arial Hebrew" w:hint="cs"/>
          <w:sz w:val="20"/>
          <w:szCs w:val="20"/>
        </w:rPr>
        <w:t xml:space="preserve"> </w:t>
      </w:r>
      <w:r w:rsidR="008A500F" w:rsidRPr="00147D0A">
        <w:rPr>
          <w:rFonts w:ascii="Arial Hebrew" w:hAnsi="Arial Hebrew" w:cs="Arial Hebrew" w:hint="cs"/>
          <w:sz w:val="20"/>
          <w:szCs w:val="20"/>
        </w:rPr>
        <w:t xml:space="preserve">aggregate information from around 35 existing third-party </w:t>
      </w:r>
      <w:r w:rsidR="000B73F8" w:rsidRPr="00147D0A">
        <w:rPr>
          <w:rFonts w:ascii="Arial Hebrew" w:hAnsi="Arial Hebrew" w:cs="Arial Hebrew" w:hint="cs"/>
          <w:sz w:val="20"/>
          <w:szCs w:val="20"/>
        </w:rPr>
        <w:t xml:space="preserve">(public- and private-sector) </w:t>
      </w:r>
      <w:r w:rsidR="008A500F" w:rsidRPr="00147D0A">
        <w:rPr>
          <w:rFonts w:ascii="Arial Hebrew" w:hAnsi="Arial Hebrew" w:cs="Arial Hebrew" w:hint="cs"/>
          <w:sz w:val="20"/>
          <w:szCs w:val="20"/>
        </w:rPr>
        <w:t>sources</w:t>
      </w:r>
      <w:r w:rsidR="00465D36" w:rsidRPr="00147D0A">
        <w:rPr>
          <w:rFonts w:ascii="Arial Hebrew" w:hAnsi="Arial Hebrew" w:cs="Arial Hebrew" w:hint="cs"/>
          <w:sz w:val="20"/>
          <w:szCs w:val="20"/>
        </w:rPr>
        <w:t>,</w:t>
      </w:r>
      <w:r w:rsidR="008A500F" w:rsidRPr="00147D0A">
        <w:rPr>
          <w:rFonts w:ascii="Arial Hebrew" w:hAnsi="Arial Hebrew" w:cs="Arial Hebrew" w:hint="cs"/>
          <w:sz w:val="20"/>
          <w:szCs w:val="20"/>
        </w:rPr>
        <w:t xml:space="preserve"> </w:t>
      </w:r>
      <w:r w:rsidR="00465D36" w:rsidRPr="00147D0A">
        <w:rPr>
          <w:rFonts w:ascii="Arial Hebrew" w:hAnsi="Arial Hebrew" w:cs="Arial Hebrew" w:hint="cs"/>
          <w:sz w:val="20"/>
          <w:szCs w:val="20"/>
        </w:rPr>
        <w:t>including</w:t>
      </w:r>
      <w:r w:rsidR="008A500F" w:rsidRPr="00147D0A">
        <w:rPr>
          <w:rFonts w:ascii="Arial Hebrew" w:hAnsi="Arial Hebrew" w:cs="Arial Hebrew" w:hint="cs"/>
          <w:sz w:val="20"/>
          <w:szCs w:val="20"/>
        </w:rPr>
        <w:t xml:space="preserve"> representative surveys of </w:t>
      </w:r>
      <w:r w:rsidR="00465D36" w:rsidRPr="00147D0A">
        <w:rPr>
          <w:rFonts w:ascii="Arial Hebrew" w:hAnsi="Arial Hebrew" w:cs="Arial Hebrew" w:hint="cs"/>
          <w:sz w:val="20"/>
          <w:szCs w:val="20"/>
        </w:rPr>
        <w:t>citizens</w:t>
      </w:r>
      <w:r w:rsidR="008A500F" w:rsidRPr="00147D0A">
        <w:rPr>
          <w:rFonts w:ascii="Arial Hebrew" w:hAnsi="Arial Hebrew" w:cs="Arial Hebrew" w:hint="cs"/>
          <w:sz w:val="20"/>
          <w:szCs w:val="20"/>
        </w:rPr>
        <w:t>, households</w:t>
      </w:r>
      <w:r w:rsidR="00465D36" w:rsidRPr="00147D0A">
        <w:rPr>
          <w:rFonts w:ascii="Arial Hebrew" w:hAnsi="Arial Hebrew" w:cs="Arial Hebrew" w:hint="cs"/>
          <w:sz w:val="20"/>
          <w:szCs w:val="20"/>
        </w:rPr>
        <w:t>,</w:t>
      </w:r>
      <w:r w:rsidR="008A500F" w:rsidRPr="00147D0A">
        <w:rPr>
          <w:rFonts w:ascii="Arial Hebrew" w:hAnsi="Arial Hebrew" w:cs="Arial Hebrew" w:hint="cs"/>
          <w:sz w:val="20"/>
          <w:szCs w:val="20"/>
        </w:rPr>
        <w:t xml:space="preserve"> and firms, </w:t>
      </w:r>
      <w:r w:rsidR="0029747B" w:rsidRPr="00147D0A">
        <w:rPr>
          <w:rFonts w:ascii="Arial Hebrew" w:hAnsi="Arial Hebrew" w:cs="Arial Hebrew" w:hint="cs"/>
          <w:sz w:val="20"/>
          <w:szCs w:val="20"/>
        </w:rPr>
        <w:t>and</w:t>
      </w:r>
      <w:r w:rsidR="003121FD" w:rsidRPr="00147D0A">
        <w:rPr>
          <w:rFonts w:ascii="Arial Hebrew" w:hAnsi="Arial Hebrew" w:cs="Arial Hebrew" w:hint="cs"/>
          <w:sz w:val="20"/>
          <w:szCs w:val="20"/>
        </w:rPr>
        <w:t xml:space="preserve"> structured</w:t>
      </w:r>
      <w:r w:rsidR="008A500F" w:rsidRPr="00147D0A">
        <w:rPr>
          <w:rFonts w:ascii="Arial Hebrew" w:hAnsi="Arial Hebrew" w:cs="Arial Hebrew" w:hint="cs"/>
          <w:sz w:val="20"/>
          <w:szCs w:val="20"/>
        </w:rPr>
        <w:t xml:space="preserve"> evaluations by subject-matter experts.</w:t>
      </w:r>
      <w:r w:rsidR="00465D36" w:rsidRPr="00147D0A">
        <w:rPr>
          <w:rStyle w:val="FootnoteReference"/>
          <w:rFonts w:ascii="Arial Hebrew" w:hAnsi="Arial Hebrew" w:cs="Arial Hebrew" w:hint="cs"/>
          <w:sz w:val="20"/>
          <w:szCs w:val="20"/>
        </w:rPr>
        <w:footnoteReference w:id="15"/>
      </w:r>
      <w:r w:rsidR="00203174" w:rsidRPr="00147D0A">
        <w:rPr>
          <w:rFonts w:ascii="Arial Hebrew" w:hAnsi="Arial Hebrew" w:cs="Arial Hebrew" w:hint="cs"/>
          <w:sz w:val="20"/>
          <w:szCs w:val="20"/>
        </w:rPr>
        <w:t xml:space="preserve"> </w:t>
      </w:r>
      <w:r w:rsidR="007B1AE9" w:rsidRPr="00147D0A">
        <w:rPr>
          <w:rFonts w:ascii="Arial Hebrew" w:hAnsi="Arial Hebrew" w:cs="Arial Hebrew" w:hint="cs"/>
          <w:sz w:val="20"/>
          <w:szCs w:val="20"/>
        </w:rPr>
        <w:t>Score</w:t>
      </w:r>
      <w:r w:rsidR="00147D0A">
        <w:rPr>
          <w:rFonts w:ascii="Cambria" w:hAnsi="Cambria" w:cs="Arial Hebrew"/>
          <w:sz w:val="20"/>
          <w:szCs w:val="20"/>
        </w:rPr>
        <w:t>s</w:t>
      </w:r>
      <w:r w:rsidR="007B1AE9" w:rsidRPr="00147D0A">
        <w:rPr>
          <w:rFonts w:ascii="Arial Hebrew" w:hAnsi="Arial Hebrew" w:cs="Arial Hebrew" w:hint="cs"/>
          <w:sz w:val="20"/>
          <w:szCs w:val="20"/>
        </w:rPr>
        <w:t xml:space="preserve"> indicate </w:t>
      </w:r>
      <w:r w:rsidR="007B1AE9" w:rsidRPr="00147D0A">
        <w:rPr>
          <w:rFonts w:ascii="Arial Hebrew" w:hAnsi="Arial Hebrew" w:cs="Arial Hebrew" w:hint="cs"/>
          <w:i/>
          <w:iCs/>
          <w:sz w:val="20"/>
          <w:szCs w:val="20"/>
        </w:rPr>
        <w:t>relative</w:t>
      </w:r>
      <w:r w:rsidR="007B1AE9" w:rsidRPr="00147D0A">
        <w:rPr>
          <w:rFonts w:ascii="Arial Hebrew" w:hAnsi="Arial Hebrew" w:cs="Arial Hebrew" w:hint="cs"/>
          <w:sz w:val="20"/>
          <w:szCs w:val="20"/>
        </w:rPr>
        <w:t xml:space="preserve"> performance in each year, averaged around zero. </w:t>
      </w:r>
      <w:r w:rsidR="00BD5EBC" w:rsidRPr="00147D0A">
        <w:rPr>
          <w:rFonts w:ascii="Arial Hebrew" w:hAnsi="Arial Hebrew" w:cs="Arial Hebrew" w:hint="cs"/>
          <w:b/>
          <w:bCs/>
          <w:sz w:val="20"/>
          <w:szCs w:val="20"/>
        </w:rPr>
        <w:t>Table 4</w:t>
      </w:r>
      <w:r w:rsidR="00BD5EBC" w:rsidRPr="00147D0A">
        <w:rPr>
          <w:rFonts w:ascii="Arial Hebrew" w:hAnsi="Arial Hebrew" w:cs="Arial Hebrew" w:hint="cs"/>
          <w:sz w:val="20"/>
          <w:szCs w:val="20"/>
        </w:rPr>
        <w:t xml:space="preserve"> summarises the</w:t>
      </w:r>
      <w:r w:rsidR="00E66DE2" w:rsidRPr="00147D0A">
        <w:rPr>
          <w:rFonts w:ascii="Arial Hebrew" w:hAnsi="Arial Hebrew" w:cs="Arial Hebrew" w:hint="cs"/>
          <w:sz w:val="20"/>
          <w:szCs w:val="20"/>
        </w:rPr>
        <w:t xml:space="preserve"> six WGI and basic details of their derivation.</w:t>
      </w:r>
      <w:r w:rsidR="006D22BD" w:rsidRPr="00147D0A">
        <w:rPr>
          <w:rFonts w:ascii="Arial Hebrew" w:hAnsi="Arial Hebrew" w:cs="Arial Hebrew" w:hint="cs"/>
          <w:sz w:val="20"/>
          <w:szCs w:val="20"/>
        </w:rPr>
        <w:t xml:space="preserve"> </w:t>
      </w:r>
    </w:p>
    <w:p w14:paraId="5F106E6B" w14:textId="3F075CCB" w:rsidR="000906E4" w:rsidRPr="00147D0A" w:rsidRDefault="000906E4" w:rsidP="000B0E8A">
      <w:pPr>
        <w:ind w:firstLine="720"/>
        <w:jc w:val="center"/>
        <w:rPr>
          <w:rFonts w:ascii="Arial Hebrew" w:hAnsi="Arial Hebrew" w:cs="Arial Hebrew"/>
          <w:sz w:val="20"/>
          <w:szCs w:val="20"/>
        </w:rPr>
      </w:pPr>
      <w:r w:rsidRPr="00147D0A">
        <w:rPr>
          <w:rFonts w:ascii="Arial Hebrew" w:hAnsi="Arial Hebrew" w:cs="Arial Hebrew" w:hint="cs"/>
          <w:b/>
          <w:bCs/>
          <w:i/>
          <w:iCs/>
          <w:sz w:val="16"/>
          <w:szCs w:val="16"/>
        </w:rPr>
        <w:lastRenderedPageBreak/>
        <w:t xml:space="preserve">Table </w:t>
      </w:r>
      <w:r w:rsidR="00F75426" w:rsidRPr="00147D0A">
        <w:rPr>
          <w:rFonts w:ascii="Arial Hebrew" w:hAnsi="Arial Hebrew" w:cs="Arial Hebrew" w:hint="cs"/>
          <w:b/>
          <w:bCs/>
          <w:i/>
          <w:iCs/>
          <w:sz w:val="16"/>
          <w:szCs w:val="16"/>
        </w:rPr>
        <w:t>4</w:t>
      </w:r>
      <w:r w:rsidRPr="00147D0A">
        <w:rPr>
          <w:rFonts w:ascii="Arial Hebrew" w:hAnsi="Arial Hebrew" w:cs="Arial Hebrew" w:hint="cs"/>
          <w:b/>
          <w:bCs/>
          <w:i/>
          <w:iCs/>
          <w:sz w:val="16"/>
          <w:szCs w:val="16"/>
        </w:rPr>
        <w:t>.</w:t>
      </w:r>
      <w:r w:rsidRPr="00147D0A">
        <w:rPr>
          <w:rFonts w:ascii="Arial Hebrew" w:hAnsi="Arial Hebrew" w:cs="Arial Hebrew" w:hint="cs"/>
          <w:i/>
          <w:iCs/>
          <w:sz w:val="16"/>
          <w:szCs w:val="16"/>
        </w:rPr>
        <w:t xml:space="preserve"> World Bank Worldwide Governance Indicators</w:t>
      </w:r>
    </w:p>
    <w:tbl>
      <w:tblPr>
        <w:tblStyle w:val="TableGrid"/>
        <w:tblW w:w="9026" w:type="dxa"/>
        <w:tblLayout w:type="fixed"/>
        <w:tblLook w:val="04A0" w:firstRow="1" w:lastRow="0" w:firstColumn="1" w:lastColumn="0" w:noHBand="0" w:noVBand="1"/>
      </w:tblPr>
      <w:tblGrid>
        <w:gridCol w:w="1418"/>
        <w:gridCol w:w="1417"/>
        <w:gridCol w:w="2197"/>
        <w:gridCol w:w="2339"/>
        <w:gridCol w:w="1655"/>
      </w:tblGrid>
      <w:tr w:rsidR="00070C75" w:rsidRPr="00147D0A" w14:paraId="764DA1E7" w14:textId="4B52CCB9" w:rsidTr="003315BB">
        <w:trPr>
          <w:trHeight w:val="139"/>
        </w:trPr>
        <w:tc>
          <w:tcPr>
            <w:tcW w:w="1418" w:type="dxa"/>
            <w:tcBorders>
              <w:top w:val="single" w:sz="4" w:space="0" w:color="auto"/>
              <w:left w:val="nil"/>
              <w:bottom w:val="single" w:sz="4" w:space="0" w:color="auto"/>
              <w:right w:val="nil"/>
            </w:tcBorders>
            <w:shd w:val="clear" w:color="auto" w:fill="F2F2F2" w:themeFill="background1" w:themeFillShade="F2"/>
            <w:vAlign w:val="center"/>
          </w:tcPr>
          <w:p w14:paraId="1468D737" w14:textId="13D719BB"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WGI</w:t>
            </w:r>
          </w:p>
        </w:tc>
        <w:tc>
          <w:tcPr>
            <w:tcW w:w="1417" w:type="dxa"/>
            <w:tcBorders>
              <w:top w:val="single" w:sz="4" w:space="0" w:color="auto"/>
              <w:left w:val="nil"/>
              <w:bottom w:val="single" w:sz="4" w:space="0" w:color="auto"/>
              <w:right w:val="nil"/>
            </w:tcBorders>
            <w:shd w:val="clear" w:color="auto" w:fill="F2F2F2" w:themeFill="background1" w:themeFillShade="F2"/>
            <w:vAlign w:val="center"/>
          </w:tcPr>
          <w:p w14:paraId="15151261" w14:textId="0C8627BC" w:rsidR="0017793C" w:rsidRPr="00147D0A" w:rsidRDefault="00070C75"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 xml:space="preserve">Summary </w:t>
            </w:r>
            <w:r w:rsidR="0017793C" w:rsidRPr="00147D0A">
              <w:rPr>
                <w:rFonts w:ascii="Arial Hebrew" w:hAnsi="Arial Hebrew" w:cs="Arial Hebrew" w:hint="cs"/>
                <w:b/>
                <w:bCs/>
                <w:sz w:val="16"/>
                <w:szCs w:val="16"/>
              </w:rPr>
              <w:t>Definition</w:t>
            </w:r>
          </w:p>
        </w:tc>
        <w:tc>
          <w:tcPr>
            <w:tcW w:w="2197" w:type="dxa"/>
            <w:tcBorders>
              <w:top w:val="single" w:sz="4" w:space="0" w:color="auto"/>
              <w:left w:val="nil"/>
              <w:bottom w:val="single" w:sz="4" w:space="0" w:color="auto"/>
              <w:right w:val="nil"/>
            </w:tcBorders>
            <w:shd w:val="clear" w:color="auto" w:fill="F2F2F2" w:themeFill="background1" w:themeFillShade="F2"/>
            <w:vAlign w:val="center"/>
          </w:tcPr>
          <w:p w14:paraId="646ECBF5" w14:textId="60CDFF3B"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Primary Expert Sources</w:t>
            </w:r>
          </w:p>
        </w:tc>
        <w:tc>
          <w:tcPr>
            <w:tcW w:w="2339" w:type="dxa"/>
            <w:tcBorders>
              <w:top w:val="single" w:sz="4" w:space="0" w:color="auto"/>
              <w:left w:val="nil"/>
              <w:bottom w:val="single" w:sz="4" w:space="0" w:color="auto"/>
              <w:right w:val="nil"/>
            </w:tcBorders>
            <w:shd w:val="clear" w:color="auto" w:fill="F2F2F2" w:themeFill="background1" w:themeFillShade="F2"/>
            <w:vAlign w:val="center"/>
          </w:tcPr>
          <w:p w14:paraId="0993631A" w14:textId="5BCD0656"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Primary Survey Sources</w:t>
            </w:r>
          </w:p>
        </w:tc>
        <w:tc>
          <w:tcPr>
            <w:tcW w:w="1655" w:type="dxa"/>
            <w:tcBorders>
              <w:top w:val="single" w:sz="4" w:space="0" w:color="auto"/>
              <w:left w:val="nil"/>
              <w:bottom w:val="single" w:sz="4" w:space="0" w:color="auto"/>
              <w:right w:val="nil"/>
            </w:tcBorders>
            <w:shd w:val="clear" w:color="auto" w:fill="F2F2F2" w:themeFill="background1" w:themeFillShade="F2"/>
            <w:vAlign w:val="center"/>
          </w:tcPr>
          <w:p w14:paraId="4284B99C" w14:textId="3F6A330E" w:rsidR="0017793C" w:rsidRPr="00147D0A" w:rsidRDefault="0017793C" w:rsidP="0027716B">
            <w:pPr>
              <w:spacing w:before="20" w:after="2" w:line="264" w:lineRule="auto"/>
              <w:rPr>
                <w:rFonts w:ascii="Arial Hebrew" w:hAnsi="Arial Hebrew" w:cs="Arial Hebrew"/>
                <w:b/>
                <w:bCs/>
                <w:sz w:val="16"/>
                <w:szCs w:val="16"/>
              </w:rPr>
            </w:pPr>
            <w:r w:rsidRPr="00147D0A">
              <w:rPr>
                <w:rFonts w:ascii="Arial Hebrew" w:hAnsi="Arial Hebrew" w:cs="Arial Hebrew" w:hint="cs"/>
                <w:b/>
                <w:bCs/>
                <w:sz w:val="16"/>
                <w:szCs w:val="16"/>
              </w:rPr>
              <w:t xml:space="preserve">Methodology </w:t>
            </w:r>
          </w:p>
        </w:tc>
      </w:tr>
      <w:tr w:rsidR="00070C75" w:rsidRPr="00147D0A" w14:paraId="04A7AA1B" w14:textId="78D17ECB"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1B49035F" w14:textId="456C5D55" w:rsidR="0017793C" w:rsidRPr="00147D0A" w:rsidRDefault="0017793C" w:rsidP="0027716B">
            <w:pPr>
              <w:spacing w:before="20" w:line="264" w:lineRule="auto"/>
              <w:rPr>
                <w:rFonts w:ascii="Arial Hebrew" w:hAnsi="Arial Hebrew" w:cs="Arial Hebrew"/>
                <w:b/>
                <w:bCs/>
                <w:sz w:val="16"/>
                <w:szCs w:val="16"/>
              </w:rPr>
            </w:pPr>
            <w:r w:rsidRPr="00147D0A">
              <w:rPr>
                <w:rFonts w:ascii="Arial Hebrew" w:hAnsi="Arial Hebrew" w:cs="Arial Hebrew" w:hint="cs"/>
                <w:b/>
                <w:bCs/>
                <w:sz w:val="16"/>
                <w:szCs w:val="16"/>
              </w:rPr>
              <w:t xml:space="preserve">Rule of Law </w:t>
            </w:r>
          </w:p>
        </w:tc>
        <w:tc>
          <w:tcPr>
            <w:tcW w:w="1417" w:type="dxa"/>
            <w:tcBorders>
              <w:top w:val="single" w:sz="4" w:space="0" w:color="auto"/>
              <w:left w:val="nil"/>
              <w:bottom w:val="single" w:sz="4" w:space="0" w:color="auto"/>
              <w:right w:val="nil"/>
            </w:tcBorders>
          </w:tcPr>
          <w:p w14:paraId="05365B9E" w14:textId="574938B0" w:rsidR="0017793C" w:rsidRPr="00147D0A" w:rsidRDefault="006F799D"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Confidence in societal rules, quality of contract enforcement, property rights, police, courts, and control of crime</w:t>
            </w:r>
            <w:r w:rsidR="00697455" w:rsidRPr="00147D0A">
              <w:rPr>
                <w:rFonts w:ascii="Arial Hebrew" w:hAnsi="Arial Hebrew" w:cs="Arial Hebrew" w:hint="cs"/>
                <w:i/>
                <w:iCs/>
                <w:sz w:val="15"/>
                <w:szCs w:val="15"/>
              </w:rPr>
              <w:t xml:space="preserve"> and </w:t>
            </w:r>
            <w:r w:rsidRPr="00147D0A">
              <w:rPr>
                <w:rFonts w:ascii="Arial Hebrew" w:hAnsi="Arial Hebrew" w:cs="Arial Hebrew" w:hint="cs"/>
                <w:i/>
                <w:iCs/>
                <w:sz w:val="15"/>
                <w:szCs w:val="15"/>
              </w:rPr>
              <w:t>violenc</w:t>
            </w:r>
            <w:r w:rsidR="00697455" w:rsidRPr="00147D0A">
              <w:rPr>
                <w:rFonts w:ascii="Arial Hebrew" w:hAnsi="Arial Hebrew" w:cs="Arial Hebrew" w:hint="cs"/>
                <w:i/>
                <w:iCs/>
                <w:sz w:val="15"/>
                <w:szCs w:val="15"/>
              </w:rPr>
              <w:t>e</w:t>
            </w:r>
            <w:r w:rsidRPr="00147D0A">
              <w:rPr>
                <w:rFonts w:ascii="Arial Hebrew" w:hAnsi="Arial Hebrew" w:cs="Arial Hebrew" w:hint="cs"/>
                <w:i/>
                <w:iCs/>
                <w:sz w:val="15"/>
                <w:szCs w:val="15"/>
              </w:rPr>
              <w:t>.</w:t>
            </w:r>
          </w:p>
        </w:tc>
        <w:tc>
          <w:tcPr>
            <w:tcW w:w="2197" w:type="dxa"/>
            <w:tcBorders>
              <w:top w:val="single" w:sz="4" w:space="0" w:color="auto"/>
              <w:left w:val="nil"/>
              <w:bottom w:val="single" w:sz="4" w:space="0" w:color="auto"/>
              <w:right w:val="nil"/>
            </w:tcBorders>
          </w:tcPr>
          <w:p w14:paraId="11657EB7" w14:textId="4FE25A85" w:rsidR="0017793C" w:rsidRPr="00147D0A" w:rsidRDefault="006F799D"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PRS</w:t>
            </w:r>
            <w:r w:rsidRPr="00147D0A">
              <w:rPr>
                <w:sz w:val="15"/>
                <w:szCs w:val="15"/>
              </w:rPr>
              <w:t> </w:t>
            </w:r>
            <w:r w:rsidRPr="00147D0A">
              <w:rPr>
                <w:rFonts w:ascii="Arial Hebrew" w:hAnsi="Arial Hebrew" w:cs="Arial Hebrew" w:hint="cs"/>
                <w:sz w:val="15"/>
                <w:szCs w:val="15"/>
              </w:rPr>
              <w:t xml:space="preserve">ICRG </w:t>
            </w:r>
            <w:r w:rsidRPr="00147D0A">
              <w:rPr>
                <w:rFonts w:ascii="Arial Hebrew" w:hAnsi="Arial Hebrew" w:cs="Arial Hebrew" w:hint="cs"/>
                <w:i/>
                <w:iCs/>
                <w:sz w:val="15"/>
                <w:szCs w:val="15"/>
              </w:rPr>
              <w:t>Law &amp; Order</w:t>
            </w:r>
            <w:r w:rsidRPr="00147D0A">
              <w:rPr>
                <w:rFonts w:ascii="Arial Hebrew" w:hAnsi="Arial Hebrew" w:cs="Arial Hebrew" w:hint="cs"/>
                <w:sz w:val="15"/>
                <w:szCs w:val="15"/>
              </w:rPr>
              <w:t>; World Justice Project</w:t>
            </w:r>
            <w:r w:rsidR="00070C75" w:rsidRPr="00147D0A">
              <w:rPr>
                <w:rFonts w:ascii="Arial Hebrew" w:hAnsi="Arial Hebrew" w:cs="Arial Hebrew" w:hint="cs"/>
                <w:sz w:val="15"/>
                <w:szCs w:val="15"/>
              </w:rPr>
              <w:t xml:space="preserve"> (WJP)</w:t>
            </w:r>
            <w:r w:rsidRPr="00147D0A">
              <w:rPr>
                <w:rFonts w:ascii="Arial Hebrew" w:hAnsi="Arial Hebrew" w:cs="Arial Hebrew" w:hint="cs"/>
                <w:sz w:val="15"/>
                <w:szCs w:val="15"/>
              </w:rPr>
              <w:t xml:space="preserve"> Rule of Law Index; Freedom House (judicial independence); Heritage </w:t>
            </w:r>
            <w:r w:rsidRPr="00147D0A">
              <w:rPr>
                <w:rFonts w:ascii="Arial Hebrew" w:hAnsi="Arial Hebrew" w:cs="Arial Hebrew" w:hint="cs"/>
                <w:i/>
                <w:iCs/>
                <w:sz w:val="15"/>
                <w:szCs w:val="15"/>
              </w:rPr>
              <w:t>Property Rights</w:t>
            </w:r>
            <w:r w:rsidRPr="00147D0A">
              <w:rPr>
                <w:rFonts w:ascii="Arial Hebrew" w:hAnsi="Arial Hebrew" w:cs="Arial Hebrew" w:hint="cs"/>
                <w:sz w:val="15"/>
                <w:szCs w:val="15"/>
              </w:rPr>
              <w:t>; BTI rule</w:t>
            </w:r>
            <w:r w:rsidRPr="00147D0A">
              <w:rPr>
                <w:rFonts w:ascii="Cambria Math" w:hAnsi="Cambria Math" w:cs="Cambria Math"/>
                <w:sz w:val="15"/>
                <w:szCs w:val="15"/>
              </w:rPr>
              <w:t>‑</w:t>
            </w:r>
            <w:r w:rsidRPr="00147D0A">
              <w:rPr>
                <w:rFonts w:ascii="Arial Hebrew" w:hAnsi="Arial Hebrew" w:cs="Arial Hebrew" w:hint="cs"/>
                <w:sz w:val="15"/>
                <w:szCs w:val="15"/>
              </w:rPr>
              <w:t>of</w:t>
            </w:r>
            <w:r w:rsidRPr="00147D0A">
              <w:rPr>
                <w:rFonts w:ascii="Cambria Math" w:hAnsi="Cambria Math" w:cs="Cambria Math"/>
                <w:sz w:val="15"/>
                <w:szCs w:val="15"/>
              </w:rPr>
              <w:t>‑</w:t>
            </w:r>
            <w:r w:rsidRPr="00147D0A">
              <w:rPr>
                <w:rFonts w:ascii="Arial Hebrew" w:hAnsi="Arial Hebrew" w:cs="Arial Hebrew" w:hint="cs"/>
                <w:sz w:val="15"/>
                <w:szCs w:val="15"/>
              </w:rPr>
              <w:t>law items; V</w:t>
            </w:r>
            <w:r w:rsidRPr="00147D0A">
              <w:rPr>
                <w:rFonts w:ascii="Cambria Math" w:hAnsi="Cambria Math" w:cs="Cambria Math"/>
                <w:sz w:val="15"/>
                <w:szCs w:val="15"/>
              </w:rPr>
              <w:t>‑</w:t>
            </w:r>
            <w:r w:rsidRPr="00147D0A">
              <w:rPr>
                <w:rFonts w:ascii="Arial Hebrew" w:hAnsi="Arial Hebrew" w:cs="Arial Hebrew" w:hint="cs"/>
                <w:sz w:val="15"/>
                <w:szCs w:val="15"/>
              </w:rPr>
              <w:t>Dem judicial independence/equality before law indices.</w:t>
            </w:r>
          </w:p>
        </w:tc>
        <w:tc>
          <w:tcPr>
            <w:tcW w:w="2339" w:type="dxa"/>
            <w:tcBorders>
              <w:top w:val="single" w:sz="4" w:space="0" w:color="auto"/>
              <w:left w:val="nil"/>
              <w:bottom w:val="single" w:sz="4" w:space="0" w:color="auto"/>
              <w:right w:val="nil"/>
            </w:tcBorders>
          </w:tcPr>
          <w:p w14:paraId="7DBADC70" w14:textId="6C88E600" w:rsidR="0017793C" w:rsidRPr="00147D0A" w:rsidRDefault="006F799D"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World Justice Project (population poll part); Gallup (trust in police/courts, safety at night); Afrobarometer/</w:t>
            </w:r>
            <w:r w:rsidR="008D24AD" w:rsidRPr="00147D0A">
              <w:rPr>
                <w:rFonts w:ascii="Arial Hebrew" w:hAnsi="Arial Hebrew" w:cs="Arial Hebrew" w:hint="cs"/>
                <w:sz w:val="15"/>
                <w:szCs w:val="15"/>
              </w:rPr>
              <w:t xml:space="preserve"> Latinobarometro</w:t>
            </w:r>
            <w:r w:rsidRPr="00147D0A">
              <w:rPr>
                <w:rFonts w:ascii="Arial Hebrew" w:hAnsi="Arial Hebrew" w:cs="Arial Hebrew" w:hint="cs"/>
                <w:sz w:val="15"/>
                <w:szCs w:val="15"/>
              </w:rPr>
              <w:t xml:space="preserve"> (courts enforce law fairly, officials punished); Enterprise Surveys (cost of crime, security payments).</w:t>
            </w:r>
          </w:p>
        </w:tc>
        <w:tc>
          <w:tcPr>
            <w:tcW w:w="1655" w:type="dxa"/>
            <w:tcBorders>
              <w:top w:val="single" w:sz="4" w:space="0" w:color="auto"/>
              <w:left w:val="nil"/>
              <w:bottom w:val="single" w:sz="4" w:space="0" w:color="auto"/>
              <w:right w:val="nil"/>
            </w:tcBorders>
          </w:tcPr>
          <w:p w14:paraId="17FA2BE2" w14:textId="03A3B114" w:rsidR="0017793C" w:rsidRPr="00147D0A" w:rsidRDefault="0027716B"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I</w:t>
            </w:r>
            <w:r w:rsidR="006F799D" w:rsidRPr="00147D0A">
              <w:rPr>
                <w:rFonts w:ascii="Arial Hebrew" w:hAnsi="Arial Hebrew" w:cs="Arial Hebrew" w:hint="cs"/>
                <w:i/>
                <w:iCs/>
                <w:sz w:val="15"/>
                <w:szCs w:val="15"/>
              </w:rPr>
              <w:t>ndicators inverted</w:t>
            </w:r>
            <w:r w:rsidRPr="00147D0A">
              <w:rPr>
                <w:rFonts w:ascii="Arial Hebrew" w:hAnsi="Arial Hebrew" w:cs="Arial Hebrew" w:hint="cs"/>
                <w:i/>
                <w:iCs/>
                <w:sz w:val="15"/>
                <w:szCs w:val="15"/>
              </w:rPr>
              <w:t xml:space="preserve"> (where negative)</w:t>
            </w:r>
            <w:r w:rsidR="006F799D" w:rsidRPr="00147D0A">
              <w:rPr>
                <w:rFonts w:ascii="Arial Hebrew" w:hAnsi="Arial Hebrew" w:cs="Arial Hebrew" w:hint="cs"/>
                <w:i/>
                <w:iCs/>
                <w:sz w:val="15"/>
                <w:szCs w:val="15"/>
              </w:rPr>
              <w:t xml:space="preserve">, rescaled and aggregated via </w:t>
            </w:r>
            <w:r w:rsidR="00A21DB1" w:rsidRPr="00147D0A">
              <w:rPr>
                <w:rFonts w:ascii="Arial Hebrew" w:hAnsi="Arial Hebrew" w:cs="Arial Hebrew" w:hint="cs"/>
                <w:i/>
                <w:iCs/>
                <w:sz w:val="15"/>
                <w:szCs w:val="15"/>
              </w:rPr>
              <w:t xml:space="preserve">Unobserved </w:t>
            </w:r>
            <w:r w:rsidR="006F799D" w:rsidRPr="00147D0A">
              <w:rPr>
                <w:rFonts w:ascii="Arial Hebrew" w:hAnsi="Arial Hebrew" w:cs="Arial Hebrew" w:hint="cs"/>
                <w:i/>
                <w:iCs/>
                <w:sz w:val="15"/>
                <w:szCs w:val="15"/>
              </w:rPr>
              <w:t>C</w:t>
            </w:r>
            <w:r w:rsidR="00A21DB1" w:rsidRPr="00147D0A">
              <w:rPr>
                <w:rFonts w:ascii="Arial Hebrew" w:hAnsi="Arial Hebrew" w:cs="Arial Hebrew" w:hint="cs"/>
                <w:i/>
                <w:iCs/>
                <w:sz w:val="15"/>
                <w:szCs w:val="15"/>
              </w:rPr>
              <w:t xml:space="preserve">omponents </w:t>
            </w:r>
            <w:r w:rsidR="006F799D" w:rsidRPr="00147D0A">
              <w:rPr>
                <w:rFonts w:ascii="Arial Hebrew" w:hAnsi="Arial Hebrew" w:cs="Arial Hebrew" w:hint="cs"/>
                <w:i/>
                <w:iCs/>
                <w:sz w:val="15"/>
                <w:szCs w:val="15"/>
              </w:rPr>
              <w:t>M</w:t>
            </w:r>
            <w:r w:rsidR="00A21DB1" w:rsidRPr="00147D0A">
              <w:rPr>
                <w:rFonts w:ascii="Arial Hebrew" w:hAnsi="Arial Hebrew" w:cs="Arial Hebrew" w:hint="cs"/>
                <w:i/>
                <w:iCs/>
                <w:sz w:val="15"/>
                <w:szCs w:val="15"/>
              </w:rPr>
              <w:t>odel (UCM)</w:t>
            </w:r>
            <w:r w:rsidR="006F799D" w:rsidRPr="00147D0A">
              <w:rPr>
                <w:rFonts w:ascii="Arial Hebrew" w:hAnsi="Arial Hebrew" w:cs="Arial Hebrew" w:hint="cs"/>
                <w:i/>
                <w:iCs/>
                <w:sz w:val="15"/>
                <w:szCs w:val="15"/>
              </w:rPr>
              <w:t xml:space="preserve">. </w:t>
            </w:r>
          </w:p>
        </w:tc>
      </w:tr>
      <w:tr w:rsidR="00070C75" w:rsidRPr="00147D0A" w14:paraId="798910EC" w14:textId="73723392" w:rsidTr="0027716B">
        <w:trPr>
          <w:trHeight w:val="227"/>
        </w:trPr>
        <w:tc>
          <w:tcPr>
            <w:tcW w:w="1418" w:type="dxa"/>
            <w:tcBorders>
              <w:top w:val="single" w:sz="4" w:space="0" w:color="auto"/>
              <w:left w:val="nil"/>
              <w:bottom w:val="single" w:sz="4" w:space="0" w:color="auto"/>
              <w:right w:val="nil"/>
            </w:tcBorders>
            <w:shd w:val="clear" w:color="auto" w:fill="F2F2F2" w:themeFill="background1" w:themeFillShade="F2"/>
          </w:tcPr>
          <w:p w14:paraId="2F357333" w14:textId="28064924"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sz w:val="16"/>
                <w:szCs w:val="16"/>
              </w:rPr>
              <w:t>Control of Corruption</w:t>
            </w:r>
          </w:p>
        </w:tc>
        <w:tc>
          <w:tcPr>
            <w:tcW w:w="1417" w:type="dxa"/>
            <w:tcBorders>
              <w:top w:val="single" w:sz="4" w:space="0" w:color="auto"/>
              <w:left w:val="nil"/>
              <w:bottom w:val="single" w:sz="4" w:space="0" w:color="auto"/>
              <w:right w:val="nil"/>
            </w:tcBorders>
          </w:tcPr>
          <w:p w14:paraId="30913782" w14:textId="220836DE"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Extent to which public power is used for private gain</w:t>
            </w:r>
            <w:r w:rsidR="00697455"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petty &amp; grand corruption, state capture.</w:t>
            </w:r>
          </w:p>
        </w:tc>
        <w:tc>
          <w:tcPr>
            <w:tcW w:w="2197" w:type="dxa"/>
            <w:tcBorders>
              <w:top w:val="single" w:sz="4" w:space="0" w:color="auto"/>
              <w:left w:val="nil"/>
              <w:bottom w:val="single" w:sz="4" w:space="0" w:color="auto"/>
              <w:right w:val="nil"/>
            </w:tcBorders>
          </w:tcPr>
          <w:p w14:paraId="4E0B30BF" w14:textId="3F5B2633"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PRS</w:t>
            </w:r>
            <w:r w:rsidRPr="00147D0A">
              <w:rPr>
                <w:sz w:val="15"/>
                <w:szCs w:val="15"/>
              </w:rPr>
              <w:t> </w:t>
            </w:r>
            <w:r w:rsidRPr="00147D0A">
              <w:rPr>
                <w:rFonts w:ascii="Arial Hebrew" w:hAnsi="Arial Hebrew" w:cs="Arial Hebrew" w:hint="cs"/>
                <w:sz w:val="15"/>
                <w:szCs w:val="15"/>
              </w:rPr>
              <w:t>ICRG Corruption risk; World Bank</w:t>
            </w:r>
            <w:r w:rsidR="00697455" w:rsidRPr="00147D0A">
              <w:rPr>
                <w:rFonts w:ascii="Arial Hebrew" w:hAnsi="Arial Hebrew" w:cs="Arial Hebrew" w:hint="cs"/>
                <w:sz w:val="15"/>
                <w:szCs w:val="15"/>
              </w:rPr>
              <w:t xml:space="preserve"> and African and Asian Development Bank</w:t>
            </w:r>
            <w:r w:rsidRPr="00147D0A">
              <w:rPr>
                <w:rFonts w:ascii="Arial Hebrew" w:hAnsi="Arial Hebrew" w:cs="Arial Hebrew" w:hint="cs"/>
                <w:sz w:val="15"/>
                <w:szCs w:val="15"/>
              </w:rPr>
              <w:t xml:space="preserve"> CPIA </w:t>
            </w:r>
            <w:r w:rsidRPr="00147D0A">
              <w:rPr>
                <w:rStyle w:val="Emphasis"/>
                <w:rFonts w:ascii="Arial Hebrew" w:eastAsiaTheme="majorEastAsia" w:hAnsi="Arial Hebrew" w:cs="Arial Hebrew" w:hint="cs"/>
                <w:sz w:val="15"/>
                <w:szCs w:val="15"/>
              </w:rPr>
              <w:t>Transparency &amp; Accountability</w:t>
            </w:r>
            <w:r w:rsidRPr="00147D0A">
              <w:rPr>
                <w:rFonts w:ascii="Arial Hebrew" w:hAnsi="Arial Hebrew" w:cs="Arial Hebrew" w:hint="cs"/>
                <w:sz w:val="15"/>
                <w:szCs w:val="15"/>
              </w:rPr>
              <w:t>; Bertelsmann T</w:t>
            </w:r>
            <w:r w:rsidR="00697455" w:rsidRPr="00147D0A">
              <w:rPr>
                <w:rFonts w:ascii="Arial Hebrew" w:hAnsi="Arial Hebrew" w:cs="Arial Hebrew" w:hint="cs"/>
                <w:sz w:val="15"/>
                <w:szCs w:val="15"/>
              </w:rPr>
              <w:t>ranformation Index</w:t>
            </w:r>
            <w:r w:rsidRPr="00147D0A">
              <w:rPr>
                <w:rFonts w:ascii="Arial Hebrew" w:hAnsi="Arial Hebrew" w:cs="Arial Hebrew" w:hint="cs"/>
                <w:sz w:val="15"/>
                <w:szCs w:val="15"/>
              </w:rPr>
              <w:t xml:space="preserve"> </w:t>
            </w:r>
            <w:r w:rsidRPr="00147D0A">
              <w:rPr>
                <w:rStyle w:val="Emphasis"/>
                <w:rFonts w:ascii="Arial Hebrew" w:eastAsiaTheme="majorEastAsia" w:hAnsi="Arial Hebrew" w:cs="Arial Hebrew" w:hint="cs"/>
                <w:sz w:val="15"/>
                <w:szCs w:val="15"/>
              </w:rPr>
              <w:t>Anti</w:t>
            </w:r>
            <w:r w:rsidRPr="00147D0A">
              <w:rPr>
                <w:rStyle w:val="Emphasis"/>
                <w:rFonts w:ascii="Arial Hebrew" w:eastAsiaTheme="majorEastAsia" w:hAnsi="Arial Hebrew" w:cs="Arial Hebrew" w:hint="cs"/>
                <w:sz w:val="15"/>
                <w:szCs w:val="15"/>
              </w:rPr>
              <w:noBreakHyphen/>
              <w:t>corruption Policy</w:t>
            </w:r>
            <w:r w:rsidRPr="00147D0A">
              <w:rPr>
                <w:rFonts w:ascii="Arial Hebrew" w:hAnsi="Arial Hebrew" w:cs="Arial Hebrew" w:hint="cs"/>
                <w:sz w:val="15"/>
                <w:szCs w:val="15"/>
              </w:rPr>
              <w:t>; Global Integrity (Law enforcement, Anti</w:t>
            </w:r>
            <w:r w:rsidRPr="00147D0A">
              <w:rPr>
                <w:rFonts w:ascii="Arial Hebrew" w:hAnsi="Arial Hebrew" w:cs="Arial Hebrew" w:hint="cs"/>
                <w:sz w:val="15"/>
                <w:szCs w:val="15"/>
              </w:rPr>
              <w:noBreakHyphen/>
              <w:t xml:space="preserve">corruption); PERC </w:t>
            </w:r>
            <w:r w:rsidRPr="00147D0A">
              <w:rPr>
                <w:rStyle w:val="Emphasis"/>
                <w:rFonts w:ascii="Arial Hebrew" w:eastAsiaTheme="majorEastAsia" w:hAnsi="Arial Hebrew" w:cs="Arial Hebrew" w:hint="cs"/>
                <w:sz w:val="15"/>
                <w:szCs w:val="15"/>
              </w:rPr>
              <w:t>Asian Intelligence</w:t>
            </w:r>
            <w:r w:rsidRPr="00147D0A">
              <w:rPr>
                <w:rFonts w:ascii="Arial Hebrew" w:hAnsi="Arial Hebrew" w:cs="Arial Hebrew" w:hint="cs"/>
                <w:sz w:val="15"/>
                <w:szCs w:val="15"/>
              </w:rPr>
              <w:t>; V</w:t>
            </w:r>
            <w:r w:rsidRPr="00147D0A">
              <w:rPr>
                <w:rFonts w:ascii="Arial Hebrew" w:hAnsi="Arial Hebrew" w:cs="Arial Hebrew" w:hint="cs"/>
                <w:sz w:val="15"/>
                <w:szCs w:val="15"/>
              </w:rPr>
              <w:noBreakHyphen/>
              <w:t>Dem public</w:t>
            </w:r>
            <w:r w:rsidRPr="00147D0A">
              <w:rPr>
                <w:rFonts w:ascii="Arial Hebrew" w:hAnsi="Arial Hebrew" w:cs="Arial Hebrew" w:hint="cs"/>
                <w:sz w:val="15"/>
                <w:szCs w:val="15"/>
              </w:rPr>
              <w:noBreakHyphen/>
              <w:t>sector corruption.</w:t>
            </w:r>
          </w:p>
        </w:tc>
        <w:tc>
          <w:tcPr>
            <w:tcW w:w="2339" w:type="dxa"/>
            <w:tcBorders>
              <w:top w:val="single" w:sz="4" w:space="0" w:color="auto"/>
              <w:left w:val="nil"/>
              <w:bottom w:val="single" w:sz="4" w:space="0" w:color="auto"/>
              <w:right w:val="nil"/>
            </w:tcBorders>
          </w:tcPr>
          <w:p w14:paraId="1E59E3E9" w14:textId="5EBF9280"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Transparency</w:t>
            </w:r>
            <w:r w:rsidRPr="00147D0A">
              <w:rPr>
                <w:sz w:val="15"/>
                <w:szCs w:val="15"/>
              </w:rPr>
              <w:t> </w:t>
            </w:r>
            <w:r w:rsidRPr="00147D0A">
              <w:rPr>
                <w:rFonts w:ascii="Arial Hebrew" w:hAnsi="Arial Hebrew" w:cs="Arial Hebrew" w:hint="cs"/>
                <w:sz w:val="15"/>
                <w:szCs w:val="15"/>
              </w:rPr>
              <w:t>International Global Corruption Barometer (bribery prevalence); World Bank Enterprise Surveys (% firms paying bribes, bribe tax); Gallup (perceived corruption in government); Afrobarometer/</w:t>
            </w:r>
            <w:r w:rsidR="007229C1" w:rsidRPr="00147D0A">
              <w:rPr>
                <w:rFonts w:ascii="Arial Hebrew" w:hAnsi="Arial Hebrew" w:cs="Arial Hebrew" w:hint="cs"/>
                <w:sz w:val="15"/>
                <w:szCs w:val="15"/>
              </w:rPr>
              <w:t xml:space="preserve"> Latinobarometro</w:t>
            </w:r>
            <w:r w:rsidRPr="00147D0A">
              <w:rPr>
                <w:rFonts w:ascii="Arial Hebrew" w:hAnsi="Arial Hebrew" w:cs="Arial Hebrew" w:hint="cs"/>
                <w:sz w:val="15"/>
                <w:szCs w:val="15"/>
              </w:rPr>
              <w:t xml:space="preserve"> corruption perception questions.</w:t>
            </w:r>
          </w:p>
        </w:tc>
        <w:tc>
          <w:tcPr>
            <w:tcW w:w="1655" w:type="dxa"/>
            <w:tcBorders>
              <w:top w:val="single" w:sz="4" w:space="0" w:color="auto"/>
              <w:left w:val="nil"/>
              <w:bottom w:val="single" w:sz="4" w:space="0" w:color="auto"/>
              <w:right w:val="nil"/>
            </w:tcBorders>
          </w:tcPr>
          <w:p w14:paraId="7F316A43" w14:textId="2CBCAEB1"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Bribery frequencies inverted; scores</w:t>
            </w:r>
            <w:r w:rsidR="000E5EBA" w:rsidRPr="00147D0A">
              <w:rPr>
                <w:rFonts w:ascii="Arial Hebrew" w:hAnsi="Arial Hebrew" w:cs="Arial Hebrew" w:hint="cs"/>
                <w:i/>
                <w:iCs/>
                <w:sz w:val="15"/>
                <w:szCs w:val="15"/>
              </w:rPr>
              <w:t xml:space="preserve"> rescaled and aggregated via</w:t>
            </w:r>
            <w:r w:rsidRPr="00147D0A">
              <w:rPr>
                <w:rFonts w:ascii="Arial Hebrew" w:hAnsi="Arial Hebrew" w:cs="Arial Hebrew" w:hint="cs"/>
                <w:i/>
                <w:iCs/>
                <w:sz w:val="15"/>
                <w:szCs w:val="15"/>
              </w:rPr>
              <w:t xml:space="preserve"> UCM</w:t>
            </w:r>
            <w:r w:rsidR="000E5EBA" w:rsidRPr="00147D0A">
              <w:rPr>
                <w:rFonts w:ascii="Arial Hebrew" w:hAnsi="Arial Hebrew" w:cs="Arial Hebrew" w:hint="cs"/>
                <w:i/>
                <w:iCs/>
                <w:sz w:val="15"/>
                <w:szCs w:val="15"/>
              </w:rPr>
              <w:t>,</w:t>
            </w:r>
            <w:r w:rsidRPr="00147D0A">
              <w:rPr>
                <w:rFonts w:ascii="Arial Hebrew" w:hAnsi="Arial Hebrew" w:cs="Arial Hebrew" w:hint="cs"/>
                <w:i/>
                <w:iCs/>
                <w:sz w:val="15"/>
                <w:szCs w:val="15"/>
              </w:rPr>
              <w:t xml:space="preserve"> adjust</w:t>
            </w:r>
            <w:r w:rsidR="00A21DB1" w:rsidRPr="00147D0A">
              <w:rPr>
                <w:rFonts w:ascii="Arial Hebrew" w:hAnsi="Arial Hebrew" w:cs="Arial Hebrew" w:hint="cs"/>
                <w:i/>
                <w:iCs/>
                <w:sz w:val="15"/>
                <w:szCs w:val="15"/>
              </w:rPr>
              <w:t>ing</w:t>
            </w:r>
            <w:r w:rsidRPr="00147D0A">
              <w:rPr>
                <w:rFonts w:ascii="Arial Hebrew" w:hAnsi="Arial Hebrew" w:cs="Arial Hebrew" w:hint="cs"/>
                <w:i/>
                <w:iCs/>
                <w:sz w:val="15"/>
                <w:szCs w:val="15"/>
              </w:rPr>
              <w:t xml:space="preserve"> for bias across sources. </w:t>
            </w:r>
          </w:p>
        </w:tc>
      </w:tr>
      <w:tr w:rsidR="00070C75" w:rsidRPr="00147D0A" w14:paraId="52955667" w14:textId="25C680DB"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1A5B1F2E" w14:textId="134310D9"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sz w:val="16"/>
                <w:szCs w:val="16"/>
              </w:rPr>
              <w:t>Government Effectiveness</w:t>
            </w:r>
          </w:p>
        </w:tc>
        <w:tc>
          <w:tcPr>
            <w:tcW w:w="1417" w:type="dxa"/>
            <w:tcBorders>
              <w:top w:val="single" w:sz="4" w:space="0" w:color="auto"/>
              <w:left w:val="nil"/>
              <w:bottom w:val="single" w:sz="4" w:space="0" w:color="auto"/>
              <w:right w:val="nil"/>
            </w:tcBorders>
          </w:tcPr>
          <w:p w14:paraId="3934CE3C" w14:textId="10500598"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Quality of public services, civil</w:t>
            </w:r>
            <w:r w:rsidRPr="00147D0A">
              <w:rPr>
                <w:rFonts w:ascii="Arial Hebrew" w:hAnsi="Arial Hebrew" w:cs="Arial Hebrew" w:hint="cs"/>
                <w:i/>
                <w:iCs/>
                <w:sz w:val="15"/>
                <w:szCs w:val="15"/>
              </w:rPr>
              <w:noBreakHyphen/>
              <w:t xml:space="preserve">service professionalism, policy formulation </w:t>
            </w:r>
            <w:r w:rsidR="00697455" w:rsidRPr="00147D0A">
              <w:rPr>
                <w:rFonts w:ascii="Arial Hebrew" w:hAnsi="Arial Hebrew" w:cs="Arial Hebrew" w:hint="cs"/>
                <w:i/>
                <w:iCs/>
                <w:sz w:val="15"/>
                <w:szCs w:val="15"/>
              </w:rPr>
              <w:t>and</w:t>
            </w:r>
            <w:r w:rsidRPr="00147D0A">
              <w:rPr>
                <w:rFonts w:ascii="Arial Hebrew" w:hAnsi="Arial Hebrew" w:cs="Arial Hebrew" w:hint="cs"/>
                <w:i/>
                <w:iCs/>
                <w:sz w:val="15"/>
                <w:szCs w:val="15"/>
              </w:rPr>
              <w:t xml:space="preserve"> implementation, credibility of government commitments.</w:t>
            </w:r>
          </w:p>
        </w:tc>
        <w:tc>
          <w:tcPr>
            <w:tcW w:w="2197" w:type="dxa"/>
            <w:tcBorders>
              <w:top w:val="single" w:sz="4" w:space="0" w:color="auto"/>
              <w:left w:val="nil"/>
              <w:bottom w:val="single" w:sz="4" w:space="0" w:color="auto"/>
              <w:right w:val="nil"/>
            </w:tcBorders>
          </w:tcPr>
          <w:p w14:paraId="0B251C3B" w14:textId="20BDDC39"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 xml:space="preserve">World Bank </w:t>
            </w:r>
            <w:r w:rsidRPr="00147D0A">
              <w:rPr>
                <w:rStyle w:val="Strong"/>
                <w:rFonts w:ascii="Arial Hebrew" w:eastAsiaTheme="majorEastAsia" w:hAnsi="Arial Hebrew" w:cs="Arial Hebrew" w:hint="cs"/>
                <w:b w:val="0"/>
                <w:bCs w:val="0"/>
                <w:sz w:val="15"/>
                <w:szCs w:val="15"/>
              </w:rPr>
              <w:t>CPIA</w:t>
            </w:r>
            <w:r w:rsidRPr="00147D0A">
              <w:rPr>
                <w:rFonts w:ascii="Arial Hebrew" w:hAnsi="Arial Hebrew" w:cs="Arial Hebrew" w:hint="cs"/>
                <w:sz w:val="15"/>
                <w:szCs w:val="15"/>
              </w:rPr>
              <w:t xml:space="preserve"> (Quality of Public Administration, Budget M</w:t>
            </w:r>
            <w:r w:rsidR="00697455" w:rsidRPr="00147D0A">
              <w:rPr>
                <w:rFonts w:ascii="Arial Hebrew" w:hAnsi="Arial Hebrew" w:cs="Arial Hebrew" w:hint="cs"/>
                <w:sz w:val="15"/>
                <w:szCs w:val="15"/>
              </w:rPr>
              <w:t>anagement</w:t>
            </w:r>
            <w:r w:rsidRPr="00147D0A">
              <w:rPr>
                <w:rFonts w:ascii="Arial Hebrew" w:hAnsi="Arial Hebrew" w:cs="Arial Hebrew" w:hint="cs"/>
                <w:sz w:val="15"/>
                <w:szCs w:val="15"/>
              </w:rPr>
              <w:t xml:space="preserve">); </w:t>
            </w:r>
            <w:r w:rsidR="00697455" w:rsidRPr="00147D0A">
              <w:rPr>
                <w:rFonts w:ascii="Arial Hebrew" w:hAnsi="Arial Hebrew" w:cs="Arial Hebrew" w:hint="cs"/>
                <w:sz w:val="15"/>
                <w:szCs w:val="15"/>
              </w:rPr>
              <w:t xml:space="preserve">African and Asian Development Bank </w:t>
            </w:r>
            <w:r w:rsidRPr="00147D0A">
              <w:rPr>
                <w:rFonts w:ascii="Arial Hebrew" w:hAnsi="Arial Hebrew" w:cs="Arial Hebrew" w:hint="cs"/>
                <w:sz w:val="15"/>
                <w:szCs w:val="15"/>
              </w:rPr>
              <w:t>CPIA; PRS</w:t>
            </w:r>
            <w:r w:rsidRPr="00147D0A">
              <w:rPr>
                <w:sz w:val="15"/>
                <w:szCs w:val="15"/>
              </w:rPr>
              <w:t> </w:t>
            </w:r>
            <w:r w:rsidRPr="00147D0A">
              <w:rPr>
                <w:rFonts w:ascii="Arial Hebrew" w:hAnsi="Arial Hebrew" w:cs="Arial Hebrew" w:hint="cs"/>
                <w:sz w:val="15"/>
                <w:szCs w:val="15"/>
              </w:rPr>
              <w:t>ICRG Bureaucratic Quality; Bertelsmann TI (Resource Efficiency, Policy Coordination); V</w:t>
            </w:r>
            <w:r w:rsidRPr="00147D0A">
              <w:rPr>
                <w:rFonts w:ascii="Arial Hebrew" w:hAnsi="Arial Hebrew" w:cs="Arial Hebrew" w:hint="cs"/>
                <w:sz w:val="15"/>
                <w:szCs w:val="15"/>
              </w:rPr>
              <w:noBreakHyphen/>
              <w:t>Dem public</w:t>
            </w:r>
            <w:r w:rsidRPr="00147D0A">
              <w:rPr>
                <w:rFonts w:ascii="Arial Hebrew" w:hAnsi="Arial Hebrew" w:cs="Arial Hebrew" w:hint="cs"/>
                <w:sz w:val="15"/>
                <w:szCs w:val="15"/>
              </w:rPr>
              <w:noBreakHyphen/>
              <w:t>sector capacity.</w:t>
            </w:r>
          </w:p>
        </w:tc>
        <w:tc>
          <w:tcPr>
            <w:tcW w:w="2339" w:type="dxa"/>
            <w:tcBorders>
              <w:top w:val="single" w:sz="4" w:space="0" w:color="auto"/>
              <w:left w:val="nil"/>
              <w:bottom w:val="single" w:sz="4" w:space="0" w:color="auto"/>
              <w:right w:val="nil"/>
            </w:tcBorders>
          </w:tcPr>
          <w:p w14:paraId="2D1D2807" w14:textId="623A97A1"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sz w:val="15"/>
                <w:szCs w:val="15"/>
              </w:rPr>
              <w:t>WEF Executive Opinion Survey (quality of infrastructure, education, wasteful spending); IMD WCY survey (bureaucracy doesn’t hinder business, adaptability of policy); Gallup (satisfaction with education, healthcare, roads); Afrobarometer service</w:t>
            </w:r>
            <w:r w:rsidRPr="00147D0A">
              <w:rPr>
                <w:rFonts w:ascii="Arial Hebrew" w:hAnsi="Arial Hebrew" w:cs="Arial Hebrew" w:hint="cs"/>
                <w:sz w:val="15"/>
                <w:szCs w:val="15"/>
              </w:rPr>
              <w:noBreakHyphen/>
              <w:t>delivery questions.</w:t>
            </w:r>
          </w:p>
        </w:tc>
        <w:tc>
          <w:tcPr>
            <w:tcW w:w="1655" w:type="dxa"/>
            <w:tcBorders>
              <w:top w:val="single" w:sz="4" w:space="0" w:color="auto"/>
              <w:left w:val="nil"/>
              <w:bottom w:val="single" w:sz="4" w:space="0" w:color="auto"/>
              <w:right w:val="nil"/>
            </w:tcBorders>
          </w:tcPr>
          <w:p w14:paraId="4B4A166B" w14:textId="376C8657"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Service</w:t>
            </w:r>
            <w:r w:rsidRPr="00147D0A">
              <w:rPr>
                <w:rFonts w:ascii="Arial Hebrew" w:hAnsi="Arial Hebrew" w:cs="Arial Hebrew" w:hint="cs"/>
                <w:i/>
                <w:iCs/>
                <w:sz w:val="15"/>
                <w:szCs w:val="15"/>
              </w:rPr>
              <w:noBreakHyphen/>
              <w:t xml:space="preserve">quality questions scaled </w:t>
            </w:r>
            <w:r w:rsidR="000E5EBA" w:rsidRPr="00147D0A">
              <w:rPr>
                <w:rFonts w:ascii="Arial Hebrew" w:hAnsi="Arial Hebrew" w:cs="Arial Hebrew" w:hint="cs"/>
                <w:i/>
                <w:iCs/>
                <w:sz w:val="15"/>
                <w:szCs w:val="15"/>
              </w:rPr>
              <w:t xml:space="preserve">with </w:t>
            </w:r>
            <w:r w:rsidRPr="00147D0A">
              <w:rPr>
                <w:rFonts w:ascii="Arial Hebrew" w:hAnsi="Arial Hebrew" w:cs="Arial Hebrew" w:hint="cs"/>
                <w:i/>
                <w:iCs/>
                <w:sz w:val="15"/>
                <w:szCs w:val="15"/>
              </w:rPr>
              <w:t>multiple service areas averaged within source. UCM assigns greater weight to broadly</w:t>
            </w:r>
            <w:r w:rsidRPr="00147D0A">
              <w:rPr>
                <w:rFonts w:ascii="Arial Hebrew" w:hAnsi="Arial Hebrew" w:cs="Arial Hebrew" w:hint="cs"/>
                <w:i/>
                <w:iCs/>
                <w:sz w:val="15"/>
                <w:szCs w:val="15"/>
              </w:rPr>
              <w:noBreakHyphen/>
              <w:t>covered CPIA/WEF indicators.</w:t>
            </w:r>
          </w:p>
        </w:tc>
      </w:tr>
      <w:tr w:rsidR="00070C75" w:rsidRPr="00147D0A" w14:paraId="4CAA5220" w14:textId="744ADDEF"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4620A0A8" w14:textId="27FEAD82"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color w:val="000000" w:themeColor="text1"/>
                <w:sz w:val="16"/>
                <w:szCs w:val="16"/>
              </w:rPr>
              <w:t>Political Stability &amp; Absence of Violence / Terrorism</w:t>
            </w:r>
          </w:p>
        </w:tc>
        <w:tc>
          <w:tcPr>
            <w:tcW w:w="1417" w:type="dxa"/>
            <w:tcBorders>
              <w:top w:val="single" w:sz="4" w:space="0" w:color="auto"/>
              <w:left w:val="nil"/>
              <w:bottom w:val="single" w:sz="4" w:space="0" w:color="auto"/>
              <w:right w:val="nil"/>
            </w:tcBorders>
          </w:tcPr>
          <w:p w14:paraId="0FEFA4A1" w14:textId="2A4912B3"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Likelihood that government will be destabilised or overthrown by unconstitutional or violent means</w:t>
            </w:r>
            <w:r w:rsidR="00697455"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incl</w:t>
            </w:r>
            <w:r w:rsidR="00697455" w:rsidRPr="00147D0A">
              <w:rPr>
                <w:rFonts w:ascii="Arial Hebrew" w:hAnsi="Arial Hebrew" w:cs="Arial Hebrew" w:hint="cs"/>
                <w:i/>
                <w:iCs/>
                <w:sz w:val="15"/>
                <w:szCs w:val="15"/>
              </w:rPr>
              <w:t>uding</w:t>
            </w:r>
            <w:r w:rsidRPr="00147D0A">
              <w:rPr>
                <w:rFonts w:ascii="Arial Hebrew" w:hAnsi="Arial Hebrew" w:cs="Arial Hebrew" w:hint="cs"/>
                <w:i/>
                <w:iCs/>
                <w:sz w:val="15"/>
                <w:szCs w:val="15"/>
              </w:rPr>
              <w:t xml:space="preserve"> terrorism.</w:t>
            </w:r>
          </w:p>
        </w:tc>
        <w:tc>
          <w:tcPr>
            <w:tcW w:w="2197" w:type="dxa"/>
            <w:tcBorders>
              <w:top w:val="single" w:sz="4" w:space="0" w:color="auto"/>
              <w:left w:val="nil"/>
              <w:bottom w:val="single" w:sz="4" w:space="0" w:color="auto"/>
              <w:right w:val="nil"/>
            </w:tcBorders>
          </w:tcPr>
          <w:p w14:paraId="778B7BAB" w14:textId="5560D9F9"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PRS</w:t>
            </w:r>
            <w:r w:rsidRPr="00147D0A">
              <w:rPr>
                <w:sz w:val="15"/>
                <w:szCs w:val="15"/>
              </w:rPr>
              <w:t> </w:t>
            </w:r>
            <w:r w:rsidRPr="00147D0A">
              <w:rPr>
                <w:rFonts w:ascii="Arial Hebrew" w:hAnsi="Arial Hebrew" w:cs="Arial Hebrew" w:hint="cs"/>
                <w:sz w:val="15"/>
                <w:szCs w:val="15"/>
              </w:rPr>
              <w:t>ICRG (Government Stability, Internal &amp; External Conflict, Ethnic Tensions); E</w:t>
            </w:r>
            <w:r w:rsidR="00697455" w:rsidRPr="00147D0A">
              <w:rPr>
                <w:rFonts w:ascii="Arial Hebrew" w:hAnsi="Arial Hebrew" w:cs="Arial Hebrew" w:hint="cs"/>
                <w:sz w:val="15"/>
                <w:szCs w:val="15"/>
              </w:rPr>
              <w:t>IU</w:t>
            </w:r>
            <w:r w:rsidRPr="00147D0A">
              <w:rPr>
                <w:rFonts w:ascii="Arial Hebrew" w:hAnsi="Arial Hebrew" w:cs="Arial Hebrew" w:hint="cs"/>
                <w:sz w:val="15"/>
                <w:szCs w:val="15"/>
              </w:rPr>
              <w:t xml:space="preserve"> Country Risk (Orderly Transfer of Power, Social Unrest); PTS (Political Terror Scale); Crisis24/IHS Markit security risk; V</w:t>
            </w:r>
            <w:r w:rsidRPr="00147D0A">
              <w:rPr>
                <w:rFonts w:ascii="Arial Hebrew" w:hAnsi="Arial Hebrew" w:cs="Arial Hebrew" w:hint="cs"/>
                <w:sz w:val="15"/>
                <w:szCs w:val="15"/>
              </w:rPr>
              <w:noBreakHyphen/>
              <w:t>Dem political violence indices.</w:t>
            </w:r>
          </w:p>
        </w:tc>
        <w:tc>
          <w:tcPr>
            <w:tcW w:w="2339" w:type="dxa"/>
            <w:tcBorders>
              <w:top w:val="single" w:sz="4" w:space="0" w:color="auto"/>
              <w:left w:val="nil"/>
              <w:bottom w:val="single" w:sz="4" w:space="0" w:color="auto"/>
              <w:right w:val="nil"/>
            </w:tcBorders>
          </w:tcPr>
          <w:p w14:paraId="3D143E64" w14:textId="542F2815"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World Bank Enterprise Surveys (political instability obstacle); Gallup World Poll (feel safe, confidence in police); IMD Executive Survey (low risk of political instability); H</w:t>
            </w:r>
            <w:r w:rsidR="00AA7A42" w:rsidRPr="00147D0A">
              <w:rPr>
                <w:rFonts w:ascii="Arial Hebrew" w:hAnsi="Arial Hebrew" w:cs="Arial Hebrew" w:hint="cs"/>
                <w:sz w:val="15"/>
                <w:szCs w:val="15"/>
              </w:rPr>
              <w:t xml:space="preserve">uman </w:t>
            </w:r>
            <w:r w:rsidRPr="00147D0A">
              <w:rPr>
                <w:rFonts w:ascii="Arial Hebrew" w:hAnsi="Arial Hebrew" w:cs="Arial Hebrew" w:hint="cs"/>
                <w:sz w:val="15"/>
                <w:szCs w:val="15"/>
              </w:rPr>
              <w:t>R</w:t>
            </w:r>
            <w:r w:rsidR="00AA7A42" w:rsidRPr="00147D0A">
              <w:rPr>
                <w:rFonts w:ascii="Arial Hebrew" w:hAnsi="Arial Hebrew" w:cs="Arial Hebrew" w:hint="cs"/>
                <w:sz w:val="15"/>
                <w:szCs w:val="15"/>
              </w:rPr>
              <w:t xml:space="preserve">ights </w:t>
            </w:r>
            <w:r w:rsidRPr="00147D0A">
              <w:rPr>
                <w:rFonts w:ascii="Arial Hebrew" w:hAnsi="Arial Hebrew" w:cs="Arial Hebrew" w:hint="cs"/>
                <w:sz w:val="15"/>
                <w:szCs w:val="15"/>
              </w:rPr>
              <w:t>M</w:t>
            </w:r>
            <w:r w:rsidR="00AA7A42" w:rsidRPr="00147D0A">
              <w:rPr>
                <w:rFonts w:ascii="Arial Hebrew" w:hAnsi="Arial Hebrew" w:cs="Arial Hebrew" w:hint="cs"/>
                <w:sz w:val="15"/>
                <w:szCs w:val="15"/>
              </w:rPr>
              <w:t xml:space="preserve">easurement </w:t>
            </w:r>
            <w:r w:rsidRPr="00147D0A">
              <w:rPr>
                <w:rFonts w:ascii="Arial Hebrew" w:hAnsi="Arial Hebrew" w:cs="Arial Hebrew" w:hint="cs"/>
                <w:sz w:val="15"/>
                <w:szCs w:val="15"/>
              </w:rPr>
              <w:t>I</w:t>
            </w:r>
            <w:r w:rsidR="00AA7A42" w:rsidRPr="00147D0A">
              <w:rPr>
                <w:rFonts w:ascii="Arial Hebrew" w:hAnsi="Arial Hebrew" w:cs="Arial Hebrew" w:hint="cs"/>
                <w:sz w:val="15"/>
                <w:szCs w:val="15"/>
              </w:rPr>
              <w:t>nitiative</w:t>
            </w:r>
            <w:r w:rsidRPr="00147D0A">
              <w:rPr>
                <w:rFonts w:ascii="Arial Hebrew" w:hAnsi="Arial Hebrew" w:cs="Arial Hebrew" w:hint="cs"/>
                <w:sz w:val="15"/>
                <w:szCs w:val="15"/>
              </w:rPr>
              <w:t xml:space="preserve"> human</w:t>
            </w:r>
            <w:r w:rsidRPr="00147D0A">
              <w:rPr>
                <w:rFonts w:ascii="Arial Hebrew" w:hAnsi="Arial Hebrew" w:cs="Arial Hebrew" w:hint="cs"/>
                <w:sz w:val="15"/>
                <w:szCs w:val="15"/>
              </w:rPr>
              <w:noBreakHyphen/>
              <w:t>rights surveys.</w:t>
            </w:r>
          </w:p>
        </w:tc>
        <w:tc>
          <w:tcPr>
            <w:tcW w:w="1655" w:type="dxa"/>
            <w:tcBorders>
              <w:top w:val="single" w:sz="4" w:space="0" w:color="auto"/>
              <w:left w:val="nil"/>
              <w:bottom w:val="single" w:sz="4" w:space="0" w:color="auto"/>
              <w:right w:val="nil"/>
            </w:tcBorders>
          </w:tcPr>
          <w:p w14:paraId="77311C92" w14:textId="4B16B514"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Violent</w:t>
            </w:r>
            <w:r w:rsidRPr="00147D0A">
              <w:rPr>
                <w:rFonts w:ascii="Arial Hebrew" w:hAnsi="Arial Hebrew" w:cs="Arial Hebrew" w:hint="cs"/>
                <w:i/>
                <w:iCs/>
                <w:sz w:val="15"/>
                <w:szCs w:val="15"/>
              </w:rPr>
              <w:noBreakHyphen/>
              <w:t>risk metrics inverted where necessary</w:t>
            </w:r>
            <w:r w:rsidR="00A21DB1" w:rsidRPr="00147D0A">
              <w:rPr>
                <w:rFonts w:ascii="Arial Hebrew" w:hAnsi="Arial Hebrew" w:cs="Arial Hebrew" w:hint="cs"/>
                <w:i/>
                <w:iCs/>
                <w:sz w:val="15"/>
                <w:szCs w:val="15"/>
              </w:rPr>
              <w:t>,</w:t>
            </w:r>
            <w:r w:rsidRPr="00147D0A">
              <w:rPr>
                <w:rFonts w:ascii="Arial Hebrew" w:hAnsi="Arial Hebrew" w:cs="Arial Hebrew" w:hint="cs"/>
                <w:i/>
                <w:iCs/>
                <w:sz w:val="15"/>
                <w:szCs w:val="15"/>
              </w:rPr>
              <w:t xml:space="preserve"> rescaled </w:t>
            </w:r>
            <w:r w:rsidR="00A21DB1" w:rsidRPr="00147D0A">
              <w:rPr>
                <w:rFonts w:ascii="Arial Hebrew" w:hAnsi="Arial Hebrew" w:cs="Arial Hebrew" w:hint="cs"/>
                <w:i/>
                <w:iCs/>
                <w:sz w:val="15"/>
                <w:szCs w:val="15"/>
              </w:rPr>
              <w:t>and aggregated via</w:t>
            </w:r>
            <w:r w:rsidRPr="00147D0A">
              <w:rPr>
                <w:rFonts w:ascii="Arial Hebrew" w:hAnsi="Arial Hebrew" w:cs="Arial Hebrew" w:hint="cs"/>
                <w:i/>
                <w:iCs/>
                <w:sz w:val="15"/>
                <w:szCs w:val="15"/>
              </w:rPr>
              <w:t xml:space="preserve"> UCM</w:t>
            </w:r>
            <w:r w:rsidR="00A21DB1" w:rsidRPr="00147D0A">
              <w:rPr>
                <w:rFonts w:ascii="Arial Hebrew" w:hAnsi="Arial Hebrew" w:cs="Arial Hebrew" w:hint="cs"/>
                <w:i/>
                <w:iCs/>
                <w:sz w:val="15"/>
                <w:szCs w:val="15"/>
              </w:rPr>
              <w:t xml:space="preserve"> with t</w:t>
            </w:r>
            <w:r w:rsidRPr="00147D0A">
              <w:rPr>
                <w:rFonts w:ascii="Arial Hebrew" w:hAnsi="Arial Hebrew" w:cs="Arial Hebrew" w:hint="cs"/>
                <w:i/>
                <w:iCs/>
                <w:sz w:val="15"/>
                <w:szCs w:val="15"/>
              </w:rPr>
              <w:t>ime</w:t>
            </w:r>
            <w:r w:rsidRPr="00147D0A">
              <w:rPr>
                <w:rFonts w:ascii="Arial Hebrew" w:hAnsi="Arial Hebrew" w:cs="Arial Hebrew" w:hint="cs"/>
                <w:i/>
                <w:iCs/>
                <w:sz w:val="15"/>
                <w:szCs w:val="15"/>
              </w:rPr>
              <w:noBreakHyphen/>
              <w:t>varying weights reflect differing coverage of conflict datasets.</w:t>
            </w:r>
          </w:p>
        </w:tc>
      </w:tr>
      <w:tr w:rsidR="00070C75" w:rsidRPr="00147D0A" w14:paraId="6245BA8E" w14:textId="32220BE5" w:rsidTr="0027716B">
        <w:trPr>
          <w:trHeight w:val="490"/>
        </w:trPr>
        <w:tc>
          <w:tcPr>
            <w:tcW w:w="1418" w:type="dxa"/>
            <w:tcBorders>
              <w:top w:val="single" w:sz="4" w:space="0" w:color="auto"/>
              <w:left w:val="nil"/>
              <w:bottom w:val="single" w:sz="4" w:space="0" w:color="auto"/>
              <w:right w:val="nil"/>
            </w:tcBorders>
            <w:shd w:val="clear" w:color="auto" w:fill="F2F2F2" w:themeFill="background1" w:themeFillShade="F2"/>
          </w:tcPr>
          <w:p w14:paraId="3D1D80A0" w14:textId="701CBAFE"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color w:val="000000" w:themeColor="text1"/>
                <w:sz w:val="16"/>
                <w:szCs w:val="16"/>
              </w:rPr>
              <w:t>Voice &amp; Accountability</w:t>
            </w:r>
          </w:p>
        </w:tc>
        <w:tc>
          <w:tcPr>
            <w:tcW w:w="1417" w:type="dxa"/>
            <w:tcBorders>
              <w:top w:val="single" w:sz="4" w:space="0" w:color="auto"/>
              <w:left w:val="nil"/>
              <w:bottom w:val="single" w:sz="4" w:space="0" w:color="auto"/>
              <w:right w:val="nil"/>
            </w:tcBorders>
          </w:tcPr>
          <w:p w14:paraId="2F01A545" w14:textId="5287E9E3"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Extent to which citizens can select government</w:t>
            </w:r>
            <w:r w:rsidRPr="00147D0A">
              <w:rPr>
                <w:i/>
                <w:iCs/>
                <w:sz w:val="15"/>
                <w:szCs w:val="15"/>
              </w:rPr>
              <w:t> </w:t>
            </w:r>
            <w:r w:rsidRPr="00147D0A">
              <w:rPr>
                <w:rFonts w:ascii="Arial Hebrew" w:hAnsi="Arial Hebrew" w:cs="Arial Hebrew" w:hint="cs"/>
                <w:i/>
                <w:iCs/>
                <w:sz w:val="15"/>
                <w:szCs w:val="15"/>
              </w:rPr>
              <w:t>&amp; enjoy freedom of expression, association, and a free media.</w:t>
            </w:r>
          </w:p>
        </w:tc>
        <w:tc>
          <w:tcPr>
            <w:tcW w:w="2197" w:type="dxa"/>
            <w:tcBorders>
              <w:top w:val="single" w:sz="4" w:space="0" w:color="auto"/>
              <w:left w:val="nil"/>
              <w:bottom w:val="single" w:sz="4" w:space="0" w:color="auto"/>
              <w:right w:val="nil"/>
            </w:tcBorders>
          </w:tcPr>
          <w:p w14:paraId="1D75D75A" w14:textId="4282A4BA"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 xml:space="preserve">Freedom House </w:t>
            </w:r>
            <w:r w:rsidRPr="00147D0A">
              <w:rPr>
                <w:rStyle w:val="Emphasis"/>
                <w:rFonts w:ascii="Arial Hebrew" w:eastAsiaTheme="majorEastAsia" w:hAnsi="Arial Hebrew" w:cs="Arial Hebrew" w:hint="cs"/>
                <w:sz w:val="15"/>
                <w:szCs w:val="15"/>
              </w:rPr>
              <w:t>Freedom in the World</w:t>
            </w:r>
            <w:r w:rsidRPr="00147D0A">
              <w:rPr>
                <w:rFonts w:ascii="Arial Hebrew" w:hAnsi="Arial Hebrew" w:cs="Arial Hebrew" w:hint="cs"/>
                <w:sz w:val="15"/>
                <w:szCs w:val="15"/>
              </w:rPr>
              <w:t xml:space="preserve"> (Political</w:t>
            </w:r>
            <w:r w:rsidRPr="00147D0A">
              <w:rPr>
                <w:sz w:val="15"/>
                <w:szCs w:val="15"/>
              </w:rPr>
              <w:t> </w:t>
            </w:r>
            <w:r w:rsidRPr="00147D0A">
              <w:rPr>
                <w:rFonts w:ascii="Arial Hebrew" w:hAnsi="Arial Hebrew" w:cs="Arial Hebrew" w:hint="cs"/>
                <w:sz w:val="15"/>
                <w:szCs w:val="15"/>
              </w:rPr>
              <w:t>Rights</w:t>
            </w:r>
            <w:r w:rsidR="00697455" w:rsidRPr="00147D0A">
              <w:rPr>
                <w:rFonts w:ascii="Arial Hebrew" w:hAnsi="Arial Hebrew" w:cs="Arial Hebrew" w:hint="cs"/>
                <w:sz w:val="15"/>
                <w:szCs w:val="15"/>
              </w:rPr>
              <w:t xml:space="preserve"> &amp; </w:t>
            </w:r>
            <w:r w:rsidRPr="00147D0A">
              <w:rPr>
                <w:rFonts w:ascii="Arial Hebrew" w:hAnsi="Arial Hebrew" w:cs="Arial Hebrew" w:hint="cs"/>
                <w:sz w:val="15"/>
                <w:szCs w:val="15"/>
              </w:rPr>
              <w:t>Civil</w:t>
            </w:r>
            <w:r w:rsidRPr="00147D0A">
              <w:rPr>
                <w:sz w:val="15"/>
                <w:szCs w:val="15"/>
              </w:rPr>
              <w:t> </w:t>
            </w:r>
            <w:r w:rsidRPr="00147D0A">
              <w:rPr>
                <w:rFonts w:ascii="Arial Hebrew" w:hAnsi="Arial Hebrew" w:cs="Arial Hebrew" w:hint="cs"/>
                <w:sz w:val="15"/>
                <w:szCs w:val="15"/>
              </w:rPr>
              <w:t>Liberties; Reporters</w:t>
            </w:r>
            <w:r w:rsidRPr="00147D0A">
              <w:rPr>
                <w:sz w:val="15"/>
                <w:szCs w:val="15"/>
              </w:rPr>
              <w:t> </w:t>
            </w:r>
            <w:r w:rsidRPr="00147D0A">
              <w:rPr>
                <w:rFonts w:ascii="Arial Hebrew" w:hAnsi="Arial Hebrew" w:cs="Arial Hebrew" w:hint="cs"/>
                <w:sz w:val="15"/>
                <w:szCs w:val="15"/>
              </w:rPr>
              <w:t>Without</w:t>
            </w:r>
            <w:r w:rsidRPr="00147D0A">
              <w:rPr>
                <w:sz w:val="15"/>
                <w:szCs w:val="15"/>
              </w:rPr>
              <w:t> </w:t>
            </w:r>
            <w:r w:rsidRPr="00147D0A">
              <w:rPr>
                <w:rFonts w:ascii="Arial Hebrew" w:hAnsi="Arial Hebrew" w:cs="Arial Hebrew" w:hint="cs"/>
                <w:sz w:val="15"/>
                <w:szCs w:val="15"/>
              </w:rPr>
              <w:t xml:space="preserve">Borders Press Freedom Index; EIU Democracy Index; Bertelsmann Transformation Index (Political Participation); Freedom House </w:t>
            </w:r>
            <w:r w:rsidRPr="00147D0A">
              <w:rPr>
                <w:rStyle w:val="Emphasis"/>
                <w:rFonts w:ascii="Arial Hebrew" w:eastAsiaTheme="majorEastAsia" w:hAnsi="Arial Hebrew" w:cs="Arial Hebrew" w:hint="cs"/>
                <w:sz w:val="15"/>
                <w:szCs w:val="15"/>
              </w:rPr>
              <w:t>Nations</w:t>
            </w:r>
            <w:r w:rsidRPr="00147D0A">
              <w:rPr>
                <w:rStyle w:val="Emphasis"/>
                <w:rFonts w:eastAsiaTheme="majorEastAsia"/>
                <w:sz w:val="15"/>
                <w:szCs w:val="15"/>
              </w:rPr>
              <w:t> </w:t>
            </w:r>
            <w:r w:rsidRPr="00147D0A">
              <w:rPr>
                <w:rStyle w:val="Emphasis"/>
                <w:rFonts w:ascii="Arial Hebrew" w:eastAsiaTheme="majorEastAsia" w:hAnsi="Arial Hebrew" w:cs="Arial Hebrew" w:hint="cs"/>
                <w:sz w:val="15"/>
                <w:szCs w:val="15"/>
              </w:rPr>
              <w:t>in</w:t>
            </w:r>
            <w:r w:rsidRPr="00147D0A">
              <w:rPr>
                <w:rStyle w:val="Emphasis"/>
                <w:rFonts w:eastAsiaTheme="majorEastAsia"/>
                <w:sz w:val="15"/>
                <w:szCs w:val="15"/>
              </w:rPr>
              <w:t> </w:t>
            </w:r>
            <w:r w:rsidRPr="00147D0A">
              <w:rPr>
                <w:rStyle w:val="Emphasis"/>
                <w:rFonts w:ascii="Arial Hebrew" w:eastAsiaTheme="majorEastAsia" w:hAnsi="Arial Hebrew" w:cs="Arial Hebrew" w:hint="cs"/>
                <w:sz w:val="15"/>
                <w:szCs w:val="15"/>
              </w:rPr>
              <w:t>Transit</w:t>
            </w:r>
            <w:r w:rsidRPr="00147D0A">
              <w:rPr>
                <w:rFonts w:ascii="Arial Hebrew" w:hAnsi="Arial Hebrew" w:cs="Arial Hebrew" w:hint="cs"/>
                <w:sz w:val="15"/>
                <w:szCs w:val="15"/>
              </w:rPr>
              <w:t>; V</w:t>
            </w:r>
            <w:r w:rsidRPr="00147D0A">
              <w:rPr>
                <w:rFonts w:ascii="Arial Hebrew" w:hAnsi="Arial Hebrew" w:cs="Arial Hebrew" w:hint="cs"/>
                <w:sz w:val="15"/>
                <w:szCs w:val="15"/>
              </w:rPr>
              <w:noBreakHyphen/>
              <w:t>Dem electoral &amp; media sub</w:t>
            </w:r>
            <w:r w:rsidRPr="00147D0A">
              <w:rPr>
                <w:rFonts w:ascii="Arial Hebrew" w:hAnsi="Arial Hebrew" w:cs="Arial Hebrew" w:hint="cs"/>
                <w:sz w:val="15"/>
                <w:szCs w:val="15"/>
              </w:rPr>
              <w:noBreakHyphen/>
              <w:t>indices.</w:t>
            </w:r>
          </w:p>
        </w:tc>
        <w:tc>
          <w:tcPr>
            <w:tcW w:w="2339" w:type="dxa"/>
            <w:tcBorders>
              <w:top w:val="single" w:sz="4" w:space="0" w:color="auto"/>
              <w:left w:val="nil"/>
              <w:bottom w:val="single" w:sz="4" w:space="0" w:color="auto"/>
              <w:right w:val="nil"/>
            </w:tcBorders>
          </w:tcPr>
          <w:p w14:paraId="64A67E3C" w14:textId="635329BB"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Gallup World Poll (confidence in elections/media); Afrobarometer, Latinobar</w:t>
            </w:r>
            <w:r w:rsidR="00A21DB1" w:rsidRPr="00147D0A">
              <w:rPr>
                <w:rFonts w:ascii="Arial Hebrew" w:hAnsi="Arial Hebrew" w:cs="Arial Hebrew" w:hint="cs"/>
                <w:sz w:val="15"/>
                <w:szCs w:val="15"/>
              </w:rPr>
              <w:t>o</w:t>
            </w:r>
            <w:r w:rsidRPr="00147D0A">
              <w:rPr>
                <w:rFonts w:ascii="Arial Hebrew" w:hAnsi="Arial Hebrew" w:cs="Arial Hebrew" w:hint="cs"/>
                <w:sz w:val="15"/>
                <w:szCs w:val="15"/>
              </w:rPr>
              <w:t>metro, AmericasBarometer (satisfaction with democracy, trust in parliament, electoral fairness); Eurobarometer / E</w:t>
            </w:r>
            <w:r w:rsidR="008D24AD" w:rsidRPr="00147D0A">
              <w:rPr>
                <w:rFonts w:ascii="Arial Hebrew" w:hAnsi="Arial Hebrew" w:cs="Arial Hebrew" w:hint="cs"/>
                <w:sz w:val="15"/>
                <w:szCs w:val="15"/>
              </w:rPr>
              <w:t xml:space="preserve">uropean </w:t>
            </w:r>
            <w:r w:rsidRPr="00147D0A">
              <w:rPr>
                <w:rFonts w:ascii="Arial Hebrew" w:hAnsi="Arial Hebrew" w:cs="Arial Hebrew" w:hint="cs"/>
                <w:sz w:val="15"/>
                <w:szCs w:val="15"/>
              </w:rPr>
              <w:t>Q</w:t>
            </w:r>
            <w:r w:rsidR="008D24AD" w:rsidRPr="00147D0A">
              <w:rPr>
                <w:rFonts w:ascii="Arial Hebrew" w:hAnsi="Arial Hebrew" w:cs="Arial Hebrew" w:hint="cs"/>
                <w:sz w:val="15"/>
                <w:szCs w:val="15"/>
              </w:rPr>
              <w:t>uality of Government Index</w:t>
            </w:r>
            <w:r w:rsidRPr="00147D0A">
              <w:rPr>
                <w:rFonts w:ascii="Arial Hebrew" w:hAnsi="Arial Hebrew" w:cs="Arial Hebrew" w:hint="cs"/>
                <w:sz w:val="15"/>
                <w:szCs w:val="15"/>
              </w:rPr>
              <w:t>.</w:t>
            </w:r>
          </w:p>
        </w:tc>
        <w:tc>
          <w:tcPr>
            <w:tcW w:w="1655" w:type="dxa"/>
            <w:tcBorders>
              <w:top w:val="single" w:sz="4" w:space="0" w:color="auto"/>
              <w:left w:val="nil"/>
              <w:bottom w:val="single" w:sz="4" w:space="0" w:color="auto"/>
              <w:right w:val="nil"/>
            </w:tcBorders>
          </w:tcPr>
          <w:p w14:paraId="5F2F1799" w14:textId="06260899"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Multiple questions within each source averaged</w:t>
            </w:r>
            <w:r w:rsidR="00A21DB1" w:rsidRPr="00147D0A">
              <w:rPr>
                <w:rFonts w:ascii="Arial Hebrew" w:hAnsi="Arial Hebrew" w:cs="Arial Hebrew" w:hint="cs"/>
                <w:i/>
                <w:iCs/>
                <w:sz w:val="15"/>
                <w:szCs w:val="15"/>
              </w:rPr>
              <w:t xml:space="preserve"> and</w:t>
            </w:r>
            <w:r w:rsidRPr="00147D0A">
              <w:rPr>
                <w:rFonts w:ascii="Arial Hebrew" w:hAnsi="Arial Hebrew" w:cs="Arial Hebrew" w:hint="cs"/>
                <w:i/>
                <w:iCs/>
                <w:sz w:val="15"/>
                <w:szCs w:val="15"/>
              </w:rPr>
              <w:t xml:space="preserve"> </w:t>
            </w:r>
            <w:r w:rsidR="00A21DB1" w:rsidRPr="00147D0A">
              <w:rPr>
                <w:rFonts w:ascii="Arial Hebrew" w:hAnsi="Arial Hebrew" w:cs="Arial Hebrew" w:hint="cs"/>
                <w:i/>
                <w:iCs/>
                <w:sz w:val="15"/>
                <w:szCs w:val="15"/>
              </w:rPr>
              <w:t>a</w:t>
            </w:r>
            <w:r w:rsidRPr="00147D0A">
              <w:rPr>
                <w:rFonts w:ascii="Arial Hebrew" w:hAnsi="Arial Hebrew" w:cs="Arial Hebrew" w:hint="cs"/>
                <w:i/>
                <w:iCs/>
                <w:sz w:val="15"/>
                <w:szCs w:val="15"/>
              </w:rPr>
              <w:t>ggregated via UCM</w:t>
            </w:r>
            <w:r w:rsidR="0027716B" w:rsidRPr="00147D0A">
              <w:rPr>
                <w:rFonts w:ascii="Arial Hebrew" w:hAnsi="Arial Hebrew" w:cs="Arial Hebrew" w:hint="cs"/>
                <w:i/>
                <w:iCs/>
                <w:sz w:val="15"/>
                <w:szCs w:val="15"/>
              </w:rPr>
              <w:t>,</w:t>
            </w:r>
            <w:r w:rsidR="00A21DB1" w:rsidRPr="00147D0A">
              <w:rPr>
                <w:rFonts w:ascii="Arial Hebrew" w:hAnsi="Arial Hebrew" w:cs="Arial Hebrew" w:hint="cs"/>
                <w:i/>
                <w:iCs/>
                <w:sz w:val="15"/>
                <w:szCs w:val="15"/>
              </w:rPr>
              <w:t xml:space="preserve"> </w:t>
            </w:r>
            <w:r w:rsidRPr="00147D0A">
              <w:rPr>
                <w:rFonts w:ascii="Arial Hebrew" w:hAnsi="Arial Hebrew" w:cs="Arial Hebrew" w:hint="cs"/>
                <w:i/>
                <w:iCs/>
                <w:sz w:val="15"/>
                <w:szCs w:val="15"/>
              </w:rPr>
              <w:t xml:space="preserve"> sources with lower variance get higher weight.</w:t>
            </w:r>
          </w:p>
        </w:tc>
      </w:tr>
      <w:tr w:rsidR="00070C75" w:rsidRPr="00147D0A" w14:paraId="6F30605E" w14:textId="64323BE0" w:rsidTr="0027716B">
        <w:trPr>
          <w:trHeight w:val="490"/>
        </w:trPr>
        <w:tc>
          <w:tcPr>
            <w:tcW w:w="1418" w:type="dxa"/>
            <w:tcBorders>
              <w:top w:val="single" w:sz="4" w:space="0" w:color="auto"/>
              <w:left w:val="nil"/>
              <w:bottom w:val="double" w:sz="4" w:space="0" w:color="auto"/>
              <w:right w:val="nil"/>
            </w:tcBorders>
            <w:shd w:val="clear" w:color="auto" w:fill="F2F2F2" w:themeFill="background1" w:themeFillShade="F2"/>
          </w:tcPr>
          <w:p w14:paraId="10396C92" w14:textId="3715E912" w:rsidR="00070C75" w:rsidRPr="00147D0A" w:rsidRDefault="00070C75" w:rsidP="0027716B">
            <w:pPr>
              <w:spacing w:before="20" w:line="264" w:lineRule="auto"/>
              <w:rPr>
                <w:rFonts w:ascii="Arial Hebrew" w:hAnsi="Arial Hebrew" w:cs="Arial Hebrew"/>
                <w:b/>
                <w:bCs/>
                <w:sz w:val="16"/>
                <w:szCs w:val="16"/>
              </w:rPr>
            </w:pPr>
            <w:r w:rsidRPr="00147D0A">
              <w:rPr>
                <w:rFonts w:ascii="Arial Hebrew" w:hAnsi="Arial Hebrew" w:cs="Arial Hebrew" w:hint="cs"/>
                <w:b/>
                <w:bCs/>
                <w:color w:val="000000" w:themeColor="text1"/>
                <w:sz w:val="16"/>
                <w:szCs w:val="16"/>
              </w:rPr>
              <w:t>Regulatory Quality</w:t>
            </w:r>
          </w:p>
        </w:tc>
        <w:tc>
          <w:tcPr>
            <w:tcW w:w="1417" w:type="dxa"/>
            <w:tcBorders>
              <w:top w:val="single" w:sz="4" w:space="0" w:color="auto"/>
              <w:left w:val="nil"/>
              <w:bottom w:val="double" w:sz="4" w:space="0" w:color="auto"/>
              <w:right w:val="nil"/>
            </w:tcBorders>
          </w:tcPr>
          <w:p w14:paraId="0606C581" w14:textId="27163003"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Ability of government to formulate &amp; implement sound, market</w:t>
            </w:r>
            <w:r w:rsidRPr="00147D0A">
              <w:rPr>
                <w:rFonts w:ascii="Arial Hebrew" w:hAnsi="Arial Hebrew" w:cs="Arial Hebrew" w:hint="cs"/>
                <w:i/>
                <w:iCs/>
                <w:sz w:val="15"/>
                <w:szCs w:val="15"/>
              </w:rPr>
              <w:noBreakHyphen/>
              <w:t>friendly policies &amp; regulations that support private</w:t>
            </w:r>
            <w:r w:rsidRPr="00147D0A">
              <w:rPr>
                <w:rFonts w:ascii="Arial Hebrew" w:hAnsi="Arial Hebrew" w:cs="Arial Hebrew" w:hint="cs"/>
                <w:i/>
                <w:iCs/>
                <w:sz w:val="15"/>
                <w:szCs w:val="15"/>
              </w:rPr>
              <w:noBreakHyphen/>
              <w:t>sector development.</w:t>
            </w:r>
          </w:p>
        </w:tc>
        <w:tc>
          <w:tcPr>
            <w:tcW w:w="2197" w:type="dxa"/>
            <w:tcBorders>
              <w:top w:val="single" w:sz="4" w:space="0" w:color="auto"/>
              <w:left w:val="nil"/>
              <w:bottom w:val="double" w:sz="4" w:space="0" w:color="auto"/>
              <w:right w:val="nil"/>
            </w:tcBorders>
          </w:tcPr>
          <w:p w14:paraId="4CD39CA3" w14:textId="28F6544E"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World Bank</w:t>
            </w:r>
            <w:r w:rsidR="00697455" w:rsidRPr="00147D0A">
              <w:rPr>
                <w:rFonts w:ascii="Arial Hebrew" w:hAnsi="Arial Hebrew" w:cs="Arial Hebrew" w:hint="cs"/>
                <w:sz w:val="15"/>
                <w:szCs w:val="15"/>
              </w:rPr>
              <w:t xml:space="preserve"> and African and Asian Development Bank</w:t>
            </w:r>
            <w:r w:rsidRPr="00147D0A">
              <w:rPr>
                <w:rFonts w:ascii="Arial Hebrew" w:hAnsi="Arial Hebrew" w:cs="Arial Hebrew" w:hint="cs"/>
                <w:sz w:val="15"/>
                <w:szCs w:val="15"/>
              </w:rPr>
              <w:t xml:space="preserve"> CPIA </w:t>
            </w:r>
            <w:r w:rsidRPr="00147D0A">
              <w:rPr>
                <w:rStyle w:val="Emphasis"/>
                <w:rFonts w:ascii="Arial Hebrew" w:eastAsiaTheme="majorEastAsia" w:hAnsi="Arial Hebrew" w:cs="Arial Hebrew" w:hint="cs"/>
                <w:sz w:val="15"/>
                <w:szCs w:val="15"/>
              </w:rPr>
              <w:t>Business Regulatory Environment</w:t>
            </w:r>
            <w:r w:rsidRPr="00147D0A">
              <w:rPr>
                <w:rFonts w:ascii="Arial Hebrew" w:hAnsi="Arial Hebrew" w:cs="Arial Hebrew" w:hint="cs"/>
                <w:sz w:val="15"/>
                <w:szCs w:val="15"/>
              </w:rPr>
              <w:t xml:space="preserve">; Heritage </w:t>
            </w:r>
            <w:r w:rsidRPr="00147D0A">
              <w:rPr>
                <w:rStyle w:val="Emphasis"/>
                <w:rFonts w:ascii="Arial Hebrew" w:eastAsiaTheme="majorEastAsia" w:hAnsi="Arial Hebrew" w:cs="Arial Hebrew" w:hint="cs"/>
                <w:sz w:val="15"/>
                <w:szCs w:val="15"/>
              </w:rPr>
              <w:t>Economic Freedom</w:t>
            </w:r>
            <w:r w:rsidRPr="00147D0A">
              <w:rPr>
                <w:rFonts w:ascii="Arial Hebrew" w:hAnsi="Arial Hebrew" w:cs="Arial Hebrew" w:hint="cs"/>
                <w:sz w:val="15"/>
                <w:szCs w:val="15"/>
              </w:rPr>
              <w:t xml:space="preserve"> (Business, Trade, Investment); Fraser </w:t>
            </w:r>
            <w:r w:rsidRPr="00147D0A">
              <w:rPr>
                <w:rStyle w:val="Emphasis"/>
                <w:rFonts w:ascii="Arial Hebrew" w:eastAsiaTheme="majorEastAsia" w:hAnsi="Arial Hebrew" w:cs="Arial Hebrew" w:hint="cs"/>
                <w:sz w:val="15"/>
                <w:szCs w:val="15"/>
              </w:rPr>
              <w:t>Economic Freedom of the World</w:t>
            </w:r>
            <w:r w:rsidRPr="00147D0A">
              <w:rPr>
                <w:rFonts w:ascii="Arial Hebrew" w:hAnsi="Arial Hebrew" w:cs="Arial Hebrew" w:hint="cs"/>
                <w:sz w:val="15"/>
                <w:szCs w:val="15"/>
              </w:rPr>
              <w:t>; PRS</w:t>
            </w:r>
            <w:r w:rsidRPr="00147D0A">
              <w:rPr>
                <w:sz w:val="15"/>
                <w:szCs w:val="15"/>
              </w:rPr>
              <w:t> </w:t>
            </w:r>
            <w:r w:rsidRPr="00147D0A">
              <w:rPr>
                <w:rFonts w:ascii="Arial Hebrew" w:hAnsi="Arial Hebrew" w:cs="Arial Hebrew" w:hint="cs"/>
                <w:sz w:val="15"/>
                <w:szCs w:val="15"/>
              </w:rPr>
              <w:t>ICRG Investment Profile; Institutional Profiles Database regulatory items.</w:t>
            </w:r>
          </w:p>
        </w:tc>
        <w:tc>
          <w:tcPr>
            <w:tcW w:w="2339" w:type="dxa"/>
            <w:tcBorders>
              <w:top w:val="single" w:sz="4" w:space="0" w:color="auto"/>
              <w:left w:val="nil"/>
              <w:bottom w:val="double" w:sz="4" w:space="0" w:color="auto"/>
              <w:right w:val="nil"/>
            </w:tcBorders>
          </w:tcPr>
          <w:p w14:paraId="6D2CEA96" w14:textId="786962B3" w:rsidR="00070C75" w:rsidRPr="00147D0A" w:rsidRDefault="00070C75" w:rsidP="0027716B">
            <w:pPr>
              <w:spacing w:before="20" w:line="264" w:lineRule="auto"/>
              <w:rPr>
                <w:rFonts w:ascii="Arial Hebrew" w:hAnsi="Arial Hebrew" w:cs="Arial Hebrew"/>
                <w:sz w:val="15"/>
                <w:szCs w:val="15"/>
              </w:rPr>
            </w:pPr>
            <w:r w:rsidRPr="00147D0A">
              <w:rPr>
                <w:rFonts w:ascii="Arial Hebrew" w:hAnsi="Arial Hebrew" w:cs="Arial Hebrew" w:hint="cs"/>
                <w:sz w:val="15"/>
                <w:szCs w:val="15"/>
              </w:rPr>
              <w:t>WEF Executive Survey (burden of regulation, ease of starting a business); IMD WCY (competition legislation efficient); World Bank Enterprise Surveys (time &amp; cost of regulation, licensing); Gallup (confidence in economic regulation).</w:t>
            </w:r>
          </w:p>
        </w:tc>
        <w:tc>
          <w:tcPr>
            <w:tcW w:w="1655" w:type="dxa"/>
            <w:tcBorders>
              <w:top w:val="single" w:sz="4" w:space="0" w:color="auto"/>
              <w:left w:val="nil"/>
              <w:bottom w:val="double" w:sz="4" w:space="0" w:color="auto"/>
              <w:right w:val="nil"/>
            </w:tcBorders>
          </w:tcPr>
          <w:p w14:paraId="762FE29A" w14:textId="1A7BC49D" w:rsidR="00070C75" w:rsidRPr="00147D0A" w:rsidRDefault="00070C75" w:rsidP="0027716B">
            <w:pPr>
              <w:spacing w:before="20" w:line="264" w:lineRule="auto"/>
              <w:rPr>
                <w:rFonts w:ascii="Arial Hebrew" w:hAnsi="Arial Hebrew" w:cs="Arial Hebrew"/>
                <w:i/>
                <w:iCs/>
                <w:sz w:val="15"/>
                <w:szCs w:val="15"/>
              </w:rPr>
            </w:pPr>
            <w:r w:rsidRPr="00147D0A">
              <w:rPr>
                <w:rFonts w:ascii="Arial Hebrew" w:hAnsi="Arial Hebrew" w:cs="Arial Hebrew" w:hint="cs"/>
                <w:i/>
                <w:iCs/>
                <w:sz w:val="15"/>
                <w:szCs w:val="15"/>
              </w:rPr>
              <w:t>Indicators inverted</w:t>
            </w:r>
            <w:r w:rsidR="008D24AD" w:rsidRPr="00147D0A">
              <w:rPr>
                <w:rFonts w:ascii="Arial Hebrew" w:hAnsi="Arial Hebrew" w:cs="Arial Hebrew" w:hint="cs"/>
                <w:i/>
                <w:iCs/>
                <w:sz w:val="15"/>
                <w:szCs w:val="15"/>
              </w:rPr>
              <w:t xml:space="preserve"> where necessary, rescaled and aggregated </w:t>
            </w:r>
            <w:r w:rsidRPr="00147D0A">
              <w:rPr>
                <w:rFonts w:ascii="Arial Hebrew" w:hAnsi="Arial Hebrew" w:cs="Arial Hebrew" w:hint="cs"/>
                <w:i/>
                <w:iCs/>
                <w:sz w:val="15"/>
                <w:szCs w:val="15"/>
              </w:rPr>
              <w:t xml:space="preserve">via UCM. </w:t>
            </w:r>
            <w:r w:rsidR="008D24AD" w:rsidRPr="00147D0A">
              <w:rPr>
                <w:rFonts w:ascii="Arial Hebrew" w:hAnsi="Arial Hebrew" w:cs="Arial Hebrew" w:hint="cs"/>
                <w:i/>
                <w:iCs/>
                <w:sz w:val="15"/>
                <w:szCs w:val="15"/>
              </w:rPr>
              <w:t xml:space="preserve">Confidence bands narrow due to </w:t>
            </w:r>
            <w:r w:rsidRPr="00147D0A">
              <w:rPr>
                <w:rFonts w:ascii="Arial Hebrew" w:hAnsi="Arial Hebrew" w:cs="Arial Hebrew" w:hint="cs"/>
                <w:i/>
                <w:iCs/>
                <w:sz w:val="15"/>
                <w:szCs w:val="15"/>
              </w:rPr>
              <w:t>hig</w:t>
            </w:r>
            <w:r w:rsidR="008D24AD" w:rsidRPr="00147D0A">
              <w:rPr>
                <w:rFonts w:ascii="Arial Hebrew" w:hAnsi="Arial Hebrew" w:cs="Arial Hebrew" w:hint="cs"/>
                <w:i/>
                <w:iCs/>
                <w:sz w:val="15"/>
                <w:szCs w:val="15"/>
              </w:rPr>
              <w:t>h</w:t>
            </w:r>
            <w:r w:rsidRPr="00147D0A">
              <w:rPr>
                <w:rFonts w:ascii="Arial Hebrew" w:hAnsi="Arial Hebrew" w:cs="Arial Hebrew" w:hint="cs"/>
                <w:i/>
                <w:iCs/>
                <w:sz w:val="15"/>
                <w:szCs w:val="15"/>
              </w:rPr>
              <w:t xml:space="preserve"> correlat</w:t>
            </w:r>
            <w:r w:rsidR="008D24AD" w:rsidRPr="00147D0A">
              <w:rPr>
                <w:rFonts w:ascii="Arial Hebrew" w:hAnsi="Arial Hebrew" w:cs="Arial Hebrew" w:hint="cs"/>
                <w:i/>
                <w:iCs/>
                <w:sz w:val="15"/>
                <w:szCs w:val="15"/>
              </w:rPr>
              <w:t>ion in sources.</w:t>
            </w:r>
          </w:p>
        </w:tc>
      </w:tr>
    </w:tbl>
    <w:p w14:paraId="4904900D" w14:textId="274DDC71" w:rsidR="00203174" w:rsidRPr="00147D0A" w:rsidRDefault="000E5EBA" w:rsidP="00D008E6">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 xml:space="preserve">WGI </w:t>
      </w:r>
      <w:r w:rsidR="00AA7A42" w:rsidRPr="00147D0A">
        <w:rPr>
          <w:rFonts w:ascii="Arial Hebrew" w:hAnsi="Arial Hebrew" w:cs="Arial Hebrew" w:hint="cs"/>
          <w:sz w:val="20"/>
          <w:szCs w:val="20"/>
        </w:rPr>
        <w:t>metrics</w:t>
      </w:r>
      <w:r w:rsidRPr="00147D0A">
        <w:rPr>
          <w:rFonts w:ascii="Arial Hebrew" w:hAnsi="Arial Hebrew" w:cs="Arial Hebrew" w:hint="cs"/>
          <w:sz w:val="20"/>
          <w:szCs w:val="20"/>
        </w:rPr>
        <w:t xml:space="preserve"> are the core input for qualitative components of </w:t>
      </w:r>
      <w:r w:rsidR="00203174" w:rsidRPr="00147D0A">
        <w:rPr>
          <w:rFonts w:ascii="Arial Hebrew" w:hAnsi="Arial Hebrew" w:cs="Arial Hebrew" w:hint="cs"/>
          <w:sz w:val="20"/>
          <w:szCs w:val="20"/>
        </w:rPr>
        <w:t>Moody's sovereign assessment</w:t>
      </w:r>
      <w:r w:rsidRPr="00147D0A">
        <w:rPr>
          <w:rFonts w:ascii="Arial Hebrew" w:hAnsi="Arial Hebrew" w:cs="Arial Hebrew" w:hint="cs"/>
          <w:sz w:val="20"/>
          <w:szCs w:val="20"/>
        </w:rPr>
        <w:t>s</w:t>
      </w:r>
      <w:r w:rsidR="00AA7A42" w:rsidRPr="00147D0A">
        <w:rPr>
          <w:rFonts w:ascii="Arial Hebrew" w:hAnsi="Arial Hebrew" w:cs="Arial Hebrew" w:hint="cs"/>
          <w:sz w:val="20"/>
          <w:szCs w:val="20"/>
        </w:rPr>
        <w:t>,</w:t>
      </w:r>
      <w:r w:rsidRPr="00147D0A">
        <w:rPr>
          <w:rFonts w:ascii="Arial Hebrew" w:hAnsi="Arial Hebrew" w:cs="Arial Hebrew" w:hint="cs"/>
          <w:sz w:val="20"/>
          <w:szCs w:val="20"/>
        </w:rPr>
        <w:t xml:space="preserve"> although </w:t>
      </w:r>
      <w:r w:rsidR="0017793C" w:rsidRPr="00147D0A">
        <w:rPr>
          <w:rFonts w:ascii="Arial Hebrew" w:hAnsi="Arial Hebrew" w:cs="Arial Hebrew" w:hint="cs"/>
          <w:sz w:val="20"/>
          <w:szCs w:val="20"/>
        </w:rPr>
        <w:t>other external indicators</w:t>
      </w:r>
      <w:r w:rsidRPr="00147D0A">
        <w:rPr>
          <w:rFonts w:ascii="Arial Hebrew" w:hAnsi="Arial Hebrew" w:cs="Arial Hebrew" w:hint="cs"/>
          <w:sz w:val="20"/>
          <w:szCs w:val="20"/>
        </w:rPr>
        <w:t xml:space="preserve"> are also referenced</w:t>
      </w:r>
      <w:r w:rsidR="00AA7A42" w:rsidRPr="00147D0A">
        <w:rPr>
          <w:rFonts w:ascii="Arial Hebrew" w:hAnsi="Arial Hebrew" w:cs="Arial Hebrew" w:hint="cs"/>
          <w:sz w:val="20"/>
          <w:szCs w:val="20"/>
        </w:rPr>
        <w:t>.</w:t>
      </w:r>
      <w:r w:rsidRPr="00147D0A">
        <w:rPr>
          <w:rFonts w:ascii="Arial Hebrew" w:hAnsi="Arial Hebrew" w:cs="Arial Hebrew" w:hint="cs"/>
          <w:sz w:val="20"/>
          <w:szCs w:val="20"/>
        </w:rPr>
        <w:t xml:space="preserve"> The Moody’s </w:t>
      </w:r>
      <w:r w:rsidR="00C3405A" w:rsidRPr="00147D0A">
        <w:rPr>
          <w:rFonts w:ascii="Arial Hebrew" w:hAnsi="Arial Hebrew" w:cs="Arial Hebrew" w:hint="cs"/>
          <w:sz w:val="20"/>
          <w:szCs w:val="20"/>
        </w:rPr>
        <w:t>framework</w:t>
      </w:r>
      <w:r w:rsidR="00203174" w:rsidRPr="00147D0A">
        <w:rPr>
          <w:rFonts w:ascii="Arial Hebrew" w:hAnsi="Arial Hebrew" w:cs="Arial Hebrew" w:hint="cs"/>
          <w:sz w:val="20"/>
          <w:szCs w:val="20"/>
        </w:rPr>
        <w:t xml:space="preserve"> directly map</w:t>
      </w:r>
      <w:r w:rsidRPr="00147D0A">
        <w:rPr>
          <w:rFonts w:ascii="Arial Hebrew" w:hAnsi="Arial Hebrew" w:cs="Arial Hebrew" w:hint="cs"/>
          <w:sz w:val="20"/>
          <w:szCs w:val="20"/>
        </w:rPr>
        <w:t>s</w:t>
      </w:r>
      <w:r w:rsidR="00C3405A" w:rsidRPr="00147D0A">
        <w:rPr>
          <w:rFonts w:ascii="Arial Hebrew" w:hAnsi="Arial Hebrew" w:cs="Arial Hebrew" w:hint="cs"/>
          <w:sz w:val="20"/>
          <w:szCs w:val="20"/>
        </w:rPr>
        <w:t xml:space="preserve"> various</w:t>
      </w:r>
      <w:r w:rsidR="00203174" w:rsidRPr="00147D0A">
        <w:rPr>
          <w:rFonts w:ascii="Arial Hebrew" w:hAnsi="Arial Hebrew" w:cs="Arial Hebrew" w:hint="cs"/>
          <w:sz w:val="20"/>
          <w:szCs w:val="20"/>
        </w:rPr>
        <w:t xml:space="preserve"> WGI dimensions to numerical rating</w:t>
      </w:r>
      <w:r w:rsidR="00C3405A" w:rsidRPr="00147D0A">
        <w:rPr>
          <w:rFonts w:ascii="Arial Hebrew" w:hAnsi="Arial Hebrew" w:cs="Arial Hebrew" w:hint="cs"/>
          <w:sz w:val="20"/>
          <w:szCs w:val="20"/>
        </w:rPr>
        <w:t>s</w:t>
      </w:r>
      <w:r w:rsidR="00203174" w:rsidRPr="00147D0A">
        <w:rPr>
          <w:rFonts w:ascii="Arial Hebrew" w:hAnsi="Arial Hebrew" w:cs="Arial Hebrew" w:hint="cs"/>
          <w:sz w:val="20"/>
          <w:szCs w:val="20"/>
        </w:rPr>
        <w:t xml:space="preserve"> using explicit benchmarks (</w:t>
      </w:r>
      <w:r w:rsidR="00203174" w:rsidRPr="00147D0A">
        <w:rPr>
          <w:rFonts w:ascii="Arial Hebrew" w:hAnsi="Arial Hebrew" w:cs="Arial Hebrew" w:hint="cs"/>
          <w:b/>
          <w:bCs/>
          <w:sz w:val="20"/>
          <w:szCs w:val="20"/>
        </w:rPr>
        <w:t>Table 5</w:t>
      </w:r>
      <w:r w:rsidR="00203174" w:rsidRPr="00147D0A">
        <w:rPr>
          <w:rFonts w:ascii="Arial Hebrew" w:hAnsi="Arial Hebrew" w:cs="Arial Hebrew" w:hint="cs"/>
          <w:sz w:val="20"/>
          <w:szCs w:val="20"/>
        </w:rPr>
        <w:t>)</w:t>
      </w:r>
      <w:r w:rsidR="00C3405A" w:rsidRPr="00147D0A">
        <w:rPr>
          <w:rFonts w:ascii="Arial Hebrew" w:hAnsi="Arial Hebrew" w:cs="Arial Hebrew" w:hint="cs"/>
          <w:sz w:val="20"/>
          <w:szCs w:val="20"/>
        </w:rPr>
        <w:t>.</w:t>
      </w:r>
      <w:r w:rsidR="00F75426" w:rsidRPr="00147D0A">
        <w:rPr>
          <w:rFonts w:ascii="Arial Hebrew" w:hAnsi="Arial Hebrew" w:cs="Arial Hebrew" w:hint="cs"/>
          <w:sz w:val="20"/>
          <w:szCs w:val="20"/>
        </w:rPr>
        <w:t xml:space="preserve"> </w:t>
      </w:r>
      <w:r w:rsidR="00815FF1" w:rsidRPr="00147D0A">
        <w:rPr>
          <w:rFonts w:ascii="Arial Hebrew" w:hAnsi="Arial Hebrew" w:cs="Arial Hebrew" w:hint="cs"/>
          <w:sz w:val="20"/>
          <w:szCs w:val="20"/>
        </w:rPr>
        <w:t>T</w:t>
      </w:r>
      <w:r w:rsidR="00965E0B" w:rsidRPr="00147D0A">
        <w:rPr>
          <w:rFonts w:ascii="Arial Hebrew" w:hAnsi="Arial Hebrew" w:cs="Arial Hebrew" w:hint="cs"/>
          <w:sz w:val="20"/>
          <w:szCs w:val="20"/>
        </w:rPr>
        <w:t xml:space="preserve">he </w:t>
      </w:r>
      <w:r w:rsidR="00965E0B" w:rsidRPr="00147D0A">
        <w:rPr>
          <w:rFonts w:ascii="Arial Hebrew" w:hAnsi="Arial Hebrew" w:cs="Arial Hebrew" w:hint="cs"/>
          <w:b/>
          <w:bCs/>
          <w:sz w:val="20"/>
          <w:szCs w:val="20"/>
        </w:rPr>
        <w:t>Institutions &amp; Governance Strength</w:t>
      </w:r>
      <w:r w:rsidR="00F238BF" w:rsidRPr="00147D0A">
        <w:rPr>
          <w:rFonts w:ascii="Arial Hebrew" w:hAnsi="Arial Hebrew" w:cs="Arial Hebrew" w:hint="cs"/>
          <w:b/>
          <w:bCs/>
          <w:sz w:val="20"/>
          <w:szCs w:val="20"/>
        </w:rPr>
        <w:t xml:space="preserve"> </w:t>
      </w:r>
      <w:r w:rsidR="00F238BF" w:rsidRPr="00147D0A">
        <w:rPr>
          <w:rFonts w:ascii="Arial Hebrew" w:hAnsi="Arial Hebrew" w:cs="Arial Hebrew" w:hint="cs"/>
          <w:sz w:val="20"/>
          <w:szCs w:val="20"/>
        </w:rPr>
        <w:t>scorecard</w:t>
      </w:r>
      <w:r w:rsidR="00965E0B" w:rsidRPr="00147D0A">
        <w:rPr>
          <w:rFonts w:ascii="Arial Hebrew" w:hAnsi="Arial Hebrew" w:cs="Arial Hebrew" w:hint="cs"/>
          <w:sz w:val="20"/>
          <w:szCs w:val="20"/>
        </w:rPr>
        <w:t xml:space="preserve"> factor comprises around one-quarter to one-third of the framework’s </w:t>
      </w:r>
      <w:r w:rsidR="00965E0B" w:rsidRPr="00147D0A">
        <w:rPr>
          <w:rFonts w:ascii="Arial Hebrew" w:hAnsi="Arial Hebrew" w:cs="Arial Hebrew" w:hint="cs"/>
          <w:b/>
          <w:bCs/>
          <w:sz w:val="20"/>
          <w:szCs w:val="20"/>
        </w:rPr>
        <w:t>Government Financial Strength</w:t>
      </w:r>
      <w:r w:rsidR="00965E0B" w:rsidRPr="00147D0A">
        <w:rPr>
          <w:rFonts w:ascii="Arial Hebrew" w:hAnsi="Arial Hebrew" w:cs="Arial Hebrew" w:hint="cs"/>
          <w:sz w:val="20"/>
          <w:szCs w:val="20"/>
        </w:rPr>
        <w:t xml:space="preserve"> assessment, </w:t>
      </w:r>
      <w:r w:rsidR="00815FF1" w:rsidRPr="00147D0A">
        <w:rPr>
          <w:rFonts w:ascii="Arial Hebrew" w:hAnsi="Arial Hebrew" w:cs="Arial Hebrew" w:hint="cs"/>
          <w:sz w:val="20"/>
          <w:szCs w:val="20"/>
        </w:rPr>
        <w:t xml:space="preserve">however </w:t>
      </w:r>
      <w:r w:rsidR="00965E0B" w:rsidRPr="00147D0A">
        <w:rPr>
          <w:rFonts w:ascii="Arial Hebrew" w:hAnsi="Arial Hebrew" w:cs="Arial Hebrew" w:hint="cs"/>
          <w:sz w:val="20"/>
          <w:szCs w:val="20"/>
        </w:rPr>
        <w:t xml:space="preserve">only 40% of this factor </w:t>
      </w:r>
      <w:r w:rsidR="00C72404" w:rsidRPr="00147D0A">
        <w:rPr>
          <w:rFonts w:ascii="Arial Hebrew" w:hAnsi="Arial Hebrew" w:cs="Arial Hebrew" w:hint="cs"/>
          <w:sz w:val="20"/>
          <w:szCs w:val="20"/>
        </w:rPr>
        <w:t xml:space="preserve">- the </w:t>
      </w:r>
      <w:r w:rsidR="00C72404" w:rsidRPr="00147D0A">
        <w:rPr>
          <w:rFonts w:ascii="Arial Hebrew" w:hAnsi="Arial Hebrew" w:cs="Arial Hebrew" w:hint="cs"/>
          <w:i/>
          <w:iCs/>
          <w:sz w:val="20"/>
          <w:szCs w:val="20"/>
        </w:rPr>
        <w:t>Quality of Legislative and Executive Institutions</w:t>
      </w:r>
      <w:r w:rsidR="00C72404" w:rsidRPr="00147D0A">
        <w:rPr>
          <w:rFonts w:ascii="Arial Hebrew" w:hAnsi="Arial Hebrew" w:cs="Arial Hebrew" w:hint="cs"/>
          <w:sz w:val="20"/>
          <w:szCs w:val="20"/>
        </w:rPr>
        <w:t xml:space="preserve">, and the </w:t>
      </w:r>
      <w:r w:rsidR="00C72404" w:rsidRPr="00147D0A">
        <w:rPr>
          <w:rFonts w:ascii="Arial Hebrew" w:hAnsi="Arial Hebrew" w:cs="Arial Hebrew" w:hint="cs"/>
          <w:i/>
          <w:iCs/>
          <w:sz w:val="20"/>
          <w:szCs w:val="20"/>
        </w:rPr>
        <w:t>Strength of Civil Society and the Judiciary</w:t>
      </w:r>
      <w:r w:rsidR="00C72404" w:rsidRPr="00147D0A">
        <w:rPr>
          <w:rFonts w:ascii="Arial Hebrew" w:hAnsi="Arial Hebrew" w:cs="Arial Hebrew" w:hint="cs"/>
          <w:sz w:val="20"/>
          <w:szCs w:val="20"/>
        </w:rPr>
        <w:t xml:space="preserve"> components – </w:t>
      </w:r>
      <w:r w:rsidR="000806CF" w:rsidRPr="00147D0A">
        <w:rPr>
          <w:rFonts w:ascii="Arial Hebrew" w:hAnsi="Arial Hebrew" w:cs="Arial Hebrew" w:hint="cs"/>
          <w:sz w:val="20"/>
          <w:szCs w:val="20"/>
        </w:rPr>
        <w:t>is reliant on</w:t>
      </w:r>
      <w:r w:rsidR="00965E0B" w:rsidRPr="00147D0A">
        <w:rPr>
          <w:rFonts w:ascii="Arial Hebrew" w:hAnsi="Arial Hebrew" w:cs="Arial Hebrew" w:hint="cs"/>
          <w:sz w:val="20"/>
          <w:szCs w:val="20"/>
        </w:rPr>
        <w:t xml:space="preserve"> the WGI</w:t>
      </w:r>
      <w:r w:rsidR="00C72404" w:rsidRPr="00147D0A">
        <w:rPr>
          <w:rFonts w:ascii="Arial Hebrew" w:hAnsi="Arial Hebrew" w:cs="Arial Hebrew" w:hint="cs"/>
          <w:sz w:val="20"/>
          <w:szCs w:val="20"/>
        </w:rPr>
        <w:t>s</w:t>
      </w:r>
      <w:r w:rsidR="00965E0B" w:rsidRPr="00147D0A">
        <w:rPr>
          <w:rFonts w:ascii="Arial Hebrew" w:hAnsi="Arial Hebrew" w:cs="Arial Hebrew" w:hint="cs"/>
          <w:sz w:val="20"/>
          <w:szCs w:val="20"/>
        </w:rPr>
        <w:t>.</w:t>
      </w:r>
      <w:r w:rsidR="00F238BF" w:rsidRPr="00147D0A">
        <w:rPr>
          <w:rStyle w:val="FootnoteReference"/>
          <w:rFonts w:ascii="Arial Hebrew" w:hAnsi="Arial Hebrew" w:cs="Arial Hebrew" w:hint="cs"/>
          <w:sz w:val="20"/>
          <w:szCs w:val="20"/>
        </w:rPr>
        <w:footnoteReference w:id="16"/>
      </w:r>
      <w:r w:rsidR="00965E0B" w:rsidRPr="00147D0A">
        <w:rPr>
          <w:rFonts w:ascii="Arial Hebrew" w:hAnsi="Arial Hebrew" w:cs="Arial Hebrew" w:hint="cs"/>
          <w:sz w:val="20"/>
          <w:szCs w:val="20"/>
        </w:rPr>
        <w:t xml:space="preserve"> </w:t>
      </w:r>
      <w:r w:rsidR="00C72404" w:rsidRPr="00147D0A">
        <w:rPr>
          <w:rFonts w:ascii="Arial Hebrew" w:hAnsi="Arial Hebrew" w:cs="Arial Hebrew" w:hint="cs"/>
          <w:sz w:val="20"/>
          <w:szCs w:val="20"/>
        </w:rPr>
        <w:t xml:space="preserve">WGI scores are also used in the </w:t>
      </w:r>
      <w:r w:rsidR="00C72404" w:rsidRPr="00147D0A">
        <w:rPr>
          <w:rFonts w:ascii="Arial Hebrew" w:hAnsi="Arial Hebrew" w:cs="Arial Hebrew" w:hint="cs"/>
          <w:b/>
          <w:bCs/>
          <w:sz w:val="20"/>
          <w:szCs w:val="20"/>
        </w:rPr>
        <w:t>Susceptibility to Event Risk Factor</w:t>
      </w:r>
      <w:r w:rsidR="00C72404" w:rsidRPr="00147D0A">
        <w:rPr>
          <w:rFonts w:ascii="Arial Hebrew" w:hAnsi="Arial Hebrew" w:cs="Arial Hebrew" w:hint="cs"/>
          <w:sz w:val="20"/>
          <w:szCs w:val="20"/>
        </w:rPr>
        <w:t xml:space="preserve">, which </w:t>
      </w:r>
      <w:r w:rsidR="00815FF1" w:rsidRPr="00147D0A">
        <w:rPr>
          <w:rFonts w:ascii="Arial Hebrew" w:hAnsi="Arial Hebrew" w:cs="Arial Hebrew" w:hint="cs"/>
          <w:sz w:val="20"/>
          <w:szCs w:val="20"/>
        </w:rPr>
        <w:t>may</w:t>
      </w:r>
      <w:r w:rsidR="00C72404" w:rsidRPr="00147D0A">
        <w:rPr>
          <w:rFonts w:ascii="Arial Hebrew" w:hAnsi="Arial Hebrew" w:cs="Arial Hebrew" w:hint="cs"/>
          <w:sz w:val="20"/>
          <w:szCs w:val="20"/>
        </w:rPr>
        <w:t xml:space="preserve"> downwardly adjust the </w:t>
      </w:r>
      <w:r w:rsidR="00C72404" w:rsidRPr="00147D0A">
        <w:rPr>
          <w:rFonts w:ascii="Arial Hebrew" w:hAnsi="Arial Hebrew" w:cs="Arial Hebrew" w:hint="cs"/>
          <w:b/>
          <w:bCs/>
          <w:sz w:val="20"/>
          <w:szCs w:val="20"/>
        </w:rPr>
        <w:t xml:space="preserve">Government Financial Strength </w:t>
      </w:r>
      <w:r w:rsidR="00C72404" w:rsidRPr="00147D0A">
        <w:rPr>
          <w:rFonts w:ascii="Arial Hebrew" w:hAnsi="Arial Hebrew" w:cs="Arial Hebrew" w:hint="cs"/>
          <w:sz w:val="20"/>
          <w:szCs w:val="20"/>
        </w:rPr>
        <w:t xml:space="preserve">assessment </w:t>
      </w:r>
      <w:r w:rsidR="00815FF1" w:rsidRPr="00147D0A">
        <w:rPr>
          <w:rFonts w:ascii="Arial Hebrew" w:hAnsi="Arial Hebrew" w:cs="Arial Hebrew" w:hint="cs"/>
          <w:sz w:val="20"/>
          <w:szCs w:val="20"/>
        </w:rPr>
        <w:t>toward</w:t>
      </w:r>
      <w:r w:rsidR="00AA7A42" w:rsidRPr="00147D0A">
        <w:rPr>
          <w:rFonts w:ascii="Arial Hebrew" w:hAnsi="Arial Hebrew" w:cs="Arial Hebrew" w:hint="cs"/>
          <w:sz w:val="20"/>
          <w:szCs w:val="20"/>
        </w:rPr>
        <w:t xml:space="preserve"> the</w:t>
      </w:r>
      <w:r w:rsidR="00815FF1" w:rsidRPr="00147D0A">
        <w:rPr>
          <w:rFonts w:ascii="Arial Hebrew" w:hAnsi="Arial Hebrew" w:cs="Arial Hebrew" w:hint="cs"/>
          <w:sz w:val="20"/>
          <w:szCs w:val="20"/>
        </w:rPr>
        <w:t xml:space="preserve"> final </w:t>
      </w:r>
      <w:r w:rsidR="00AA7A42" w:rsidRPr="00147D0A">
        <w:rPr>
          <w:rFonts w:ascii="Arial Hebrew" w:hAnsi="Arial Hebrew" w:cs="Arial Hebrew" w:hint="cs"/>
          <w:sz w:val="20"/>
          <w:szCs w:val="20"/>
        </w:rPr>
        <w:t xml:space="preserve">sovereign </w:t>
      </w:r>
      <w:r w:rsidR="00815FF1" w:rsidRPr="00147D0A">
        <w:rPr>
          <w:rFonts w:ascii="Arial Hebrew" w:hAnsi="Arial Hebrew" w:cs="Arial Hebrew" w:hint="cs"/>
          <w:sz w:val="20"/>
          <w:szCs w:val="20"/>
        </w:rPr>
        <w:t>rating.</w:t>
      </w:r>
    </w:p>
    <w:p w14:paraId="755F2DE7" w14:textId="6A3FD8BA" w:rsidR="00F75426" w:rsidRPr="00147D0A" w:rsidRDefault="00F75426" w:rsidP="000E5EBA">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 xml:space="preserve">Table </w:t>
      </w:r>
      <w:r w:rsidR="00891459" w:rsidRPr="00147D0A">
        <w:rPr>
          <w:rFonts w:ascii="Arial Hebrew" w:hAnsi="Arial Hebrew" w:cs="Arial Hebrew" w:hint="cs"/>
          <w:b/>
          <w:bCs/>
          <w:i/>
          <w:iCs/>
          <w:sz w:val="16"/>
          <w:szCs w:val="16"/>
        </w:rPr>
        <w:t>5</w:t>
      </w:r>
      <w:r w:rsidRPr="00147D0A">
        <w:rPr>
          <w:rFonts w:ascii="Arial Hebrew" w:hAnsi="Arial Hebrew" w:cs="Arial Hebrew" w:hint="cs"/>
          <w:b/>
          <w:bCs/>
          <w:i/>
          <w:iCs/>
          <w:sz w:val="16"/>
          <w:szCs w:val="16"/>
        </w:rPr>
        <w:t>.</w:t>
      </w:r>
      <w:r w:rsidRPr="00147D0A">
        <w:rPr>
          <w:rFonts w:ascii="Arial Hebrew" w:hAnsi="Arial Hebrew" w:cs="Arial Hebrew" w:hint="cs"/>
          <w:i/>
          <w:iCs/>
          <w:sz w:val="16"/>
          <w:szCs w:val="16"/>
        </w:rPr>
        <w:t xml:space="preserve"> Incorporation of World Bank </w:t>
      </w:r>
      <w:r w:rsidR="00891459" w:rsidRPr="00147D0A">
        <w:rPr>
          <w:rFonts w:ascii="Arial Hebrew" w:hAnsi="Arial Hebrew" w:cs="Arial Hebrew" w:hint="cs"/>
          <w:i/>
          <w:iCs/>
          <w:sz w:val="16"/>
          <w:szCs w:val="16"/>
        </w:rPr>
        <w:t>WGI</w:t>
      </w:r>
      <w:r w:rsidRPr="00147D0A">
        <w:rPr>
          <w:rFonts w:ascii="Arial Hebrew" w:hAnsi="Arial Hebrew" w:cs="Arial Hebrew" w:hint="cs"/>
          <w:i/>
          <w:iCs/>
          <w:sz w:val="16"/>
          <w:szCs w:val="16"/>
        </w:rPr>
        <w:t xml:space="preserve"> in Moody’s Sovereign Assessment Framework</w:t>
      </w:r>
    </w:p>
    <w:tbl>
      <w:tblPr>
        <w:tblStyle w:val="TableGrid"/>
        <w:tblW w:w="8931" w:type="dxa"/>
        <w:tblLook w:val="04A0" w:firstRow="1" w:lastRow="0" w:firstColumn="1" w:lastColumn="0" w:noHBand="0" w:noVBand="1"/>
      </w:tblPr>
      <w:tblGrid>
        <w:gridCol w:w="1276"/>
        <w:gridCol w:w="1985"/>
        <w:gridCol w:w="1842"/>
        <w:gridCol w:w="3828"/>
      </w:tblGrid>
      <w:tr w:rsidR="00CF77B0" w:rsidRPr="00147D0A" w14:paraId="43247ACF" w14:textId="77777777" w:rsidTr="00345789">
        <w:trPr>
          <w:trHeight w:val="139"/>
        </w:trPr>
        <w:tc>
          <w:tcPr>
            <w:tcW w:w="1276" w:type="dxa"/>
            <w:tcBorders>
              <w:top w:val="single" w:sz="4" w:space="0" w:color="auto"/>
              <w:left w:val="nil"/>
              <w:bottom w:val="single" w:sz="4" w:space="0" w:color="auto"/>
              <w:right w:val="nil"/>
            </w:tcBorders>
            <w:shd w:val="clear" w:color="auto" w:fill="F2F2F2" w:themeFill="background1" w:themeFillShade="F2"/>
            <w:vAlign w:val="center"/>
          </w:tcPr>
          <w:p w14:paraId="5F70F6D2" w14:textId="37C9DE7B" w:rsidR="00F75426" w:rsidRPr="00147D0A" w:rsidRDefault="00242AAE"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 xml:space="preserve">Framework </w:t>
            </w:r>
            <w:r w:rsidR="00F75426" w:rsidRPr="00147D0A">
              <w:rPr>
                <w:rFonts w:ascii="Arial Hebrew" w:hAnsi="Arial Hebrew" w:cs="Arial Hebrew" w:hint="cs"/>
                <w:b/>
                <w:bCs/>
                <w:sz w:val="16"/>
                <w:szCs w:val="16"/>
              </w:rPr>
              <w:t>Element</w:t>
            </w:r>
          </w:p>
        </w:tc>
        <w:tc>
          <w:tcPr>
            <w:tcW w:w="1985" w:type="dxa"/>
            <w:tcBorders>
              <w:top w:val="single" w:sz="4" w:space="0" w:color="auto"/>
              <w:left w:val="nil"/>
              <w:bottom w:val="single" w:sz="4" w:space="0" w:color="auto"/>
              <w:right w:val="nil"/>
            </w:tcBorders>
            <w:shd w:val="clear" w:color="auto" w:fill="F2F2F2" w:themeFill="background1" w:themeFillShade="F2"/>
            <w:vAlign w:val="center"/>
          </w:tcPr>
          <w:p w14:paraId="0BB9B288" w14:textId="77777777" w:rsidR="00F75426" w:rsidRPr="00147D0A" w:rsidRDefault="00F75426"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Inclusion in Framework</w:t>
            </w:r>
          </w:p>
        </w:tc>
        <w:tc>
          <w:tcPr>
            <w:tcW w:w="1842" w:type="dxa"/>
            <w:tcBorders>
              <w:top w:val="single" w:sz="4" w:space="0" w:color="auto"/>
              <w:left w:val="nil"/>
              <w:bottom w:val="single" w:sz="4" w:space="0" w:color="auto"/>
              <w:right w:val="nil"/>
            </w:tcBorders>
            <w:shd w:val="clear" w:color="auto" w:fill="F2F2F2" w:themeFill="background1" w:themeFillShade="F2"/>
            <w:vAlign w:val="center"/>
          </w:tcPr>
          <w:p w14:paraId="6E02AF85" w14:textId="77777777" w:rsidR="00F75426" w:rsidRPr="00147D0A" w:rsidRDefault="00F75426"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Factors Measured</w:t>
            </w:r>
          </w:p>
        </w:tc>
        <w:tc>
          <w:tcPr>
            <w:tcW w:w="3828" w:type="dxa"/>
            <w:tcBorders>
              <w:top w:val="single" w:sz="4" w:space="0" w:color="auto"/>
              <w:left w:val="nil"/>
              <w:bottom w:val="single" w:sz="4" w:space="0" w:color="auto"/>
              <w:right w:val="nil"/>
            </w:tcBorders>
            <w:shd w:val="clear" w:color="auto" w:fill="F2F2F2" w:themeFill="background1" w:themeFillShade="F2"/>
            <w:vAlign w:val="center"/>
          </w:tcPr>
          <w:p w14:paraId="78147048" w14:textId="77777777" w:rsidR="00F75426" w:rsidRPr="00147D0A" w:rsidRDefault="00F75426" w:rsidP="005755B2">
            <w:pPr>
              <w:spacing w:line="276" w:lineRule="auto"/>
              <w:rPr>
                <w:rFonts w:ascii="Arial Hebrew" w:hAnsi="Arial Hebrew" w:cs="Arial Hebrew"/>
                <w:b/>
                <w:bCs/>
                <w:sz w:val="16"/>
                <w:szCs w:val="16"/>
              </w:rPr>
            </w:pPr>
            <w:r w:rsidRPr="00147D0A">
              <w:rPr>
                <w:rFonts w:ascii="Arial Hebrew" w:hAnsi="Arial Hebrew" w:cs="Arial Hebrew" w:hint="cs"/>
                <w:b/>
                <w:bCs/>
                <w:sz w:val="16"/>
                <w:szCs w:val="16"/>
              </w:rPr>
              <w:t>WGIs Used</w:t>
            </w:r>
          </w:p>
        </w:tc>
      </w:tr>
      <w:tr w:rsidR="00CF77B0" w:rsidRPr="00147D0A" w14:paraId="6A7C7F10" w14:textId="77777777" w:rsidTr="005755B2">
        <w:trPr>
          <w:trHeight w:val="490"/>
        </w:trPr>
        <w:tc>
          <w:tcPr>
            <w:tcW w:w="1276" w:type="dxa"/>
            <w:tcBorders>
              <w:top w:val="single" w:sz="4" w:space="0" w:color="auto"/>
              <w:left w:val="nil"/>
              <w:bottom w:val="single" w:sz="4" w:space="0" w:color="auto"/>
              <w:right w:val="nil"/>
            </w:tcBorders>
            <w:shd w:val="clear" w:color="auto" w:fill="F2F2F2" w:themeFill="background1" w:themeFillShade="F2"/>
          </w:tcPr>
          <w:p w14:paraId="69882C64" w14:textId="7B41A779" w:rsidR="00CF77B0" w:rsidRPr="00147D0A" w:rsidRDefault="00CF77B0" w:rsidP="007373C1">
            <w:pPr>
              <w:spacing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Quality of Legislative and Executive Institutions</w:t>
            </w:r>
          </w:p>
        </w:tc>
        <w:tc>
          <w:tcPr>
            <w:tcW w:w="1985" w:type="dxa"/>
            <w:tcBorders>
              <w:top w:val="single" w:sz="4" w:space="0" w:color="auto"/>
              <w:left w:val="nil"/>
              <w:bottom w:val="single" w:sz="4" w:space="0" w:color="auto"/>
              <w:right w:val="nil"/>
            </w:tcBorders>
          </w:tcPr>
          <w:p w14:paraId="66539E2C" w14:textId="3BFC13A6" w:rsidR="00CF77B0" w:rsidRPr="00147D0A" w:rsidRDefault="00F238BF"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20% of </w:t>
            </w:r>
            <w:r w:rsidRPr="00147D0A">
              <w:rPr>
                <w:rFonts w:ascii="Arial Hebrew" w:hAnsi="Arial Hebrew" w:cs="Arial Hebrew" w:hint="cs"/>
                <w:b/>
                <w:bCs/>
                <w:sz w:val="16"/>
                <w:szCs w:val="16"/>
              </w:rPr>
              <w:t>Institutions &amp; Governance Strength</w:t>
            </w:r>
            <w:r w:rsidR="00CF77B0" w:rsidRPr="00147D0A">
              <w:rPr>
                <w:rFonts w:ascii="Arial Hebrew" w:hAnsi="Arial Hebrew" w:cs="Arial Hebrew" w:hint="cs"/>
                <w:sz w:val="16"/>
                <w:szCs w:val="16"/>
              </w:rPr>
              <w:t xml:space="preserve"> </w:t>
            </w:r>
            <w:r w:rsidRPr="00147D0A">
              <w:rPr>
                <w:rFonts w:ascii="Arial Hebrew" w:hAnsi="Arial Hebrew" w:cs="Arial Hebrew" w:hint="cs"/>
                <w:sz w:val="16"/>
                <w:szCs w:val="16"/>
              </w:rPr>
              <w:t>scorecard factor;</w:t>
            </w:r>
          </w:p>
          <w:p w14:paraId="33946067" w14:textId="335FE07B" w:rsidR="001968C3" w:rsidRPr="00147D0A" w:rsidRDefault="001968C3"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10% of </w:t>
            </w:r>
            <w:r w:rsidRPr="00147D0A">
              <w:rPr>
                <w:rFonts w:ascii="Arial Hebrew" w:hAnsi="Arial Hebrew" w:cs="Arial Hebrew" w:hint="cs"/>
                <w:b/>
                <w:bCs/>
                <w:sz w:val="16"/>
                <w:szCs w:val="16"/>
              </w:rPr>
              <w:t>Economic Resiliency</w:t>
            </w:r>
            <w:r w:rsidRPr="00147D0A">
              <w:rPr>
                <w:rFonts w:ascii="Arial Hebrew" w:hAnsi="Arial Hebrew" w:cs="Arial Hebrew" w:hint="cs"/>
                <w:sz w:val="16"/>
                <w:szCs w:val="16"/>
              </w:rPr>
              <w:t xml:space="preserve"> Score;</w:t>
            </w:r>
          </w:p>
          <w:p w14:paraId="515FCA81" w14:textId="63DFDE0F" w:rsidR="00F238BF" w:rsidRPr="00147D0A" w:rsidRDefault="006970C0"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5</w:t>
            </w:r>
            <w:r w:rsidR="00F238BF" w:rsidRPr="00147D0A">
              <w:rPr>
                <w:rFonts w:ascii="Arial Hebrew" w:hAnsi="Arial Hebrew" w:cs="Arial Hebrew" w:hint="cs"/>
                <w:sz w:val="16"/>
                <w:szCs w:val="16"/>
              </w:rPr>
              <w:t>-</w:t>
            </w:r>
            <w:r w:rsidRPr="00147D0A">
              <w:rPr>
                <w:rFonts w:ascii="Arial Hebrew" w:hAnsi="Arial Hebrew" w:cs="Arial Hebrew" w:hint="cs"/>
                <w:sz w:val="16"/>
                <w:szCs w:val="16"/>
              </w:rPr>
              <w:t>7.5</w:t>
            </w:r>
            <w:r w:rsidR="00F238BF" w:rsidRPr="00147D0A">
              <w:rPr>
                <w:rFonts w:ascii="Arial Hebrew" w:hAnsi="Arial Hebrew" w:cs="Arial Hebrew" w:hint="cs"/>
                <w:sz w:val="16"/>
                <w:szCs w:val="16"/>
              </w:rPr>
              <w:t xml:space="preserve">% of </w:t>
            </w:r>
            <w:r w:rsidR="00F238BF" w:rsidRPr="00147D0A">
              <w:rPr>
                <w:rFonts w:ascii="Arial Hebrew" w:hAnsi="Arial Hebrew" w:cs="Arial Hebrew" w:hint="cs"/>
                <w:b/>
                <w:bCs/>
                <w:sz w:val="16"/>
                <w:szCs w:val="16"/>
              </w:rPr>
              <w:t>Government Financial Strength</w:t>
            </w:r>
            <w:r w:rsidR="00F238BF" w:rsidRPr="00147D0A">
              <w:rPr>
                <w:rFonts w:ascii="Arial Hebrew" w:hAnsi="Arial Hebrew" w:cs="Arial Hebrew" w:hint="cs"/>
                <w:sz w:val="16"/>
                <w:szCs w:val="16"/>
              </w:rPr>
              <w:t xml:space="preserve"> assessment </w:t>
            </w:r>
          </w:p>
        </w:tc>
        <w:tc>
          <w:tcPr>
            <w:tcW w:w="1842" w:type="dxa"/>
            <w:tcBorders>
              <w:top w:val="single" w:sz="4" w:space="0" w:color="auto"/>
              <w:left w:val="nil"/>
              <w:bottom w:val="single" w:sz="4" w:space="0" w:color="auto"/>
              <w:right w:val="nil"/>
            </w:tcBorders>
          </w:tcPr>
          <w:p w14:paraId="62E89439" w14:textId="54B2CC85" w:rsidR="00CF77B0" w:rsidRPr="00147D0A" w:rsidRDefault="00CF77B0" w:rsidP="007373C1">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Quality of public actions at legislative and executive levels; efficiency of government and public administration; institutional capacity; policy implementation effectiveness</w:t>
            </w:r>
          </w:p>
        </w:tc>
        <w:tc>
          <w:tcPr>
            <w:tcW w:w="3828" w:type="dxa"/>
            <w:tcBorders>
              <w:top w:val="single" w:sz="4" w:space="0" w:color="auto"/>
              <w:left w:val="nil"/>
              <w:bottom w:val="single" w:sz="4" w:space="0" w:color="auto"/>
              <w:right w:val="nil"/>
            </w:tcBorders>
          </w:tcPr>
          <w:p w14:paraId="1D483E17" w14:textId="77777777" w:rsidR="00815FF1" w:rsidRPr="00147D0A" w:rsidRDefault="00CF77B0" w:rsidP="00815FF1">
            <w:pPr>
              <w:pStyle w:val="ListParagraph"/>
              <w:numPr>
                <w:ilvl w:val="0"/>
                <w:numId w:val="59"/>
              </w:num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b/>
                <w:bCs/>
                <w:i/>
                <w:iCs/>
                <w:sz w:val="16"/>
                <w:szCs w:val="16"/>
              </w:rPr>
              <w:t>Regulatory Quality</w:t>
            </w:r>
            <w:r w:rsidRPr="00147D0A">
              <w:rPr>
                <w:rFonts w:ascii="Arial Hebrew" w:hAnsi="Arial Hebrew" w:cs="Arial Hebrew" w:hint="cs"/>
                <w:sz w:val="16"/>
                <w:szCs w:val="16"/>
              </w:rPr>
              <w:t xml:space="preserve"> </w:t>
            </w:r>
          </w:p>
          <w:p w14:paraId="02D72522" w14:textId="6B0E43B4" w:rsidR="00815FF1" w:rsidRPr="00147D0A" w:rsidRDefault="00CF77B0" w:rsidP="00815FF1">
            <w:pPr>
              <w:pStyle w:val="ListParagraph"/>
              <w:numPr>
                <w:ilvl w:val="0"/>
                <w:numId w:val="59"/>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Government Effectiveness</w:t>
            </w:r>
          </w:p>
          <w:p w14:paraId="788F63BF" w14:textId="77777777" w:rsidR="00815FF1" w:rsidRPr="00147D0A" w:rsidRDefault="00815FF1" w:rsidP="00815FF1">
            <w:pPr>
              <w:spacing w:beforeLines="10" w:before="24" w:afterLines="10" w:after="24" w:line="276" w:lineRule="auto"/>
              <w:rPr>
                <w:rFonts w:ascii="Arial Hebrew" w:hAnsi="Arial Hebrew" w:cs="Arial Hebrew"/>
                <w:sz w:val="16"/>
                <w:szCs w:val="16"/>
              </w:rPr>
            </w:pPr>
          </w:p>
          <w:p w14:paraId="4E2102F1" w14:textId="77777777" w:rsidR="005755B2" w:rsidRPr="00147D0A" w:rsidRDefault="00CF77B0" w:rsidP="00815FF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 xml:space="preserve">Used as </w:t>
            </w:r>
            <w:r w:rsidR="00815FF1" w:rsidRPr="00147D0A">
              <w:rPr>
                <w:rFonts w:ascii="Arial Hebrew" w:hAnsi="Arial Hebrew" w:cs="Arial Hebrew" w:hint="cs"/>
                <w:i/>
                <w:iCs/>
                <w:sz w:val="16"/>
                <w:szCs w:val="16"/>
              </w:rPr>
              <w:t>“</w:t>
            </w:r>
            <w:r w:rsidRPr="00147D0A">
              <w:rPr>
                <w:rFonts w:ascii="Arial Hebrew" w:hAnsi="Arial Hebrew" w:cs="Arial Hebrew" w:hint="cs"/>
                <w:i/>
                <w:iCs/>
                <w:sz w:val="16"/>
                <w:szCs w:val="16"/>
              </w:rPr>
              <w:t>primary considerations</w:t>
            </w:r>
            <w:r w:rsidR="00815FF1" w:rsidRPr="00147D0A">
              <w:rPr>
                <w:rFonts w:ascii="Arial Hebrew" w:hAnsi="Arial Hebrew" w:cs="Arial Hebrew" w:hint="cs"/>
                <w:i/>
                <w:iCs/>
                <w:sz w:val="16"/>
                <w:szCs w:val="16"/>
              </w:rPr>
              <w:t>”</w:t>
            </w:r>
            <w:r w:rsidRPr="00147D0A">
              <w:rPr>
                <w:rFonts w:ascii="Arial Hebrew" w:hAnsi="Arial Hebrew" w:cs="Arial Hebrew" w:hint="cs"/>
                <w:i/>
                <w:iCs/>
                <w:sz w:val="16"/>
                <w:szCs w:val="16"/>
              </w:rPr>
              <w:t xml:space="preserve"> to </w:t>
            </w:r>
            <w:r w:rsidR="005755B2" w:rsidRPr="00147D0A">
              <w:rPr>
                <w:rFonts w:ascii="Arial Hebrew" w:hAnsi="Arial Hebrew" w:cs="Arial Hebrew" w:hint="cs"/>
                <w:i/>
                <w:iCs/>
                <w:sz w:val="16"/>
                <w:szCs w:val="16"/>
              </w:rPr>
              <w:t>“</w:t>
            </w:r>
            <w:r w:rsidRPr="00147D0A">
              <w:rPr>
                <w:rFonts w:ascii="Arial Hebrew" w:hAnsi="Arial Hebrew" w:cs="Arial Hebrew" w:hint="cs"/>
                <w:i/>
                <w:iCs/>
                <w:sz w:val="16"/>
                <w:szCs w:val="16"/>
              </w:rPr>
              <w:t>inform qualitative assessment</w:t>
            </w:r>
            <w:r w:rsidR="005755B2" w:rsidRPr="00147D0A">
              <w:rPr>
                <w:rFonts w:ascii="Arial Hebrew" w:hAnsi="Arial Hebrew" w:cs="Arial Hebrew" w:hint="cs"/>
                <w:i/>
                <w:iCs/>
                <w:sz w:val="16"/>
                <w:szCs w:val="16"/>
              </w:rPr>
              <w:t>”</w:t>
            </w:r>
            <w:r w:rsidRPr="00147D0A">
              <w:rPr>
                <w:rFonts w:ascii="Arial Hebrew" w:hAnsi="Arial Hebrew" w:cs="Arial Hebrew" w:hint="cs"/>
                <w:i/>
                <w:iCs/>
                <w:sz w:val="16"/>
                <w:szCs w:val="16"/>
              </w:rPr>
              <w:t xml:space="preserve">. </w:t>
            </w:r>
          </w:p>
          <w:p w14:paraId="0F8B34FD" w14:textId="32ED213D" w:rsidR="00CF77B0" w:rsidRPr="00147D0A" w:rsidRDefault="00CF77B0" w:rsidP="00815FF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Specific WGI score ranges provided for each rating category</w:t>
            </w:r>
            <w:r w:rsidR="007373C1" w:rsidRPr="00147D0A">
              <w:rPr>
                <w:rFonts w:ascii="Arial Hebrew" w:hAnsi="Arial Hebrew" w:cs="Arial Hebrew" w:hint="cs"/>
                <w:i/>
                <w:iCs/>
                <w:sz w:val="16"/>
                <w:szCs w:val="16"/>
              </w:rPr>
              <w:t>.</w:t>
            </w:r>
          </w:p>
        </w:tc>
      </w:tr>
      <w:tr w:rsidR="00CF77B0" w:rsidRPr="00147D0A" w14:paraId="0108EB70" w14:textId="77777777" w:rsidTr="005755B2">
        <w:trPr>
          <w:trHeight w:val="227"/>
        </w:trPr>
        <w:tc>
          <w:tcPr>
            <w:tcW w:w="1276" w:type="dxa"/>
            <w:tcBorders>
              <w:top w:val="single" w:sz="4" w:space="0" w:color="auto"/>
              <w:left w:val="nil"/>
              <w:bottom w:val="single" w:sz="4" w:space="0" w:color="auto"/>
              <w:right w:val="nil"/>
            </w:tcBorders>
            <w:shd w:val="clear" w:color="auto" w:fill="F2F2F2" w:themeFill="background1" w:themeFillShade="F2"/>
          </w:tcPr>
          <w:p w14:paraId="452368A5" w14:textId="329ED359" w:rsidR="00CF77B0" w:rsidRPr="00147D0A" w:rsidRDefault="00CF77B0" w:rsidP="007373C1">
            <w:pPr>
              <w:spacing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Strength of Civil Society and the Judiciary</w:t>
            </w:r>
          </w:p>
        </w:tc>
        <w:tc>
          <w:tcPr>
            <w:tcW w:w="1985" w:type="dxa"/>
            <w:tcBorders>
              <w:top w:val="single" w:sz="4" w:space="0" w:color="auto"/>
              <w:left w:val="nil"/>
              <w:bottom w:val="single" w:sz="4" w:space="0" w:color="auto"/>
              <w:right w:val="nil"/>
            </w:tcBorders>
          </w:tcPr>
          <w:p w14:paraId="1FAE0A42" w14:textId="77777777" w:rsidR="006970C0" w:rsidRPr="00147D0A" w:rsidRDefault="006970C0" w:rsidP="006970C0">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20% of </w:t>
            </w:r>
            <w:r w:rsidRPr="00147D0A">
              <w:rPr>
                <w:rFonts w:ascii="Arial Hebrew" w:hAnsi="Arial Hebrew" w:cs="Arial Hebrew" w:hint="cs"/>
                <w:b/>
                <w:bCs/>
                <w:sz w:val="16"/>
                <w:szCs w:val="16"/>
              </w:rPr>
              <w:t>Institutions &amp; Governance Strength</w:t>
            </w:r>
            <w:r w:rsidRPr="00147D0A">
              <w:rPr>
                <w:rFonts w:ascii="Arial Hebrew" w:hAnsi="Arial Hebrew" w:cs="Arial Hebrew" w:hint="cs"/>
                <w:sz w:val="16"/>
                <w:szCs w:val="16"/>
              </w:rPr>
              <w:t xml:space="preserve"> scorecard factor;</w:t>
            </w:r>
          </w:p>
          <w:p w14:paraId="72CC3FBF" w14:textId="77777777" w:rsidR="006970C0" w:rsidRPr="00147D0A" w:rsidRDefault="006970C0" w:rsidP="006970C0">
            <w:pPr>
              <w:spacing w:beforeLines="10" w:before="24" w:afterLines="10" w:after="24" w:line="276" w:lineRule="auto"/>
              <w:rPr>
                <w:rFonts w:ascii="Arial Hebrew" w:hAnsi="Arial Hebrew" w:cs="Arial Hebrew"/>
                <w:sz w:val="16"/>
                <w:szCs w:val="16"/>
              </w:rPr>
            </w:pPr>
            <w:r w:rsidRPr="00147D0A">
              <w:rPr>
                <w:rFonts w:ascii="Arial Hebrew" w:hAnsi="Arial Hebrew" w:cs="Arial Hebrew" w:hint="cs"/>
                <w:sz w:val="16"/>
                <w:szCs w:val="16"/>
              </w:rPr>
              <w:t xml:space="preserve">10% of </w:t>
            </w:r>
            <w:r w:rsidRPr="00147D0A">
              <w:rPr>
                <w:rFonts w:ascii="Arial Hebrew" w:hAnsi="Arial Hebrew" w:cs="Arial Hebrew" w:hint="cs"/>
                <w:b/>
                <w:bCs/>
                <w:sz w:val="16"/>
                <w:szCs w:val="16"/>
              </w:rPr>
              <w:t>Economic Resiliency</w:t>
            </w:r>
            <w:r w:rsidRPr="00147D0A">
              <w:rPr>
                <w:rFonts w:ascii="Arial Hebrew" w:hAnsi="Arial Hebrew" w:cs="Arial Hebrew" w:hint="cs"/>
                <w:sz w:val="16"/>
                <w:szCs w:val="16"/>
              </w:rPr>
              <w:t xml:space="preserve"> Score;</w:t>
            </w:r>
          </w:p>
          <w:p w14:paraId="120C6440" w14:textId="20B674F4" w:rsidR="00CF77B0" w:rsidRPr="00147D0A" w:rsidRDefault="006970C0" w:rsidP="006970C0">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sz w:val="16"/>
                <w:szCs w:val="16"/>
              </w:rPr>
              <w:t xml:space="preserve">5-7.5% of </w:t>
            </w:r>
            <w:r w:rsidRPr="00147D0A">
              <w:rPr>
                <w:rFonts w:ascii="Arial Hebrew" w:hAnsi="Arial Hebrew" w:cs="Arial Hebrew" w:hint="cs"/>
                <w:b/>
                <w:bCs/>
                <w:sz w:val="16"/>
                <w:szCs w:val="16"/>
              </w:rPr>
              <w:t>Government Financial Strength</w:t>
            </w:r>
            <w:r w:rsidRPr="00147D0A">
              <w:rPr>
                <w:rFonts w:ascii="Arial Hebrew" w:hAnsi="Arial Hebrew" w:cs="Arial Hebrew" w:hint="cs"/>
                <w:sz w:val="16"/>
                <w:szCs w:val="16"/>
              </w:rPr>
              <w:t xml:space="preserve"> assessment</w:t>
            </w:r>
          </w:p>
        </w:tc>
        <w:tc>
          <w:tcPr>
            <w:tcW w:w="1842" w:type="dxa"/>
            <w:tcBorders>
              <w:top w:val="single" w:sz="4" w:space="0" w:color="auto"/>
              <w:left w:val="nil"/>
              <w:bottom w:val="single" w:sz="4" w:space="0" w:color="auto"/>
              <w:right w:val="nil"/>
            </w:tcBorders>
          </w:tcPr>
          <w:p w14:paraId="318F376E" w14:textId="5BD9BE03" w:rsidR="00CF77B0" w:rsidRPr="00147D0A" w:rsidRDefault="00CF77B0" w:rsidP="007373C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sz w:val="16"/>
                <w:szCs w:val="16"/>
              </w:rPr>
              <w:t xml:space="preserve">Rule of law strength; judicial independence; corruption control; </w:t>
            </w:r>
            <w:r w:rsidR="00C72404" w:rsidRPr="00147D0A">
              <w:rPr>
                <w:rFonts w:ascii="Arial Hebrew" w:hAnsi="Arial Hebrew" w:cs="Arial Hebrew" w:hint="cs"/>
                <w:sz w:val="16"/>
                <w:szCs w:val="16"/>
              </w:rPr>
              <w:t xml:space="preserve">capacity of </w:t>
            </w:r>
            <w:r w:rsidRPr="00147D0A">
              <w:rPr>
                <w:rFonts w:ascii="Arial Hebrew" w:hAnsi="Arial Hebrew" w:cs="Arial Hebrew" w:hint="cs"/>
                <w:sz w:val="16"/>
                <w:szCs w:val="16"/>
              </w:rPr>
              <w:t>civil society to check government power; predictability</w:t>
            </w:r>
            <w:r w:rsidR="00C72404" w:rsidRPr="00147D0A">
              <w:rPr>
                <w:rFonts w:ascii="Arial Hebrew" w:hAnsi="Arial Hebrew" w:cs="Arial Hebrew" w:hint="cs"/>
                <w:sz w:val="16"/>
                <w:szCs w:val="16"/>
              </w:rPr>
              <w:t xml:space="preserve"> of enforcement</w:t>
            </w:r>
          </w:p>
        </w:tc>
        <w:tc>
          <w:tcPr>
            <w:tcW w:w="3828" w:type="dxa"/>
            <w:tcBorders>
              <w:top w:val="single" w:sz="4" w:space="0" w:color="auto"/>
              <w:left w:val="nil"/>
              <w:bottom w:val="single" w:sz="4" w:space="0" w:color="auto"/>
              <w:right w:val="nil"/>
            </w:tcBorders>
          </w:tcPr>
          <w:p w14:paraId="6FE4FCF1" w14:textId="77777777" w:rsidR="005755B2" w:rsidRPr="00147D0A" w:rsidRDefault="00CF77B0" w:rsidP="007373C1">
            <w:pPr>
              <w:pStyle w:val="ListParagraph"/>
              <w:numPr>
                <w:ilvl w:val="0"/>
                <w:numId w:val="59"/>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Voice and Accountability</w:t>
            </w:r>
          </w:p>
          <w:p w14:paraId="5F26E56E" w14:textId="77777777" w:rsidR="005755B2" w:rsidRPr="00147D0A" w:rsidRDefault="00CF77B0" w:rsidP="007373C1">
            <w:pPr>
              <w:pStyle w:val="ListParagraph"/>
              <w:numPr>
                <w:ilvl w:val="0"/>
                <w:numId w:val="59"/>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Rule of Law</w:t>
            </w:r>
          </w:p>
          <w:p w14:paraId="7DF196C1" w14:textId="576880ED" w:rsidR="005755B2" w:rsidRPr="00147D0A" w:rsidRDefault="00CF77B0" w:rsidP="007373C1">
            <w:pPr>
              <w:pStyle w:val="ListParagraph"/>
              <w:numPr>
                <w:ilvl w:val="0"/>
                <w:numId w:val="59"/>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Control of Corruption</w:t>
            </w:r>
            <w:r w:rsidRPr="00147D0A">
              <w:rPr>
                <w:rFonts w:ascii="Arial Hebrew" w:hAnsi="Arial Hebrew" w:cs="Arial Hebrew" w:hint="cs"/>
                <w:i/>
                <w:iCs/>
                <w:sz w:val="16"/>
                <w:szCs w:val="16"/>
              </w:rPr>
              <w:t xml:space="preserve"> </w:t>
            </w:r>
          </w:p>
          <w:p w14:paraId="595887BA" w14:textId="77777777" w:rsidR="005755B2" w:rsidRPr="00147D0A" w:rsidRDefault="005755B2" w:rsidP="007373C1">
            <w:pPr>
              <w:spacing w:beforeLines="10" w:before="24" w:afterLines="10" w:after="24" w:line="276" w:lineRule="auto"/>
              <w:rPr>
                <w:rFonts w:ascii="Arial Hebrew" w:hAnsi="Arial Hebrew" w:cs="Arial Hebrew"/>
                <w:sz w:val="16"/>
                <w:szCs w:val="16"/>
              </w:rPr>
            </w:pPr>
          </w:p>
          <w:p w14:paraId="5226BB52" w14:textId="77777777" w:rsidR="005755B2" w:rsidRPr="00147D0A" w:rsidRDefault="00CF77B0" w:rsidP="007373C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 xml:space="preserve">Used to </w:t>
            </w:r>
            <w:r w:rsidR="005755B2" w:rsidRPr="00147D0A">
              <w:rPr>
                <w:rFonts w:ascii="Arial Hebrew" w:hAnsi="Arial Hebrew" w:cs="Arial Hebrew" w:hint="cs"/>
                <w:i/>
                <w:iCs/>
                <w:sz w:val="16"/>
                <w:szCs w:val="16"/>
              </w:rPr>
              <w:t>“</w:t>
            </w:r>
            <w:r w:rsidRPr="00147D0A">
              <w:rPr>
                <w:rFonts w:ascii="Arial Hebrew" w:hAnsi="Arial Hebrew" w:cs="Arial Hebrew" w:hint="cs"/>
                <w:i/>
                <w:iCs/>
                <w:sz w:val="16"/>
                <w:szCs w:val="16"/>
              </w:rPr>
              <w:t xml:space="preserve">inform qualitative assessment" </w:t>
            </w:r>
          </w:p>
          <w:p w14:paraId="7AFAC29D" w14:textId="63551580" w:rsidR="00CF77B0" w:rsidRPr="00147D0A" w:rsidRDefault="005755B2" w:rsidP="007373C1">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i/>
                <w:iCs/>
                <w:sz w:val="16"/>
                <w:szCs w:val="16"/>
              </w:rPr>
              <w:t>Specific WGI score ranges provided for each rating category.</w:t>
            </w:r>
          </w:p>
        </w:tc>
      </w:tr>
      <w:tr w:rsidR="00CF77B0" w:rsidRPr="00147D0A" w14:paraId="6E9075B8" w14:textId="77777777" w:rsidTr="005755B2">
        <w:trPr>
          <w:trHeight w:val="490"/>
        </w:trPr>
        <w:tc>
          <w:tcPr>
            <w:tcW w:w="1276" w:type="dxa"/>
            <w:tcBorders>
              <w:top w:val="single" w:sz="4" w:space="0" w:color="auto"/>
              <w:left w:val="nil"/>
              <w:bottom w:val="double" w:sz="4" w:space="0" w:color="auto"/>
              <w:right w:val="nil"/>
            </w:tcBorders>
            <w:shd w:val="clear" w:color="auto" w:fill="F2F2F2" w:themeFill="background1" w:themeFillShade="F2"/>
          </w:tcPr>
          <w:p w14:paraId="4E3CD877" w14:textId="7AC2E63F" w:rsidR="00CF77B0" w:rsidRPr="00147D0A" w:rsidRDefault="00CF77B0" w:rsidP="005755B2">
            <w:pPr>
              <w:spacing w:after="240"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Political Risk</w:t>
            </w:r>
          </w:p>
        </w:tc>
        <w:tc>
          <w:tcPr>
            <w:tcW w:w="1985" w:type="dxa"/>
            <w:tcBorders>
              <w:top w:val="single" w:sz="4" w:space="0" w:color="auto"/>
              <w:left w:val="nil"/>
              <w:bottom w:val="double" w:sz="4" w:space="0" w:color="auto"/>
              <w:right w:val="nil"/>
            </w:tcBorders>
          </w:tcPr>
          <w:p w14:paraId="676C3947" w14:textId="2FD71705" w:rsidR="00CF77B0" w:rsidRPr="00147D0A" w:rsidRDefault="00815FF1" w:rsidP="005755B2">
            <w:pPr>
              <w:spacing w:after="240" w:line="276" w:lineRule="auto"/>
              <w:rPr>
                <w:rFonts w:ascii="Arial Hebrew" w:hAnsi="Arial Hebrew" w:cs="Arial Hebrew"/>
                <w:i/>
                <w:iCs/>
                <w:sz w:val="16"/>
                <w:szCs w:val="16"/>
              </w:rPr>
            </w:pPr>
            <w:r w:rsidRPr="00147D0A">
              <w:rPr>
                <w:rFonts w:ascii="Arial Hebrew" w:hAnsi="Arial Hebrew" w:cs="Arial Hebrew" w:hint="cs"/>
                <w:sz w:val="16"/>
                <w:szCs w:val="16"/>
              </w:rPr>
              <w:t>One of four c</w:t>
            </w:r>
            <w:r w:rsidR="00C72404" w:rsidRPr="00147D0A">
              <w:rPr>
                <w:rFonts w:ascii="Arial Hebrew" w:hAnsi="Arial Hebrew" w:cs="Arial Hebrew" w:hint="cs"/>
                <w:sz w:val="16"/>
                <w:szCs w:val="16"/>
              </w:rPr>
              <w:t>omponent</w:t>
            </w:r>
            <w:r w:rsidRPr="00147D0A">
              <w:rPr>
                <w:rFonts w:ascii="Arial Hebrew" w:hAnsi="Arial Hebrew" w:cs="Arial Hebrew" w:hint="cs"/>
                <w:sz w:val="16"/>
                <w:szCs w:val="16"/>
              </w:rPr>
              <w:t>s</w:t>
            </w:r>
            <w:r w:rsidR="00C72404" w:rsidRPr="00147D0A">
              <w:rPr>
                <w:rFonts w:ascii="Arial Hebrew" w:hAnsi="Arial Hebrew" w:cs="Arial Hebrew" w:hint="cs"/>
                <w:sz w:val="16"/>
                <w:szCs w:val="16"/>
              </w:rPr>
              <w:t xml:space="preserve"> of </w:t>
            </w:r>
            <w:r w:rsidR="00CF77B0" w:rsidRPr="00147D0A">
              <w:rPr>
                <w:rFonts w:ascii="Arial Hebrew" w:hAnsi="Arial Hebrew" w:cs="Arial Hebrew" w:hint="cs"/>
                <w:b/>
                <w:bCs/>
                <w:sz w:val="16"/>
                <w:szCs w:val="16"/>
              </w:rPr>
              <w:t>Susceptibility to Event Risk Factor</w:t>
            </w:r>
            <w:r w:rsidRPr="00147D0A">
              <w:rPr>
                <w:rFonts w:ascii="Arial Hebrew" w:hAnsi="Arial Hebrew" w:cs="Arial Hebrew" w:hint="cs"/>
                <w:sz w:val="16"/>
                <w:szCs w:val="16"/>
              </w:rPr>
              <w:t xml:space="preserve">, aggregated using minimum function and used to downwardly adjust </w:t>
            </w:r>
            <w:r w:rsidRPr="00147D0A">
              <w:rPr>
                <w:rFonts w:ascii="Arial Hebrew" w:hAnsi="Arial Hebrew" w:cs="Arial Hebrew" w:hint="cs"/>
                <w:b/>
                <w:bCs/>
                <w:sz w:val="16"/>
                <w:szCs w:val="16"/>
              </w:rPr>
              <w:t>Government Financial Strength</w:t>
            </w:r>
            <w:r w:rsidRPr="00147D0A">
              <w:rPr>
                <w:rFonts w:ascii="Arial Hebrew" w:hAnsi="Arial Hebrew" w:cs="Arial Hebrew" w:hint="cs"/>
                <w:sz w:val="16"/>
                <w:szCs w:val="16"/>
              </w:rPr>
              <w:t xml:space="preserve"> assessment</w:t>
            </w:r>
          </w:p>
        </w:tc>
        <w:tc>
          <w:tcPr>
            <w:tcW w:w="1842" w:type="dxa"/>
            <w:tcBorders>
              <w:top w:val="single" w:sz="4" w:space="0" w:color="auto"/>
              <w:left w:val="nil"/>
              <w:bottom w:val="double" w:sz="4" w:space="0" w:color="auto"/>
              <w:right w:val="nil"/>
            </w:tcBorders>
          </w:tcPr>
          <w:p w14:paraId="66A7B800" w14:textId="5658B04A" w:rsidR="00CF77B0" w:rsidRPr="00147D0A" w:rsidRDefault="00CF77B0" w:rsidP="005755B2">
            <w:p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sz w:val="16"/>
                <w:szCs w:val="16"/>
              </w:rPr>
              <w:t>Domestic political stability; social tensions; policy continuity; geopolitical tensions and conflicts</w:t>
            </w:r>
          </w:p>
        </w:tc>
        <w:tc>
          <w:tcPr>
            <w:tcW w:w="3828" w:type="dxa"/>
            <w:tcBorders>
              <w:top w:val="single" w:sz="4" w:space="0" w:color="auto"/>
              <w:left w:val="nil"/>
              <w:bottom w:val="double" w:sz="4" w:space="0" w:color="auto"/>
              <w:right w:val="nil"/>
            </w:tcBorders>
          </w:tcPr>
          <w:p w14:paraId="11477015" w14:textId="77777777" w:rsidR="005755B2" w:rsidRPr="00147D0A" w:rsidRDefault="005755B2" w:rsidP="005755B2">
            <w:pPr>
              <w:pStyle w:val="ListParagraph"/>
              <w:numPr>
                <w:ilvl w:val="0"/>
                <w:numId w:val="59"/>
              </w:numPr>
              <w:spacing w:beforeLines="10" w:before="24" w:afterLines="10" w:after="24" w:line="276" w:lineRule="auto"/>
              <w:rPr>
                <w:rFonts w:ascii="Arial Hebrew" w:hAnsi="Arial Hebrew" w:cs="Arial Hebrew"/>
                <w:b/>
                <w:bCs/>
                <w:i/>
                <w:iCs/>
                <w:sz w:val="16"/>
                <w:szCs w:val="16"/>
              </w:rPr>
            </w:pPr>
            <w:r w:rsidRPr="00147D0A">
              <w:rPr>
                <w:rFonts w:ascii="Arial Hebrew" w:hAnsi="Arial Hebrew" w:cs="Arial Hebrew" w:hint="cs"/>
                <w:b/>
                <w:bCs/>
                <w:i/>
                <w:iCs/>
                <w:sz w:val="16"/>
                <w:szCs w:val="16"/>
              </w:rPr>
              <w:t>Voice and Accountability</w:t>
            </w:r>
          </w:p>
          <w:p w14:paraId="46994628" w14:textId="75909DFF" w:rsidR="005755B2" w:rsidRPr="00147D0A" w:rsidRDefault="005755B2" w:rsidP="005755B2">
            <w:pPr>
              <w:pStyle w:val="ListParagraph"/>
              <w:numPr>
                <w:ilvl w:val="0"/>
                <w:numId w:val="59"/>
              </w:numPr>
              <w:spacing w:beforeLines="10" w:before="24" w:afterLines="10" w:after="24" w:line="276" w:lineRule="auto"/>
              <w:rPr>
                <w:rFonts w:ascii="Arial Hebrew" w:hAnsi="Arial Hebrew" w:cs="Arial Hebrew"/>
                <w:i/>
                <w:iCs/>
                <w:sz w:val="16"/>
                <w:szCs w:val="16"/>
              </w:rPr>
            </w:pPr>
            <w:r w:rsidRPr="00147D0A">
              <w:rPr>
                <w:rFonts w:ascii="Arial Hebrew" w:hAnsi="Arial Hebrew" w:cs="Arial Hebrew" w:hint="cs"/>
                <w:b/>
                <w:bCs/>
                <w:i/>
                <w:iCs/>
                <w:sz w:val="16"/>
                <w:szCs w:val="16"/>
              </w:rPr>
              <w:t>Political Stability &amp; Absence of Violence</w:t>
            </w:r>
            <w:r w:rsidR="00345789" w:rsidRPr="00147D0A">
              <w:rPr>
                <w:rFonts w:ascii="Arial Hebrew" w:hAnsi="Arial Hebrew" w:cs="Arial Hebrew" w:hint="cs"/>
                <w:b/>
                <w:bCs/>
                <w:i/>
                <w:iCs/>
                <w:sz w:val="16"/>
                <w:szCs w:val="16"/>
              </w:rPr>
              <w:t xml:space="preserve"> </w:t>
            </w:r>
            <w:r w:rsidRPr="00147D0A">
              <w:rPr>
                <w:rFonts w:ascii="Arial Hebrew" w:hAnsi="Arial Hebrew" w:cs="Arial Hebrew" w:hint="cs"/>
                <w:b/>
                <w:bCs/>
                <w:i/>
                <w:iCs/>
                <w:sz w:val="16"/>
                <w:szCs w:val="16"/>
              </w:rPr>
              <w:t>/</w:t>
            </w:r>
            <w:r w:rsidR="00345789" w:rsidRPr="00147D0A">
              <w:rPr>
                <w:rFonts w:ascii="Arial Hebrew" w:hAnsi="Arial Hebrew" w:cs="Arial Hebrew" w:hint="cs"/>
                <w:b/>
                <w:bCs/>
                <w:i/>
                <w:iCs/>
                <w:sz w:val="16"/>
                <w:szCs w:val="16"/>
              </w:rPr>
              <w:t xml:space="preserve"> </w:t>
            </w:r>
            <w:r w:rsidRPr="00147D0A">
              <w:rPr>
                <w:rFonts w:ascii="Arial Hebrew" w:hAnsi="Arial Hebrew" w:cs="Arial Hebrew" w:hint="cs"/>
                <w:b/>
                <w:bCs/>
                <w:i/>
                <w:iCs/>
                <w:sz w:val="16"/>
                <w:szCs w:val="16"/>
              </w:rPr>
              <w:t>Terrorism</w:t>
            </w:r>
            <w:r w:rsidR="00CF77B0" w:rsidRPr="00147D0A">
              <w:rPr>
                <w:rFonts w:ascii="Arial Hebrew" w:hAnsi="Arial Hebrew" w:cs="Arial Hebrew" w:hint="cs"/>
                <w:i/>
                <w:iCs/>
                <w:sz w:val="16"/>
                <w:szCs w:val="16"/>
              </w:rPr>
              <w:t xml:space="preserve"> </w:t>
            </w:r>
          </w:p>
          <w:p w14:paraId="34129899" w14:textId="77777777" w:rsidR="005755B2" w:rsidRPr="00147D0A" w:rsidRDefault="005755B2" w:rsidP="005755B2">
            <w:pPr>
              <w:spacing w:beforeLines="10" w:before="24" w:afterLines="10" w:after="24" w:line="276" w:lineRule="auto"/>
              <w:ind w:left="57"/>
              <w:rPr>
                <w:rFonts w:ascii="Arial Hebrew" w:hAnsi="Arial Hebrew" w:cs="Arial Hebrew"/>
                <w:sz w:val="16"/>
                <w:szCs w:val="16"/>
              </w:rPr>
            </w:pPr>
          </w:p>
          <w:p w14:paraId="75307848" w14:textId="77777777" w:rsidR="005755B2" w:rsidRPr="00147D0A" w:rsidRDefault="00CF77B0" w:rsidP="005755B2">
            <w:pPr>
              <w:spacing w:beforeLines="10" w:before="24" w:afterLines="10" w:after="24" w:line="276" w:lineRule="auto"/>
              <w:ind w:left="57"/>
              <w:rPr>
                <w:rFonts w:ascii="Arial Hebrew" w:hAnsi="Arial Hebrew" w:cs="Arial Hebrew"/>
                <w:i/>
                <w:iCs/>
                <w:sz w:val="16"/>
                <w:szCs w:val="16"/>
              </w:rPr>
            </w:pPr>
            <w:r w:rsidRPr="00147D0A">
              <w:rPr>
                <w:rFonts w:ascii="Arial Hebrew" w:hAnsi="Arial Hebrew" w:cs="Arial Hebrew" w:hint="cs"/>
                <w:i/>
                <w:iCs/>
                <w:sz w:val="16"/>
                <w:szCs w:val="16"/>
              </w:rPr>
              <w:t>Used to assess people's ability to voice preferences and impact policymaking</w:t>
            </w:r>
            <w:r w:rsidR="005755B2" w:rsidRPr="00147D0A">
              <w:rPr>
                <w:rFonts w:ascii="Arial Hebrew" w:hAnsi="Arial Hebrew" w:cs="Arial Hebrew" w:hint="cs"/>
                <w:i/>
                <w:iCs/>
                <w:sz w:val="16"/>
                <w:szCs w:val="16"/>
              </w:rPr>
              <w:t>, and</w:t>
            </w:r>
            <w:r w:rsidRPr="00147D0A">
              <w:rPr>
                <w:rFonts w:ascii="Arial Hebrew" w:hAnsi="Arial Hebrew" w:cs="Arial Hebrew" w:hint="cs"/>
                <w:i/>
                <w:iCs/>
                <w:sz w:val="16"/>
                <w:szCs w:val="16"/>
              </w:rPr>
              <w:t xml:space="preserve"> to assess government transition orderliness and policy predictability. </w:t>
            </w:r>
          </w:p>
          <w:p w14:paraId="1E7F78DE" w14:textId="637AB2F6" w:rsidR="00CF77B0" w:rsidRPr="00147D0A" w:rsidRDefault="00CF77B0" w:rsidP="005755B2">
            <w:pPr>
              <w:spacing w:beforeLines="10" w:before="24" w:afterLines="10" w:after="24" w:line="276" w:lineRule="auto"/>
              <w:ind w:left="57"/>
              <w:rPr>
                <w:rFonts w:ascii="Arial Hebrew" w:hAnsi="Arial Hebrew" w:cs="Arial Hebrew"/>
                <w:i/>
                <w:iCs/>
                <w:sz w:val="16"/>
                <w:szCs w:val="16"/>
              </w:rPr>
            </w:pPr>
            <w:r w:rsidRPr="00147D0A">
              <w:rPr>
                <w:rFonts w:ascii="Arial Hebrew" w:hAnsi="Arial Hebrew" w:cs="Arial Hebrew" w:hint="cs"/>
                <w:i/>
                <w:iCs/>
                <w:sz w:val="16"/>
                <w:szCs w:val="16"/>
              </w:rPr>
              <w:t>Specific WGI score ranges provided for each rating category</w:t>
            </w:r>
          </w:p>
          <w:p w14:paraId="0D757830" w14:textId="5669CE0C" w:rsidR="005755B2" w:rsidRPr="00147D0A" w:rsidRDefault="005755B2" w:rsidP="005755B2">
            <w:pPr>
              <w:spacing w:beforeLines="10" w:before="24" w:afterLines="10" w:after="24" w:line="276" w:lineRule="auto"/>
              <w:ind w:left="57"/>
              <w:rPr>
                <w:rFonts w:ascii="Arial Hebrew" w:hAnsi="Arial Hebrew" w:cs="Arial Hebrew"/>
                <w:i/>
                <w:iCs/>
                <w:sz w:val="16"/>
                <w:szCs w:val="16"/>
              </w:rPr>
            </w:pPr>
          </w:p>
        </w:tc>
      </w:tr>
    </w:tbl>
    <w:p w14:paraId="381F65A1" w14:textId="039D685A" w:rsidR="00346C44" w:rsidRPr="00147D0A" w:rsidRDefault="00346C44" w:rsidP="00F75426">
      <w:pPr>
        <w:rPr>
          <w:rFonts w:ascii="Arial Hebrew" w:hAnsi="Arial Hebrew" w:cs="Arial Hebrew"/>
        </w:rPr>
      </w:pPr>
    </w:p>
    <w:p w14:paraId="4AF5D7C9" w14:textId="6FC0A880" w:rsidR="00F403CD" w:rsidRPr="00147D0A" w:rsidRDefault="007373C1" w:rsidP="00D008E6">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While S&amp;P’s does not reveal its methods for incorporating the WGIs in sovereign assessments, Fitch is transparent</w:t>
      </w:r>
      <w:r w:rsidR="00345789" w:rsidRPr="00147D0A">
        <w:rPr>
          <w:rFonts w:ascii="Arial Hebrew" w:hAnsi="Arial Hebrew" w:cs="Arial Hebrew" w:hint="cs"/>
          <w:sz w:val="20"/>
          <w:szCs w:val="20"/>
        </w:rPr>
        <w:t xml:space="preserve"> regarding</w:t>
      </w:r>
      <w:r w:rsidRPr="00147D0A">
        <w:rPr>
          <w:rFonts w:ascii="Arial Hebrew" w:hAnsi="Arial Hebrew" w:cs="Arial Hebrew" w:hint="cs"/>
          <w:sz w:val="20"/>
          <w:szCs w:val="20"/>
        </w:rPr>
        <w:t xml:space="preserve"> their use in the agency’s Sovereign Ratings Model (SRM)</w:t>
      </w:r>
      <w:r w:rsidR="00AA7A42"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AA7A42" w:rsidRPr="00147D0A">
        <w:rPr>
          <w:rFonts w:ascii="Arial Hebrew" w:hAnsi="Arial Hebrew" w:cs="Arial Hebrew" w:hint="cs"/>
          <w:sz w:val="20"/>
          <w:szCs w:val="20"/>
        </w:rPr>
        <w:t>T</w:t>
      </w:r>
      <w:r w:rsidRPr="00147D0A">
        <w:rPr>
          <w:rFonts w:ascii="Arial Hebrew" w:hAnsi="Arial Hebrew" w:cs="Arial Hebrew" w:hint="cs"/>
          <w:sz w:val="20"/>
          <w:szCs w:val="20"/>
        </w:rPr>
        <w:t xml:space="preserve">he </w:t>
      </w:r>
      <w:r w:rsidRPr="00147D0A">
        <w:rPr>
          <w:rFonts w:ascii="Arial Hebrew" w:hAnsi="Arial Hebrew" w:cs="Arial Hebrew" w:hint="cs"/>
          <w:i/>
          <w:iCs/>
          <w:sz w:val="20"/>
          <w:szCs w:val="20"/>
        </w:rPr>
        <w:t>Composite Governance Indicator</w:t>
      </w:r>
      <w:r w:rsidRPr="00147D0A">
        <w:rPr>
          <w:rFonts w:ascii="Arial Hebrew" w:hAnsi="Arial Hebrew" w:cs="Arial Hebrew" w:hint="cs"/>
          <w:sz w:val="20"/>
          <w:szCs w:val="20"/>
        </w:rPr>
        <w:t xml:space="preserve"> feature is</w:t>
      </w:r>
      <w:r w:rsidR="0027716B" w:rsidRPr="00147D0A">
        <w:rPr>
          <w:rFonts w:ascii="Arial Hebrew" w:hAnsi="Arial Hebrew" w:cs="Arial Hebrew" w:hint="cs"/>
          <w:sz w:val="20"/>
          <w:szCs w:val="20"/>
        </w:rPr>
        <w:t xml:space="preserve"> calculated as a simple arithmetic mean of the six WGI dimensions, and</w:t>
      </w:r>
      <w:r w:rsidR="00D76AE8" w:rsidRPr="00147D0A">
        <w:rPr>
          <w:rFonts w:ascii="Arial Hebrew" w:hAnsi="Arial Hebrew" w:cs="Arial Hebrew" w:hint="cs"/>
          <w:sz w:val="20"/>
          <w:szCs w:val="20"/>
        </w:rPr>
        <w:t xml:space="preserve"> it</w:t>
      </w:r>
      <w:r w:rsidR="0027716B" w:rsidRPr="00147D0A">
        <w:rPr>
          <w:rFonts w:ascii="Arial Hebrew" w:hAnsi="Arial Hebrew" w:cs="Arial Hebrew" w:hint="cs"/>
          <w:sz w:val="20"/>
          <w:szCs w:val="20"/>
        </w:rPr>
        <w:t xml:space="preserve"> is</w:t>
      </w:r>
      <w:r w:rsidRPr="00147D0A">
        <w:rPr>
          <w:rFonts w:ascii="Arial Hebrew" w:hAnsi="Arial Hebrew" w:cs="Arial Hebrew" w:hint="cs"/>
          <w:sz w:val="20"/>
          <w:szCs w:val="20"/>
        </w:rPr>
        <w:t xml:space="preserve"> the SRM’s most significant feature</w:t>
      </w:r>
      <w:r w:rsidR="0027716B" w:rsidRPr="00147D0A">
        <w:rPr>
          <w:rFonts w:ascii="Arial Hebrew" w:hAnsi="Arial Hebrew" w:cs="Arial Hebrew" w:hint="cs"/>
          <w:sz w:val="20"/>
          <w:szCs w:val="20"/>
        </w:rPr>
        <w:t>,</w:t>
      </w:r>
      <w:r w:rsidR="005755B2"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with a 22% </w:t>
      </w:r>
      <w:r w:rsidR="0027716B" w:rsidRPr="00147D0A">
        <w:rPr>
          <w:rFonts w:ascii="Arial Hebrew" w:hAnsi="Arial Hebrew" w:cs="Arial Hebrew" w:hint="cs"/>
          <w:sz w:val="20"/>
          <w:szCs w:val="20"/>
        </w:rPr>
        <w:t xml:space="preserve">explanatory power </w:t>
      </w:r>
      <w:r w:rsidR="003C5200" w:rsidRPr="00147D0A">
        <w:rPr>
          <w:rFonts w:ascii="Arial Hebrew" w:hAnsi="Arial Hebrew" w:cs="Arial Hebrew" w:hint="cs"/>
          <w:sz w:val="20"/>
          <w:szCs w:val="20"/>
        </w:rPr>
        <w:t>(</w:t>
      </w:r>
      <w:r w:rsidRPr="00147D0A">
        <w:rPr>
          <w:rFonts w:ascii="Arial Hebrew" w:hAnsi="Arial Hebrew" w:cs="Arial Hebrew" w:hint="cs"/>
          <w:sz w:val="20"/>
          <w:szCs w:val="20"/>
        </w:rPr>
        <w:t>before Qualitative Overlay</w:t>
      </w:r>
      <w:r w:rsidR="003C5200" w:rsidRPr="00147D0A">
        <w:rPr>
          <w:rFonts w:ascii="Arial Hebrew" w:hAnsi="Arial Hebrew" w:cs="Arial Hebrew" w:hint="cs"/>
          <w:sz w:val="20"/>
          <w:szCs w:val="20"/>
        </w:rPr>
        <w:t>)</w:t>
      </w:r>
      <w:r w:rsidRPr="00147D0A">
        <w:rPr>
          <w:rFonts w:ascii="Arial Hebrew" w:hAnsi="Arial Hebrew" w:cs="Arial Hebrew" w:hint="cs"/>
          <w:sz w:val="20"/>
          <w:szCs w:val="20"/>
        </w:rPr>
        <w:t>.</w:t>
      </w:r>
      <w:r w:rsidR="007402F6" w:rsidRPr="00147D0A">
        <w:rPr>
          <w:rStyle w:val="FootnoteReference"/>
          <w:rFonts w:ascii="Arial Hebrew" w:hAnsi="Arial Hebrew" w:cs="Arial Hebrew" w:hint="cs"/>
          <w:sz w:val="20"/>
          <w:szCs w:val="20"/>
        </w:rPr>
        <w:footnoteReference w:id="17"/>
      </w:r>
    </w:p>
    <w:p w14:paraId="1ADCD097" w14:textId="7FC7FBF4" w:rsidR="00B73524" w:rsidRPr="00147D0A" w:rsidRDefault="00F403CD"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lastRenderedPageBreak/>
        <w:t>The strong reliance by ratings agencies on the WGI</w:t>
      </w:r>
      <w:r w:rsidR="00BD5EBC" w:rsidRPr="00147D0A">
        <w:rPr>
          <w:rFonts w:ascii="Arial Hebrew" w:hAnsi="Arial Hebrew" w:cs="Arial Hebrew" w:hint="cs"/>
          <w:sz w:val="20"/>
          <w:szCs w:val="20"/>
        </w:rPr>
        <w:t xml:space="preserve"> </w:t>
      </w:r>
      <w:r w:rsidRPr="00147D0A">
        <w:rPr>
          <w:rFonts w:ascii="Arial Hebrew" w:hAnsi="Arial Hebrew" w:cs="Arial Hebrew" w:hint="cs"/>
          <w:sz w:val="20"/>
          <w:szCs w:val="20"/>
        </w:rPr>
        <w:t>has raised concerns regarding the appropriateness of their use in credit assessments</w:t>
      </w:r>
      <w:r w:rsidR="00FA4F89" w:rsidRPr="00147D0A">
        <w:rPr>
          <w:rFonts w:ascii="Arial Hebrew" w:hAnsi="Arial Hebrew" w:cs="Arial Hebrew" w:hint="cs"/>
          <w:sz w:val="20"/>
          <w:szCs w:val="20"/>
        </w:rPr>
        <w:t>, especially on the part of developing economies</w:t>
      </w:r>
      <w:r w:rsidRPr="00147D0A">
        <w:rPr>
          <w:rFonts w:ascii="Arial Hebrew" w:hAnsi="Arial Hebrew" w:cs="Arial Hebrew" w:hint="cs"/>
          <w:sz w:val="20"/>
          <w:szCs w:val="20"/>
        </w:rPr>
        <w:t>.</w:t>
      </w:r>
      <w:r w:rsidR="003D633B" w:rsidRPr="00147D0A">
        <w:rPr>
          <w:rStyle w:val="FootnoteReference"/>
          <w:rFonts w:ascii="Arial Hebrew" w:hAnsi="Arial Hebrew" w:cs="Arial Hebrew" w:hint="cs"/>
          <w:sz w:val="20"/>
          <w:szCs w:val="20"/>
        </w:rPr>
        <w:footnoteReference w:id="18"/>
      </w:r>
      <w:r w:rsidRPr="00147D0A">
        <w:rPr>
          <w:rFonts w:ascii="Arial Hebrew" w:hAnsi="Arial Hebrew" w:cs="Arial Hebrew" w:hint="cs"/>
          <w:sz w:val="20"/>
          <w:szCs w:val="20"/>
        </w:rPr>
        <w:t xml:space="preserve"> </w:t>
      </w:r>
      <w:r w:rsidR="003D633B" w:rsidRPr="00147D0A">
        <w:rPr>
          <w:rFonts w:ascii="Arial Hebrew" w:hAnsi="Arial Hebrew" w:cs="Arial Hebrew" w:hint="cs"/>
          <w:sz w:val="20"/>
          <w:szCs w:val="20"/>
        </w:rPr>
        <w:t>The indicators’ derivation is</w:t>
      </w:r>
      <w:r w:rsidR="00FA4F89" w:rsidRPr="00147D0A">
        <w:rPr>
          <w:rFonts w:ascii="Arial Hebrew" w:hAnsi="Arial Hebrew" w:cs="Arial Hebrew" w:hint="cs"/>
          <w:sz w:val="20"/>
          <w:szCs w:val="20"/>
        </w:rPr>
        <w:t xml:space="preserve"> relatively</w:t>
      </w:r>
      <w:r w:rsidR="003D633B" w:rsidRPr="00147D0A">
        <w:rPr>
          <w:rFonts w:ascii="Arial Hebrew" w:hAnsi="Arial Hebrew" w:cs="Arial Hebrew" w:hint="cs"/>
          <w:sz w:val="20"/>
          <w:szCs w:val="20"/>
        </w:rPr>
        <w:t xml:space="preserve"> opaque</w:t>
      </w:r>
      <w:r w:rsidR="004C7FE3" w:rsidRPr="00147D0A">
        <w:rPr>
          <w:rFonts w:ascii="Arial Hebrew" w:hAnsi="Arial Hebrew" w:cs="Arial Hebrew" w:hint="cs"/>
          <w:sz w:val="20"/>
          <w:szCs w:val="20"/>
        </w:rPr>
        <w:t>,</w:t>
      </w:r>
      <w:r w:rsidR="00FA4F89" w:rsidRPr="00147D0A">
        <w:rPr>
          <w:rFonts w:ascii="Arial Hebrew" w:hAnsi="Arial Hebrew" w:cs="Arial Hebrew" w:hint="cs"/>
          <w:sz w:val="20"/>
          <w:szCs w:val="20"/>
        </w:rPr>
        <w:t xml:space="preserve"> </w:t>
      </w:r>
      <w:r w:rsidR="004C7FE3" w:rsidRPr="00147D0A">
        <w:rPr>
          <w:rFonts w:ascii="Arial Hebrew" w:hAnsi="Arial Hebrew" w:cs="Arial Hebrew" w:hint="cs"/>
          <w:sz w:val="20"/>
          <w:szCs w:val="20"/>
        </w:rPr>
        <w:t>using</w:t>
      </w:r>
      <w:r w:rsidR="003D633B" w:rsidRPr="00147D0A">
        <w:rPr>
          <w:rFonts w:ascii="Arial Hebrew" w:hAnsi="Arial Hebrew" w:cs="Arial Hebrew" w:hint="cs"/>
          <w:sz w:val="20"/>
          <w:szCs w:val="20"/>
        </w:rPr>
        <w:t xml:space="preserve"> </w:t>
      </w:r>
      <w:r w:rsidR="006E7ECE" w:rsidRPr="00147D0A">
        <w:rPr>
          <w:rFonts w:ascii="Arial Hebrew" w:hAnsi="Arial Hebrew" w:cs="Arial Hebrew" w:hint="cs"/>
          <w:sz w:val="20"/>
          <w:szCs w:val="20"/>
        </w:rPr>
        <w:t>Bayesian computational</w:t>
      </w:r>
      <w:r w:rsidR="003D633B" w:rsidRPr="00147D0A">
        <w:rPr>
          <w:rFonts w:ascii="Arial Hebrew" w:hAnsi="Arial Hebrew" w:cs="Arial Hebrew" w:hint="cs"/>
          <w:sz w:val="20"/>
          <w:szCs w:val="20"/>
        </w:rPr>
        <w:t xml:space="preserve"> techniques</w:t>
      </w:r>
      <w:r w:rsidRPr="00147D0A">
        <w:rPr>
          <w:rFonts w:ascii="Arial Hebrew" w:hAnsi="Arial Hebrew" w:cs="Arial Hebrew" w:hint="cs"/>
          <w:sz w:val="20"/>
          <w:szCs w:val="20"/>
        </w:rPr>
        <w:t xml:space="preserve"> </w:t>
      </w:r>
      <w:r w:rsidR="003D633B" w:rsidRPr="00147D0A">
        <w:rPr>
          <w:rFonts w:ascii="Arial Hebrew" w:hAnsi="Arial Hebrew" w:cs="Arial Hebrew" w:hint="cs"/>
          <w:sz w:val="20"/>
          <w:szCs w:val="20"/>
        </w:rPr>
        <w:t>to combine</w:t>
      </w:r>
      <w:r w:rsidRPr="00147D0A">
        <w:rPr>
          <w:rFonts w:ascii="Arial Hebrew" w:hAnsi="Arial Hebrew" w:cs="Arial Hebrew" w:hint="cs"/>
          <w:sz w:val="20"/>
          <w:szCs w:val="20"/>
        </w:rPr>
        <w:t xml:space="preserve"> </w:t>
      </w:r>
      <w:r w:rsidR="00066E37" w:rsidRPr="00147D0A">
        <w:rPr>
          <w:rFonts w:ascii="Arial Hebrew" w:hAnsi="Arial Hebrew" w:cs="Arial Hebrew" w:hint="cs"/>
          <w:sz w:val="20"/>
          <w:szCs w:val="20"/>
        </w:rPr>
        <w:t xml:space="preserve">data from </w:t>
      </w:r>
      <w:r w:rsidRPr="00147D0A">
        <w:rPr>
          <w:rFonts w:ascii="Arial Hebrew" w:hAnsi="Arial Hebrew" w:cs="Arial Hebrew" w:hint="cs"/>
          <w:sz w:val="20"/>
          <w:szCs w:val="20"/>
        </w:rPr>
        <w:t xml:space="preserve">highly diverse sources </w:t>
      </w:r>
      <w:r w:rsidR="002F421F" w:rsidRPr="00147D0A">
        <w:rPr>
          <w:rFonts w:ascii="Arial Hebrew" w:hAnsi="Arial Hebrew" w:cs="Arial Hebrew" w:hint="cs"/>
          <w:sz w:val="20"/>
          <w:szCs w:val="20"/>
        </w:rPr>
        <w:t xml:space="preserve">that </w:t>
      </w:r>
      <w:r w:rsidR="003D633B" w:rsidRPr="00147D0A">
        <w:rPr>
          <w:rFonts w:ascii="Arial Hebrew" w:hAnsi="Arial Hebrew" w:cs="Arial Hebrew" w:hint="cs"/>
          <w:sz w:val="20"/>
          <w:szCs w:val="20"/>
        </w:rPr>
        <w:t xml:space="preserve">employ varying degrees of </w:t>
      </w:r>
      <w:r w:rsidRPr="00147D0A">
        <w:rPr>
          <w:rFonts w:ascii="Arial Hebrew" w:hAnsi="Arial Hebrew" w:cs="Arial Hebrew" w:hint="cs"/>
          <w:sz w:val="20"/>
          <w:szCs w:val="20"/>
        </w:rPr>
        <w:t>subjective opinio</w:t>
      </w:r>
      <w:r w:rsidR="003D633B" w:rsidRPr="00147D0A">
        <w:rPr>
          <w:rFonts w:ascii="Arial Hebrew" w:hAnsi="Arial Hebrew" w:cs="Arial Hebrew" w:hint="cs"/>
          <w:sz w:val="20"/>
          <w:szCs w:val="20"/>
        </w:rPr>
        <w:t>n</w:t>
      </w:r>
      <w:r w:rsidR="00066E37" w:rsidRPr="00147D0A">
        <w:rPr>
          <w:rFonts w:ascii="Arial Hebrew" w:hAnsi="Arial Hebrew" w:cs="Arial Hebrew" w:hint="cs"/>
          <w:sz w:val="20"/>
          <w:szCs w:val="20"/>
        </w:rPr>
        <w:t xml:space="preserve"> and methodological </w:t>
      </w:r>
      <w:r w:rsidR="009E64C1" w:rsidRPr="00147D0A">
        <w:rPr>
          <w:rFonts w:ascii="Arial Hebrew" w:hAnsi="Arial Hebrew" w:cs="Arial Hebrew" w:hint="cs"/>
          <w:sz w:val="20"/>
          <w:szCs w:val="20"/>
        </w:rPr>
        <w:t>soundness</w:t>
      </w:r>
      <w:r w:rsidRPr="00147D0A">
        <w:rPr>
          <w:rFonts w:ascii="Arial Hebrew" w:hAnsi="Arial Hebrew" w:cs="Arial Hebrew" w:hint="cs"/>
          <w:sz w:val="20"/>
          <w:szCs w:val="20"/>
        </w:rPr>
        <w:t>.</w:t>
      </w:r>
      <w:r w:rsidR="00066E37" w:rsidRPr="00147D0A">
        <w:rPr>
          <w:rStyle w:val="FootnoteReference"/>
          <w:rFonts w:ascii="Arial Hebrew" w:hAnsi="Arial Hebrew" w:cs="Arial Hebrew" w:hint="cs"/>
          <w:sz w:val="20"/>
          <w:szCs w:val="20"/>
        </w:rPr>
        <w:footnoteReference w:id="19"/>
      </w:r>
      <w:r w:rsidRPr="00147D0A">
        <w:rPr>
          <w:rFonts w:ascii="Arial Hebrew" w:hAnsi="Arial Hebrew" w:cs="Arial Hebrew" w:hint="cs"/>
          <w:sz w:val="20"/>
          <w:szCs w:val="20"/>
        </w:rPr>
        <w:t xml:space="preserve"> </w:t>
      </w:r>
      <w:r w:rsidR="00B73524" w:rsidRPr="00147D0A">
        <w:rPr>
          <w:rFonts w:ascii="Arial Hebrew" w:hAnsi="Arial Hebrew" w:cs="Arial Hebrew" w:hint="cs"/>
          <w:sz w:val="20"/>
          <w:szCs w:val="20"/>
        </w:rPr>
        <w:t xml:space="preserve">While credit ratings assessments are based on WGI point-estimates, some indicators (particularly for data-poor countries) are published with extremely wide confidence intervals, indicating a high degree of uncertainty and inconsistency in the source data. </w:t>
      </w:r>
      <w:r w:rsidR="002202D4" w:rsidRPr="00147D0A">
        <w:rPr>
          <w:rFonts w:ascii="Arial Hebrew" w:hAnsi="Arial Hebrew" w:cs="Arial Hebrew" w:hint="cs"/>
          <w:sz w:val="20"/>
          <w:szCs w:val="20"/>
        </w:rPr>
        <w:t xml:space="preserve">WGIs are </w:t>
      </w:r>
      <w:r w:rsidR="00BB59F5" w:rsidRPr="00147D0A">
        <w:rPr>
          <w:rFonts w:ascii="Arial Hebrew" w:hAnsi="Arial Hebrew" w:cs="Arial Hebrew" w:hint="cs"/>
          <w:sz w:val="20"/>
          <w:szCs w:val="20"/>
        </w:rPr>
        <w:t>unsuitable for time-sensitive assessments</w:t>
      </w:r>
      <w:r w:rsidR="00B73524" w:rsidRPr="00147D0A">
        <w:rPr>
          <w:rFonts w:ascii="Arial Hebrew" w:hAnsi="Arial Hebrew" w:cs="Arial Hebrew" w:hint="cs"/>
          <w:sz w:val="20"/>
          <w:szCs w:val="20"/>
        </w:rPr>
        <w:t>; they are</w:t>
      </w:r>
      <w:r w:rsidR="00BB59F5" w:rsidRPr="00147D0A">
        <w:rPr>
          <w:rFonts w:ascii="Arial Hebrew" w:hAnsi="Arial Hebrew" w:cs="Arial Hebrew" w:hint="cs"/>
          <w:sz w:val="20"/>
          <w:szCs w:val="20"/>
        </w:rPr>
        <w:t xml:space="preserve"> </w:t>
      </w:r>
      <w:r w:rsidR="002202D4" w:rsidRPr="00147D0A">
        <w:rPr>
          <w:rFonts w:ascii="Arial Hebrew" w:hAnsi="Arial Hebrew" w:cs="Arial Hebrew" w:hint="cs"/>
          <w:sz w:val="20"/>
          <w:szCs w:val="20"/>
        </w:rPr>
        <w:t xml:space="preserve">published (annually) with a </w:t>
      </w:r>
      <w:r w:rsidR="00A20BB1" w:rsidRPr="00147D0A">
        <w:rPr>
          <w:rFonts w:ascii="Arial Hebrew" w:hAnsi="Arial Hebrew" w:cs="Arial Hebrew" w:hint="cs"/>
          <w:sz w:val="20"/>
          <w:szCs w:val="20"/>
        </w:rPr>
        <w:t xml:space="preserve">time </w:t>
      </w:r>
      <w:r w:rsidR="00BB59F5" w:rsidRPr="00147D0A">
        <w:rPr>
          <w:rFonts w:ascii="Arial Hebrew" w:hAnsi="Arial Hebrew" w:cs="Arial Hebrew" w:hint="cs"/>
          <w:sz w:val="20"/>
          <w:szCs w:val="20"/>
        </w:rPr>
        <w:t>lag</w:t>
      </w:r>
      <w:r w:rsidR="00A20BB1" w:rsidRPr="00147D0A">
        <w:rPr>
          <w:rFonts w:ascii="Arial Hebrew" w:hAnsi="Arial Hebrew" w:cs="Arial Hebrew" w:hint="cs"/>
          <w:sz w:val="20"/>
          <w:szCs w:val="20"/>
        </w:rPr>
        <w:t xml:space="preserve"> of around one year</w:t>
      </w:r>
      <w:r w:rsidR="00BB59F5" w:rsidRPr="00147D0A">
        <w:rPr>
          <w:rFonts w:ascii="Arial Hebrew" w:hAnsi="Arial Hebrew" w:cs="Arial Hebrew" w:hint="cs"/>
          <w:sz w:val="20"/>
          <w:szCs w:val="20"/>
        </w:rPr>
        <w:t xml:space="preserve">, </w:t>
      </w:r>
      <w:r w:rsidR="00B73524" w:rsidRPr="00147D0A">
        <w:rPr>
          <w:rFonts w:ascii="Arial Hebrew" w:hAnsi="Arial Hebrew" w:cs="Arial Hebrew" w:hint="cs"/>
          <w:sz w:val="20"/>
          <w:szCs w:val="20"/>
        </w:rPr>
        <w:t xml:space="preserve">drawing </w:t>
      </w:r>
      <w:r w:rsidR="002202D4" w:rsidRPr="00147D0A">
        <w:rPr>
          <w:rFonts w:ascii="Arial Hebrew" w:hAnsi="Arial Hebrew" w:cs="Arial Hebrew" w:hint="cs"/>
          <w:sz w:val="20"/>
          <w:szCs w:val="20"/>
        </w:rPr>
        <w:t>on source</w:t>
      </w:r>
      <w:r w:rsidR="00B73524" w:rsidRPr="00147D0A">
        <w:rPr>
          <w:rFonts w:ascii="Arial Hebrew" w:hAnsi="Arial Hebrew" w:cs="Arial Hebrew" w:hint="cs"/>
          <w:sz w:val="20"/>
          <w:szCs w:val="20"/>
        </w:rPr>
        <w:t xml:space="preserve">s </w:t>
      </w:r>
      <w:r w:rsidR="002202D4" w:rsidRPr="00147D0A">
        <w:rPr>
          <w:rFonts w:ascii="Arial Hebrew" w:hAnsi="Arial Hebrew" w:cs="Arial Hebrew" w:hint="cs"/>
          <w:sz w:val="20"/>
          <w:szCs w:val="20"/>
        </w:rPr>
        <w:t xml:space="preserve">that may </w:t>
      </w:r>
      <w:r w:rsidR="00BB59F5" w:rsidRPr="00147D0A">
        <w:rPr>
          <w:rFonts w:ascii="Arial Hebrew" w:hAnsi="Arial Hebrew" w:cs="Arial Hebrew" w:hint="cs"/>
          <w:sz w:val="20"/>
          <w:szCs w:val="20"/>
        </w:rPr>
        <w:t>also be published with a delay</w:t>
      </w:r>
      <w:r w:rsidR="00B73524" w:rsidRPr="00147D0A">
        <w:rPr>
          <w:rFonts w:ascii="Arial Hebrew" w:hAnsi="Arial Hebrew" w:cs="Arial Hebrew" w:hint="cs"/>
          <w:sz w:val="20"/>
          <w:szCs w:val="20"/>
        </w:rPr>
        <w:t xml:space="preserve">, and incorporating </w:t>
      </w:r>
      <w:r w:rsidR="00BB59F5" w:rsidRPr="00147D0A">
        <w:rPr>
          <w:rFonts w:ascii="Arial Hebrew" w:hAnsi="Arial Hebrew" w:cs="Arial Hebrew" w:hint="cs"/>
          <w:sz w:val="20"/>
          <w:szCs w:val="20"/>
        </w:rPr>
        <w:t>survey data</w:t>
      </w:r>
      <w:r w:rsidR="007917D5" w:rsidRPr="00147D0A">
        <w:rPr>
          <w:rFonts w:ascii="Arial Hebrew" w:hAnsi="Arial Hebrew" w:cs="Arial Hebrew" w:hint="cs"/>
          <w:sz w:val="20"/>
          <w:szCs w:val="20"/>
        </w:rPr>
        <w:t xml:space="preserve"> that are</w:t>
      </w:r>
      <w:r w:rsidR="00BB59F5" w:rsidRPr="00147D0A">
        <w:rPr>
          <w:rFonts w:ascii="Arial Hebrew" w:hAnsi="Arial Hebrew" w:cs="Arial Hebrew" w:hint="cs"/>
          <w:sz w:val="20"/>
          <w:szCs w:val="20"/>
        </w:rPr>
        <w:t xml:space="preserve"> based on subjective</w:t>
      </w:r>
      <w:r w:rsidR="007917D5" w:rsidRPr="00147D0A">
        <w:rPr>
          <w:rFonts w:ascii="Arial Hebrew" w:hAnsi="Arial Hebrew" w:cs="Arial Hebrew" w:hint="cs"/>
          <w:sz w:val="20"/>
          <w:szCs w:val="20"/>
        </w:rPr>
        <w:t>, retrospective</w:t>
      </w:r>
      <w:r w:rsidR="00BB59F5" w:rsidRPr="00147D0A">
        <w:rPr>
          <w:rFonts w:ascii="Arial Hebrew" w:hAnsi="Arial Hebrew" w:cs="Arial Hebrew" w:hint="cs"/>
          <w:sz w:val="20"/>
          <w:szCs w:val="20"/>
        </w:rPr>
        <w:t xml:space="preserve"> perceptions</w:t>
      </w:r>
      <w:r w:rsidR="007917D5" w:rsidRPr="00147D0A">
        <w:rPr>
          <w:rFonts w:ascii="Arial Hebrew" w:hAnsi="Arial Hebrew" w:cs="Arial Hebrew" w:hint="cs"/>
          <w:sz w:val="20"/>
          <w:szCs w:val="20"/>
        </w:rPr>
        <w:t>,</w:t>
      </w:r>
      <w:r w:rsidR="00B73524" w:rsidRPr="00147D0A">
        <w:rPr>
          <w:rFonts w:ascii="Arial Hebrew" w:hAnsi="Arial Hebrew" w:cs="Arial Hebrew" w:hint="cs"/>
          <w:sz w:val="20"/>
          <w:szCs w:val="20"/>
        </w:rPr>
        <w:t xml:space="preserve"> </w:t>
      </w:r>
      <w:r w:rsidR="007917D5" w:rsidRPr="00147D0A">
        <w:rPr>
          <w:rFonts w:ascii="Arial Hebrew" w:hAnsi="Arial Hebrew" w:cs="Arial Hebrew" w:hint="cs"/>
          <w:sz w:val="20"/>
          <w:szCs w:val="20"/>
        </w:rPr>
        <w:t>which can</w:t>
      </w:r>
      <w:r w:rsidR="00BB59F5" w:rsidRPr="00147D0A">
        <w:rPr>
          <w:rFonts w:ascii="Arial Hebrew" w:hAnsi="Arial Hebrew" w:cs="Arial Hebrew" w:hint="cs"/>
          <w:sz w:val="20"/>
          <w:szCs w:val="20"/>
        </w:rPr>
        <w:t xml:space="preserve"> take</w:t>
      </w:r>
      <w:r w:rsidR="007917D5" w:rsidRPr="00147D0A">
        <w:rPr>
          <w:rFonts w:ascii="Arial Hebrew" w:hAnsi="Arial Hebrew" w:cs="Arial Hebrew" w:hint="cs"/>
          <w:sz w:val="20"/>
          <w:szCs w:val="20"/>
        </w:rPr>
        <w:t xml:space="preserve"> considerable</w:t>
      </w:r>
      <w:r w:rsidR="00BB59F5" w:rsidRPr="00147D0A">
        <w:rPr>
          <w:rFonts w:ascii="Arial Hebrew" w:hAnsi="Arial Hebrew" w:cs="Arial Hebrew" w:hint="cs"/>
          <w:sz w:val="20"/>
          <w:szCs w:val="20"/>
        </w:rPr>
        <w:t xml:space="preserve"> time to reflect changing conditions</w:t>
      </w:r>
      <w:r w:rsidR="002202D4" w:rsidRPr="00147D0A">
        <w:rPr>
          <w:rFonts w:ascii="Arial Hebrew" w:hAnsi="Arial Hebrew" w:cs="Arial Hebrew" w:hint="cs"/>
          <w:sz w:val="20"/>
          <w:szCs w:val="20"/>
        </w:rPr>
        <w:t xml:space="preserve">. </w:t>
      </w:r>
    </w:p>
    <w:p w14:paraId="034A952D" w14:textId="36502089" w:rsidR="003823C6" w:rsidRPr="00147D0A" w:rsidRDefault="00F21426"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A</w:t>
      </w:r>
      <w:r w:rsidR="00D008E6" w:rsidRPr="00147D0A">
        <w:rPr>
          <w:rFonts w:ascii="Arial Hebrew" w:hAnsi="Arial Hebrew" w:cs="Arial Hebrew" w:hint="cs"/>
          <w:sz w:val="20"/>
          <w:szCs w:val="20"/>
        </w:rPr>
        <w:t xml:space="preserve"> recent</w:t>
      </w:r>
      <w:r w:rsidRPr="00147D0A">
        <w:rPr>
          <w:rFonts w:ascii="Arial Hebrew" w:hAnsi="Arial Hebrew" w:cs="Arial Hebrew" w:hint="cs"/>
          <w:sz w:val="20"/>
          <w:szCs w:val="20"/>
        </w:rPr>
        <w:t xml:space="preserve"> external review </w:t>
      </w:r>
      <w:r w:rsidR="003823C6" w:rsidRPr="00147D0A">
        <w:rPr>
          <w:rFonts w:ascii="Arial Hebrew" w:hAnsi="Arial Hebrew" w:cs="Arial Hebrew" w:hint="cs"/>
          <w:sz w:val="20"/>
          <w:szCs w:val="20"/>
        </w:rPr>
        <w:t>of the WGIs</w:t>
      </w:r>
      <w:r w:rsidR="00D008E6" w:rsidRPr="00147D0A">
        <w:rPr>
          <w:rFonts w:ascii="Arial Hebrew" w:hAnsi="Arial Hebrew" w:cs="Arial Hebrew" w:hint="cs"/>
          <w:sz w:val="20"/>
          <w:szCs w:val="20"/>
        </w:rPr>
        <w:t>,</w:t>
      </w:r>
      <w:r w:rsidR="003823C6"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commissioned by the World Bank </w:t>
      </w:r>
      <w:r w:rsidR="00B73524" w:rsidRPr="00147D0A">
        <w:rPr>
          <w:rFonts w:ascii="Arial Hebrew" w:hAnsi="Arial Hebrew" w:cs="Arial Hebrew" w:hint="cs"/>
          <w:sz w:val="20"/>
          <w:szCs w:val="20"/>
        </w:rPr>
        <w:t xml:space="preserve">and </w:t>
      </w:r>
      <w:r w:rsidRPr="00147D0A">
        <w:rPr>
          <w:rFonts w:ascii="Arial Hebrew" w:hAnsi="Arial Hebrew" w:cs="Arial Hebrew" w:hint="cs"/>
          <w:sz w:val="20"/>
          <w:szCs w:val="20"/>
        </w:rPr>
        <w:t>published in September 2024</w:t>
      </w:r>
      <w:r w:rsidR="00D008E6" w:rsidRPr="00147D0A">
        <w:rPr>
          <w:rFonts w:ascii="Arial Hebrew" w:hAnsi="Arial Hebrew" w:cs="Arial Hebrew" w:hint="cs"/>
          <w:sz w:val="20"/>
          <w:szCs w:val="20"/>
        </w:rPr>
        <w:t>,</w:t>
      </w:r>
      <w:r w:rsidRPr="00147D0A">
        <w:rPr>
          <w:rFonts w:ascii="Arial Hebrew" w:hAnsi="Arial Hebrew" w:cs="Arial Hebrew" w:hint="cs"/>
          <w:sz w:val="20"/>
          <w:szCs w:val="20"/>
        </w:rPr>
        <w:t xml:space="preserve"> noted</w:t>
      </w:r>
      <w:r w:rsidR="00B73524" w:rsidRPr="00147D0A">
        <w:rPr>
          <w:rFonts w:ascii="Arial Hebrew" w:hAnsi="Arial Hebrew" w:cs="Arial Hebrew" w:hint="cs"/>
          <w:sz w:val="20"/>
          <w:szCs w:val="20"/>
        </w:rPr>
        <w:t xml:space="preserve"> that</w:t>
      </w:r>
      <w:r w:rsidRPr="00147D0A">
        <w:rPr>
          <w:rFonts w:ascii="Arial Hebrew" w:hAnsi="Arial Hebrew" w:cs="Arial Hebrew" w:hint="cs"/>
          <w:sz w:val="20"/>
          <w:szCs w:val="20"/>
        </w:rPr>
        <w:t xml:space="preserve">: </w:t>
      </w:r>
    </w:p>
    <w:p w14:paraId="089A17C2" w14:textId="77777777" w:rsidR="003823C6" w:rsidRPr="00147D0A" w:rsidRDefault="003823C6" w:rsidP="00D008E6">
      <w:pPr>
        <w:spacing w:line="360" w:lineRule="auto"/>
        <w:ind w:left="720"/>
        <w:jc w:val="both"/>
        <w:rPr>
          <w:rFonts w:ascii="Arial Hebrew" w:hAnsi="Arial Hebrew" w:cs="Arial Hebrew"/>
          <w:i/>
          <w:iCs/>
          <w:sz w:val="18"/>
          <w:szCs w:val="18"/>
        </w:rPr>
      </w:pPr>
    </w:p>
    <w:p w14:paraId="5B43CD6E" w14:textId="25E2CB33" w:rsidR="00F21426" w:rsidRPr="00147D0A" w:rsidRDefault="00F21426" w:rsidP="00D008E6">
      <w:pPr>
        <w:spacing w:line="360" w:lineRule="auto"/>
        <w:ind w:left="720"/>
        <w:jc w:val="both"/>
        <w:rPr>
          <w:rFonts w:ascii="Arial Hebrew" w:hAnsi="Arial Hebrew" w:cs="Arial Hebrew"/>
          <w:i/>
          <w:iCs/>
          <w:sz w:val="18"/>
          <w:szCs w:val="18"/>
        </w:rPr>
      </w:pPr>
      <w:r w:rsidRPr="00147D0A">
        <w:rPr>
          <w:rFonts w:ascii="Arial Hebrew" w:hAnsi="Arial Hebrew" w:cs="Arial Hebrew" w:hint="cs"/>
          <w:i/>
          <w:iCs/>
          <w:sz w:val="18"/>
          <w:szCs w:val="18"/>
        </w:rPr>
        <w:t>It is the combination of methodological limitations and the wide-spread use of the WGI for real-world decision-making that has been the source of misgivings for [Lower Middle Income Country] governments. They are understandably concerned that the WGI is based on perceptions, which may reflect biases of high-income country respondents, and could result in higher costs of capital for them (compared to a greater focus on objective measures such as default history and risk). This concern is non-trivial given the high concentration in the ratings industry and the associated risk of ‘herding’ of perceptions-based ratings.</w:t>
      </w:r>
    </w:p>
    <w:p w14:paraId="7E956394" w14:textId="77777777" w:rsidR="00F21426" w:rsidRPr="00147D0A" w:rsidRDefault="00F21426" w:rsidP="00D008E6">
      <w:pPr>
        <w:spacing w:line="360" w:lineRule="auto"/>
        <w:jc w:val="both"/>
        <w:rPr>
          <w:rFonts w:ascii="Arial Hebrew" w:hAnsi="Arial Hebrew" w:cs="Arial Hebrew"/>
          <w:sz w:val="20"/>
          <w:szCs w:val="20"/>
        </w:rPr>
      </w:pPr>
    </w:p>
    <w:p w14:paraId="574B7C91" w14:textId="02F52DFB" w:rsidR="003823C6" w:rsidRPr="00147D0A" w:rsidRDefault="00303DD5" w:rsidP="00D008E6">
      <w:p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The review </w:t>
      </w:r>
      <w:r w:rsidR="004C7FE3" w:rsidRPr="00147D0A">
        <w:rPr>
          <w:rFonts w:ascii="Arial Hebrew" w:hAnsi="Arial Hebrew" w:cs="Arial Hebrew" w:hint="cs"/>
          <w:sz w:val="20"/>
          <w:szCs w:val="20"/>
        </w:rPr>
        <w:t>resulted in the</w:t>
      </w:r>
      <w:r w:rsidR="002F421F" w:rsidRPr="00147D0A">
        <w:rPr>
          <w:rFonts w:ascii="Arial Hebrew" w:hAnsi="Arial Hebrew" w:cs="Arial Hebrew" w:hint="cs"/>
          <w:sz w:val="20"/>
          <w:szCs w:val="20"/>
        </w:rPr>
        <w:t xml:space="preserve"> </w:t>
      </w:r>
      <w:r w:rsidR="004C7FE3" w:rsidRPr="00147D0A">
        <w:rPr>
          <w:rFonts w:ascii="Arial Hebrew" w:hAnsi="Arial Hebrew" w:cs="Arial Hebrew" w:hint="cs"/>
          <w:sz w:val="20"/>
          <w:szCs w:val="20"/>
        </w:rPr>
        <w:t xml:space="preserve">addition of a “usage advisory” on the WGI homepage, </w:t>
      </w:r>
      <w:r w:rsidR="00B73524" w:rsidRPr="00147D0A">
        <w:rPr>
          <w:rFonts w:ascii="Arial Hebrew" w:hAnsi="Arial Hebrew" w:cs="Arial Hebrew" w:hint="cs"/>
          <w:sz w:val="20"/>
          <w:szCs w:val="20"/>
        </w:rPr>
        <w:t>warning</w:t>
      </w:r>
      <w:r w:rsidR="004C7FE3" w:rsidRPr="00147D0A">
        <w:rPr>
          <w:rFonts w:ascii="Arial Hebrew" w:hAnsi="Arial Hebrew" w:cs="Arial Hebrew" w:hint="cs"/>
          <w:sz w:val="20"/>
          <w:szCs w:val="20"/>
        </w:rPr>
        <w:t xml:space="preserve"> that </w:t>
      </w:r>
      <w:r w:rsidR="004C7FE3" w:rsidRPr="00147D0A">
        <w:rPr>
          <w:rFonts w:ascii="Arial Hebrew" w:hAnsi="Arial Hebrew" w:cs="Arial Hebrew" w:hint="cs"/>
          <w:b/>
          <w:bCs/>
          <w:i/>
          <w:iCs/>
          <w:sz w:val="20"/>
          <w:szCs w:val="20"/>
        </w:rPr>
        <w:t>“WGI data are not intended to serve as definitive criteria for use in credit assessments, credit ratings, investment risk, or other critical financial decisions”</w:t>
      </w:r>
      <w:r w:rsidR="004C7FE3" w:rsidRPr="00147D0A">
        <w:rPr>
          <w:rFonts w:ascii="Arial Hebrew" w:hAnsi="Arial Hebrew" w:cs="Arial Hebrew" w:hint="cs"/>
          <w:sz w:val="20"/>
          <w:szCs w:val="20"/>
        </w:rPr>
        <w:t>.</w:t>
      </w:r>
      <w:r w:rsidR="002202D4" w:rsidRPr="00147D0A">
        <w:rPr>
          <w:rStyle w:val="FootnoteReference"/>
          <w:rFonts w:ascii="Arial Hebrew" w:hAnsi="Arial Hebrew" w:cs="Arial Hebrew" w:hint="cs"/>
          <w:sz w:val="20"/>
          <w:szCs w:val="20"/>
        </w:rPr>
        <w:footnoteReference w:id="20"/>
      </w:r>
      <w:r w:rsidR="000C4591" w:rsidRPr="00147D0A">
        <w:rPr>
          <w:rFonts w:ascii="Arial Hebrew" w:hAnsi="Arial Hebrew" w:cs="Arial Hebrew" w:hint="cs"/>
          <w:sz w:val="20"/>
          <w:szCs w:val="20"/>
        </w:rPr>
        <w:t xml:space="preserve"> </w:t>
      </w:r>
    </w:p>
    <w:p w14:paraId="24E0C18C" w14:textId="77777777" w:rsidR="00A13556" w:rsidRPr="00147D0A" w:rsidRDefault="00A13556" w:rsidP="00D008E6">
      <w:pPr>
        <w:spacing w:line="360" w:lineRule="auto"/>
        <w:jc w:val="both"/>
        <w:rPr>
          <w:rFonts w:ascii="Arial Hebrew" w:hAnsi="Arial Hebrew" w:cs="Arial Hebrew"/>
          <w:sz w:val="20"/>
          <w:szCs w:val="20"/>
        </w:rPr>
      </w:pPr>
    </w:p>
    <w:p w14:paraId="037CB40A" w14:textId="2E528ADC" w:rsidR="005514D2" w:rsidRPr="00147D0A" w:rsidRDefault="00F672C2"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Despite this advisory, t</w:t>
      </w:r>
      <w:r w:rsidR="002202D4" w:rsidRPr="00147D0A">
        <w:rPr>
          <w:rFonts w:ascii="Arial Hebrew" w:hAnsi="Arial Hebrew" w:cs="Arial Hebrew" w:hint="cs"/>
          <w:sz w:val="20"/>
          <w:szCs w:val="20"/>
        </w:rPr>
        <w:t>he WGI</w:t>
      </w:r>
      <w:r w:rsidRPr="00147D0A">
        <w:rPr>
          <w:rFonts w:ascii="Arial Hebrew" w:hAnsi="Arial Hebrew" w:cs="Arial Hebrew" w:hint="cs"/>
          <w:sz w:val="20"/>
          <w:szCs w:val="20"/>
        </w:rPr>
        <w:t>s</w:t>
      </w:r>
      <w:r w:rsidR="002202D4" w:rsidRPr="00147D0A">
        <w:rPr>
          <w:rFonts w:ascii="Arial Hebrew" w:hAnsi="Arial Hebrew" w:cs="Arial Hebrew" w:hint="cs"/>
          <w:sz w:val="20"/>
          <w:szCs w:val="20"/>
        </w:rPr>
        <w:t xml:space="preserve"> </w:t>
      </w:r>
      <w:r w:rsidR="00A20BB1" w:rsidRPr="00147D0A">
        <w:rPr>
          <w:rFonts w:ascii="Arial Hebrew" w:hAnsi="Arial Hebrew" w:cs="Arial Hebrew" w:hint="cs"/>
          <w:sz w:val="20"/>
          <w:szCs w:val="20"/>
        </w:rPr>
        <w:t xml:space="preserve">maintain their </w:t>
      </w:r>
      <w:r w:rsidR="00A13556" w:rsidRPr="00147D0A">
        <w:rPr>
          <w:rFonts w:ascii="Arial Hebrew" w:hAnsi="Arial Hebrew" w:cs="Arial Hebrew" w:hint="cs"/>
          <w:sz w:val="20"/>
          <w:szCs w:val="20"/>
        </w:rPr>
        <w:t>prominence</w:t>
      </w:r>
      <w:r w:rsidR="00A20BB1" w:rsidRPr="00147D0A">
        <w:rPr>
          <w:rFonts w:ascii="Arial Hebrew" w:hAnsi="Arial Hebrew" w:cs="Arial Hebrew" w:hint="cs"/>
          <w:sz w:val="20"/>
          <w:szCs w:val="20"/>
        </w:rPr>
        <w:t xml:space="preserve"> in </w:t>
      </w:r>
      <w:r w:rsidR="00655A59" w:rsidRPr="00147D0A">
        <w:rPr>
          <w:rFonts w:ascii="Arial Hebrew" w:hAnsi="Arial Hebrew" w:cs="Arial Hebrew" w:hint="cs"/>
          <w:sz w:val="20"/>
          <w:szCs w:val="20"/>
        </w:rPr>
        <w:t xml:space="preserve">sovereign </w:t>
      </w:r>
      <w:r w:rsidR="00A20BB1" w:rsidRPr="00147D0A">
        <w:rPr>
          <w:rFonts w:ascii="Arial Hebrew" w:hAnsi="Arial Hebrew" w:cs="Arial Hebrew" w:hint="cs"/>
          <w:sz w:val="20"/>
          <w:szCs w:val="20"/>
        </w:rPr>
        <w:t xml:space="preserve">credit assessments due to </w:t>
      </w:r>
      <w:r w:rsidR="009E0501" w:rsidRPr="00147D0A">
        <w:rPr>
          <w:rFonts w:ascii="Arial Hebrew" w:hAnsi="Arial Hebrew" w:cs="Arial Hebrew" w:hint="cs"/>
          <w:sz w:val="20"/>
          <w:szCs w:val="20"/>
        </w:rPr>
        <w:t>an</w:t>
      </w:r>
      <w:r w:rsidR="00A20BB1" w:rsidRPr="00147D0A">
        <w:rPr>
          <w:rFonts w:ascii="Arial Hebrew" w:hAnsi="Arial Hebrew" w:cs="Arial Hebrew" w:hint="cs"/>
          <w:sz w:val="20"/>
          <w:szCs w:val="20"/>
        </w:rPr>
        <w:t xml:space="preserve"> absence of </w:t>
      </w:r>
      <w:r w:rsidR="00655A59" w:rsidRPr="00147D0A">
        <w:rPr>
          <w:rFonts w:ascii="Arial Hebrew" w:hAnsi="Arial Hebrew" w:cs="Arial Hebrew" w:hint="cs"/>
          <w:sz w:val="20"/>
          <w:szCs w:val="20"/>
        </w:rPr>
        <w:t xml:space="preserve">credible </w:t>
      </w:r>
      <w:r w:rsidR="00066E37" w:rsidRPr="00147D0A">
        <w:rPr>
          <w:rFonts w:ascii="Arial Hebrew" w:hAnsi="Arial Hebrew" w:cs="Arial Hebrew" w:hint="cs"/>
          <w:sz w:val="20"/>
          <w:szCs w:val="20"/>
        </w:rPr>
        <w:t xml:space="preserve">alternative cross-country </w:t>
      </w:r>
      <w:r w:rsidR="00A20BB1" w:rsidRPr="00147D0A">
        <w:rPr>
          <w:rFonts w:ascii="Arial Hebrew" w:hAnsi="Arial Hebrew" w:cs="Arial Hebrew" w:hint="cs"/>
          <w:sz w:val="20"/>
          <w:szCs w:val="20"/>
        </w:rPr>
        <w:t>metrics on institutional and governance quality.</w:t>
      </w:r>
      <w:r w:rsidR="00DA39C7" w:rsidRPr="00147D0A">
        <w:rPr>
          <w:rFonts w:ascii="Arial Hebrew" w:hAnsi="Arial Hebrew" w:cs="Arial Hebrew" w:hint="cs"/>
          <w:sz w:val="20"/>
          <w:szCs w:val="20"/>
        </w:rPr>
        <w:t xml:space="preserve"> </w:t>
      </w:r>
      <w:r w:rsidR="00CD3C50" w:rsidRPr="00147D0A">
        <w:rPr>
          <w:rFonts w:ascii="Arial Hebrew" w:hAnsi="Arial Hebrew" w:cs="Arial Hebrew" w:hint="cs"/>
          <w:sz w:val="20"/>
          <w:szCs w:val="20"/>
        </w:rPr>
        <w:t>G</w:t>
      </w:r>
      <w:r w:rsidR="003823C6" w:rsidRPr="00147D0A">
        <w:rPr>
          <w:rFonts w:ascii="Arial Hebrew" w:hAnsi="Arial Hebrew" w:cs="Arial Hebrew" w:hint="cs"/>
          <w:sz w:val="20"/>
          <w:szCs w:val="20"/>
        </w:rPr>
        <w:t>iven the influence of sovereign ratings on sub-sovereign ratings</w:t>
      </w:r>
      <w:r w:rsidR="007917D5" w:rsidRPr="00147D0A">
        <w:rPr>
          <w:rFonts w:ascii="Arial Hebrew" w:hAnsi="Arial Hebrew" w:cs="Arial Hebrew" w:hint="cs"/>
          <w:sz w:val="20"/>
          <w:szCs w:val="20"/>
        </w:rPr>
        <w:t>, this makes</w:t>
      </w:r>
      <w:r w:rsidR="00DA39C7"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t</w:t>
      </w:r>
      <w:r w:rsidR="00B73524" w:rsidRPr="00147D0A">
        <w:rPr>
          <w:rFonts w:ascii="Arial Hebrew" w:hAnsi="Arial Hebrew" w:cs="Arial Hebrew" w:hint="cs"/>
          <w:sz w:val="20"/>
          <w:szCs w:val="20"/>
        </w:rPr>
        <w:t xml:space="preserve">he </w:t>
      </w:r>
      <w:r w:rsidR="002D4BEF" w:rsidRPr="00147D0A">
        <w:rPr>
          <w:rFonts w:ascii="Arial Hebrew" w:hAnsi="Arial Hebrew" w:cs="Arial Hebrew" w:hint="cs"/>
          <w:sz w:val="20"/>
          <w:szCs w:val="20"/>
        </w:rPr>
        <w:t>WGIs</w:t>
      </w:r>
      <w:r w:rsidR="00B73524"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also</w:t>
      </w:r>
      <w:r w:rsidR="006970C0" w:rsidRPr="00147D0A">
        <w:rPr>
          <w:rFonts w:ascii="Arial Hebrew" w:hAnsi="Arial Hebrew" w:cs="Arial Hebrew" w:hint="cs"/>
          <w:sz w:val="20"/>
          <w:szCs w:val="20"/>
        </w:rPr>
        <w:t>,</w:t>
      </w:r>
      <w:r w:rsidR="00DA39C7" w:rsidRPr="00147D0A">
        <w:rPr>
          <w:rFonts w:ascii="Arial Hebrew" w:hAnsi="Arial Hebrew" w:cs="Arial Hebrew" w:hint="cs"/>
          <w:sz w:val="20"/>
          <w:szCs w:val="20"/>
        </w:rPr>
        <w:t xml:space="preserve"> </w:t>
      </w:r>
      <w:r w:rsidR="00CD3C50" w:rsidRPr="00147D0A">
        <w:rPr>
          <w:rFonts w:ascii="Arial Hebrew" w:hAnsi="Arial Hebrew" w:cs="Arial Hebrew" w:hint="cs"/>
          <w:sz w:val="20"/>
          <w:szCs w:val="20"/>
        </w:rPr>
        <w:t>by extension</w:t>
      </w:r>
      <w:r w:rsidR="006970C0" w:rsidRPr="00147D0A">
        <w:rPr>
          <w:rFonts w:ascii="Arial Hebrew" w:hAnsi="Arial Hebrew" w:cs="Arial Hebrew" w:hint="cs"/>
          <w:sz w:val="20"/>
          <w:szCs w:val="20"/>
        </w:rPr>
        <w:t>,</w:t>
      </w:r>
      <w:r w:rsidR="00CD3C50"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important elements of</w:t>
      </w:r>
      <w:r w:rsidR="002D4BEF" w:rsidRPr="00147D0A">
        <w:rPr>
          <w:rFonts w:ascii="Arial Hebrew" w:hAnsi="Arial Hebrew" w:cs="Arial Hebrew" w:hint="cs"/>
          <w:sz w:val="20"/>
          <w:szCs w:val="20"/>
        </w:rPr>
        <w:t xml:space="preserve"> </w:t>
      </w:r>
      <w:r w:rsidR="003823C6" w:rsidRPr="00147D0A">
        <w:rPr>
          <w:rFonts w:ascii="Arial Hebrew" w:hAnsi="Arial Hebrew" w:cs="Arial Hebrew" w:hint="cs"/>
          <w:sz w:val="20"/>
          <w:szCs w:val="20"/>
        </w:rPr>
        <w:t>international RLG</w:t>
      </w:r>
      <w:r w:rsidR="00655A59" w:rsidRPr="00147D0A">
        <w:rPr>
          <w:rFonts w:ascii="Arial Hebrew" w:hAnsi="Arial Hebrew" w:cs="Arial Hebrew" w:hint="cs"/>
          <w:sz w:val="20"/>
          <w:szCs w:val="20"/>
        </w:rPr>
        <w:t xml:space="preserve"> credit</w:t>
      </w:r>
      <w:r w:rsidR="002D4BEF" w:rsidRPr="00147D0A">
        <w:rPr>
          <w:rFonts w:ascii="Arial Hebrew" w:hAnsi="Arial Hebrew" w:cs="Arial Hebrew" w:hint="cs"/>
          <w:sz w:val="20"/>
          <w:szCs w:val="20"/>
        </w:rPr>
        <w:t xml:space="preserve"> assessments</w:t>
      </w:r>
      <w:r w:rsidR="00B73524" w:rsidRPr="00147D0A">
        <w:rPr>
          <w:rFonts w:ascii="Arial Hebrew" w:hAnsi="Arial Hebrew" w:cs="Arial Hebrew" w:hint="cs"/>
          <w:sz w:val="20"/>
          <w:szCs w:val="20"/>
        </w:rPr>
        <w:t xml:space="preserve">. </w:t>
      </w:r>
      <w:r w:rsidR="00D76AE8" w:rsidRPr="00147D0A">
        <w:rPr>
          <w:rFonts w:ascii="Arial Hebrew" w:hAnsi="Arial Hebrew" w:cs="Arial Hebrew" w:hint="cs"/>
          <w:sz w:val="20"/>
          <w:szCs w:val="20"/>
        </w:rPr>
        <w:t>Sub-sovereign assessment frameworks all include</w:t>
      </w:r>
      <w:r w:rsidR="001C2F06" w:rsidRPr="00147D0A">
        <w:rPr>
          <w:rFonts w:ascii="Arial Hebrew" w:hAnsi="Arial Hebrew" w:cs="Arial Hebrew" w:hint="cs"/>
          <w:sz w:val="20"/>
          <w:szCs w:val="20"/>
        </w:rPr>
        <w:t xml:space="preserve"> </w:t>
      </w:r>
      <w:r w:rsidR="007917D5" w:rsidRPr="00147D0A">
        <w:rPr>
          <w:rFonts w:ascii="Arial Hebrew" w:hAnsi="Arial Hebrew" w:cs="Arial Hebrew" w:hint="cs"/>
          <w:sz w:val="20"/>
          <w:szCs w:val="20"/>
        </w:rPr>
        <w:t>‘institutional’ properties of individual RLGs as primary components</w:t>
      </w:r>
      <w:r w:rsidR="00D76AE8" w:rsidRPr="00147D0A">
        <w:rPr>
          <w:rFonts w:ascii="Arial Hebrew" w:hAnsi="Arial Hebrew" w:cs="Arial Hebrew" w:hint="cs"/>
          <w:sz w:val="20"/>
          <w:szCs w:val="20"/>
        </w:rPr>
        <w:t>,</w:t>
      </w:r>
      <w:r w:rsidR="007917D5" w:rsidRPr="00147D0A">
        <w:rPr>
          <w:rFonts w:ascii="Arial Hebrew" w:hAnsi="Arial Hebrew" w:cs="Arial Hebrew" w:hint="cs"/>
          <w:sz w:val="20"/>
          <w:szCs w:val="20"/>
        </w:rPr>
        <w:t xml:space="preserve"> though n</w:t>
      </w:r>
      <w:r w:rsidR="002D4BEF" w:rsidRPr="00147D0A">
        <w:rPr>
          <w:rFonts w:ascii="Arial Hebrew" w:hAnsi="Arial Hebrew" w:cs="Arial Hebrew" w:hint="cs"/>
          <w:sz w:val="20"/>
          <w:szCs w:val="20"/>
        </w:rPr>
        <w:t>o data source</w:t>
      </w:r>
      <w:r w:rsidR="009E0501" w:rsidRPr="00147D0A">
        <w:rPr>
          <w:rFonts w:ascii="Arial Hebrew" w:hAnsi="Arial Hebrew" w:cs="Arial Hebrew" w:hint="cs"/>
          <w:sz w:val="20"/>
          <w:szCs w:val="20"/>
        </w:rPr>
        <w:t>s</w:t>
      </w:r>
      <w:r w:rsidR="007917D5" w:rsidRPr="00147D0A">
        <w:rPr>
          <w:rFonts w:ascii="Arial Hebrew" w:hAnsi="Arial Hebrew" w:cs="Arial Hebrew" w:hint="cs"/>
          <w:sz w:val="20"/>
          <w:szCs w:val="20"/>
        </w:rPr>
        <w:t xml:space="preserve"> </w:t>
      </w:r>
      <w:r w:rsidR="0036618E" w:rsidRPr="00147D0A">
        <w:rPr>
          <w:rFonts w:ascii="Arial Hebrew" w:hAnsi="Arial Hebrew" w:cs="Arial Hebrew" w:hint="cs"/>
          <w:sz w:val="20"/>
          <w:szCs w:val="20"/>
        </w:rPr>
        <w:t>comparable</w:t>
      </w:r>
      <w:r w:rsidR="007917D5" w:rsidRPr="00147D0A">
        <w:rPr>
          <w:rFonts w:ascii="Arial Hebrew" w:hAnsi="Arial Hebrew" w:cs="Arial Hebrew" w:hint="cs"/>
          <w:sz w:val="20"/>
          <w:szCs w:val="20"/>
        </w:rPr>
        <w:t xml:space="preserve"> to the WGIs</w:t>
      </w:r>
      <w:r w:rsidR="002D4BEF" w:rsidRPr="00147D0A">
        <w:rPr>
          <w:rFonts w:ascii="Arial Hebrew" w:hAnsi="Arial Hebrew" w:cs="Arial Hebrew" w:hint="cs"/>
          <w:sz w:val="20"/>
          <w:szCs w:val="20"/>
        </w:rPr>
        <w:t xml:space="preserve"> exist for </w:t>
      </w:r>
      <w:r w:rsidR="0036618E" w:rsidRPr="00147D0A">
        <w:rPr>
          <w:rFonts w:ascii="Arial Hebrew" w:hAnsi="Arial Hebrew" w:cs="Arial Hebrew" w:hint="cs"/>
          <w:sz w:val="20"/>
          <w:szCs w:val="20"/>
        </w:rPr>
        <w:t xml:space="preserve">subnational </w:t>
      </w:r>
      <w:r w:rsidR="002D4BEF" w:rsidRPr="00147D0A">
        <w:rPr>
          <w:rFonts w:ascii="Arial Hebrew" w:hAnsi="Arial Hebrew" w:cs="Arial Hebrew" w:hint="cs"/>
          <w:sz w:val="20"/>
          <w:szCs w:val="20"/>
        </w:rPr>
        <w:t>variation in governance</w:t>
      </w:r>
      <w:r w:rsidR="0036618E" w:rsidRPr="00147D0A">
        <w:rPr>
          <w:rFonts w:ascii="Arial Hebrew" w:hAnsi="Arial Hebrew" w:cs="Arial Hebrew" w:hint="cs"/>
          <w:sz w:val="20"/>
          <w:szCs w:val="20"/>
        </w:rPr>
        <w:t>.</w:t>
      </w:r>
      <w:r w:rsidR="007402F6" w:rsidRPr="00147D0A">
        <w:rPr>
          <w:rFonts w:ascii="Arial Hebrew" w:hAnsi="Arial Hebrew" w:cs="Arial Hebrew" w:hint="cs"/>
          <w:sz w:val="20"/>
          <w:szCs w:val="20"/>
        </w:rPr>
        <w:t xml:space="preserve"> </w:t>
      </w:r>
      <w:r w:rsidR="007917D5" w:rsidRPr="00147D0A">
        <w:rPr>
          <w:rFonts w:ascii="Arial Hebrew" w:hAnsi="Arial Hebrew" w:cs="Arial Hebrew" w:hint="cs"/>
          <w:sz w:val="20"/>
          <w:szCs w:val="20"/>
        </w:rPr>
        <w:t>Sub-sovereign assessments’</w:t>
      </w:r>
      <w:r w:rsidR="00655A59" w:rsidRPr="00147D0A">
        <w:rPr>
          <w:rFonts w:ascii="Arial Hebrew" w:hAnsi="Arial Hebrew" w:cs="Arial Hebrew" w:hint="cs"/>
          <w:sz w:val="20"/>
          <w:szCs w:val="20"/>
        </w:rPr>
        <w:t xml:space="preserve"> </w:t>
      </w:r>
      <w:r w:rsidR="003543BC" w:rsidRPr="00147D0A">
        <w:rPr>
          <w:rFonts w:ascii="Arial Hebrew" w:hAnsi="Arial Hebrew" w:cs="Arial Hebrew" w:hint="cs"/>
          <w:sz w:val="20"/>
          <w:szCs w:val="20"/>
        </w:rPr>
        <w:t xml:space="preserve">institutional components </w:t>
      </w:r>
      <w:r w:rsidR="007917D5" w:rsidRPr="00147D0A">
        <w:rPr>
          <w:rFonts w:ascii="Arial Hebrew" w:hAnsi="Arial Hebrew" w:cs="Arial Hebrew" w:hint="cs"/>
          <w:sz w:val="20"/>
          <w:szCs w:val="20"/>
        </w:rPr>
        <w:t xml:space="preserve">generally </w:t>
      </w:r>
      <w:r w:rsidR="003543BC" w:rsidRPr="00147D0A">
        <w:rPr>
          <w:rFonts w:ascii="Arial Hebrew" w:hAnsi="Arial Hebrew" w:cs="Arial Hebrew" w:hint="cs"/>
          <w:sz w:val="20"/>
          <w:szCs w:val="20"/>
        </w:rPr>
        <w:t>focus</w:t>
      </w:r>
    </w:p>
    <w:p w14:paraId="53DB7603" w14:textId="77777777" w:rsidR="005514D2" w:rsidRPr="00147D0A" w:rsidRDefault="007917D5" w:rsidP="005514D2">
      <w:pPr>
        <w:pStyle w:val="ListParagraph"/>
        <w:numPr>
          <w:ilvl w:val="0"/>
          <w:numId w:val="68"/>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broadly </w:t>
      </w:r>
      <w:r w:rsidR="003543BC" w:rsidRPr="00147D0A">
        <w:rPr>
          <w:rFonts w:ascii="Arial Hebrew" w:hAnsi="Arial Hebrew" w:cs="Arial Hebrew" w:hint="cs"/>
          <w:sz w:val="20"/>
          <w:szCs w:val="20"/>
        </w:rPr>
        <w:t>on the</w:t>
      </w:r>
      <w:r w:rsidRPr="00147D0A">
        <w:rPr>
          <w:rFonts w:ascii="Arial Hebrew" w:hAnsi="Arial Hebrew" w:cs="Arial Hebrew" w:hint="cs"/>
          <w:sz w:val="20"/>
          <w:szCs w:val="20"/>
        </w:rPr>
        <w:t xml:space="preserve"> </w:t>
      </w:r>
      <w:r w:rsidR="003543BC" w:rsidRPr="00147D0A">
        <w:rPr>
          <w:rFonts w:ascii="Arial Hebrew" w:hAnsi="Arial Hebrew" w:cs="Arial Hebrew" w:hint="cs"/>
          <w:sz w:val="20"/>
          <w:szCs w:val="20"/>
        </w:rPr>
        <w:t xml:space="preserve">stability of systems </w:t>
      </w:r>
      <w:r w:rsidR="005514D2" w:rsidRPr="00147D0A">
        <w:rPr>
          <w:rFonts w:ascii="Arial Hebrew" w:hAnsi="Arial Hebrew" w:cs="Arial Hebrew" w:hint="cs"/>
          <w:sz w:val="20"/>
          <w:szCs w:val="20"/>
        </w:rPr>
        <w:t>defining</w:t>
      </w:r>
      <w:r w:rsidR="003543BC" w:rsidRPr="00147D0A">
        <w:rPr>
          <w:rFonts w:ascii="Arial Hebrew" w:hAnsi="Arial Hebrew" w:cs="Arial Hebrew" w:hint="cs"/>
          <w:sz w:val="20"/>
          <w:szCs w:val="20"/>
        </w:rPr>
        <w:t xml:space="preserve"> RLG powers and responsibilities, and </w:t>
      </w:r>
    </w:p>
    <w:p w14:paraId="51A64804" w14:textId="77777777" w:rsidR="005514D2" w:rsidRPr="00147D0A" w:rsidRDefault="007917D5" w:rsidP="005514D2">
      <w:pPr>
        <w:pStyle w:val="ListParagraph"/>
        <w:numPr>
          <w:ilvl w:val="0"/>
          <w:numId w:val="68"/>
        </w:numPr>
        <w:spacing w:line="360" w:lineRule="auto"/>
        <w:jc w:val="both"/>
        <w:rPr>
          <w:rFonts w:ascii="Arial Hebrew" w:hAnsi="Arial Hebrew" w:cs="Arial Hebrew"/>
          <w:sz w:val="20"/>
          <w:szCs w:val="20"/>
        </w:rPr>
      </w:pPr>
      <w:r w:rsidRPr="00147D0A">
        <w:rPr>
          <w:rFonts w:ascii="Arial Hebrew" w:hAnsi="Arial Hebrew" w:cs="Arial Hebrew" w:hint="cs"/>
          <w:sz w:val="20"/>
          <w:szCs w:val="20"/>
        </w:rPr>
        <w:t xml:space="preserve">specifically </w:t>
      </w:r>
      <w:r w:rsidR="003543BC" w:rsidRPr="00147D0A">
        <w:rPr>
          <w:rFonts w:ascii="Arial Hebrew" w:hAnsi="Arial Hebrew" w:cs="Arial Hebrew" w:hint="cs"/>
          <w:sz w:val="20"/>
          <w:szCs w:val="20"/>
        </w:rPr>
        <w:t xml:space="preserve">on the </w:t>
      </w:r>
      <w:r w:rsidR="00AD7EC9" w:rsidRPr="00147D0A">
        <w:rPr>
          <w:rFonts w:ascii="Arial Hebrew" w:hAnsi="Arial Hebrew" w:cs="Arial Hebrew" w:hint="cs"/>
          <w:sz w:val="20"/>
          <w:szCs w:val="20"/>
        </w:rPr>
        <w:t xml:space="preserve">presence </w:t>
      </w:r>
      <w:r w:rsidR="003543BC" w:rsidRPr="00147D0A">
        <w:rPr>
          <w:rFonts w:ascii="Arial Hebrew" w:hAnsi="Arial Hebrew" w:cs="Arial Hebrew" w:hint="cs"/>
          <w:sz w:val="20"/>
          <w:szCs w:val="20"/>
        </w:rPr>
        <w:t>(</w:t>
      </w:r>
      <w:r w:rsidR="00AD7EC9" w:rsidRPr="00147D0A">
        <w:rPr>
          <w:rFonts w:ascii="Arial Hebrew" w:hAnsi="Arial Hebrew" w:cs="Arial Hebrew" w:hint="cs"/>
          <w:sz w:val="20"/>
          <w:szCs w:val="20"/>
        </w:rPr>
        <w:t>or absence</w:t>
      </w:r>
      <w:r w:rsidR="003543BC" w:rsidRPr="00147D0A">
        <w:rPr>
          <w:rFonts w:ascii="Arial Hebrew" w:hAnsi="Arial Hebrew" w:cs="Arial Hebrew" w:hint="cs"/>
          <w:sz w:val="20"/>
          <w:szCs w:val="20"/>
        </w:rPr>
        <w:t>)</w:t>
      </w:r>
      <w:r w:rsidR="00AD7EC9" w:rsidRPr="00147D0A">
        <w:rPr>
          <w:rFonts w:ascii="Arial Hebrew" w:hAnsi="Arial Hebrew" w:cs="Arial Hebrew" w:hint="cs"/>
          <w:sz w:val="20"/>
          <w:szCs w:val="20"/>
        </w:rPr>
        <w:t xml:space="preserve"> of </w:t>
      </w:r>
      <w:r w:rsidR="00C26037" w:rsidRPr="00147D0A">
        <w:rPr>
          <w:rFonts w:ascii="Arial Hebrew" w:hAnsi="Arial Hebrew" w:cs="Arial Hebrew" w:hint="cs"/>
          <w:sz w:val="20"/>
          <w:szCs w:val="20"/>
        </w:rPr>
        <w:t xml:space="preserve">particular </w:t>
      </w:r>
      <w:r w:rsidR="003823C6" w:rsidRPr="00147D0A">
        <w:rPr>
          <w:rFonts w:ascii="Arial Hebrew" w:hAnsi="Arial Hebrew" w:cs="Arial Hebrew" w:hint="cs"/>
          <w:sz w:val="20"/>
          <w:szCs w:val="20"/>
        </w:rPr>
        <w:t xml:space="preserve">RLG </w:t>
      </w:r>
      <w:r w:rsidR="00AD7EC9" w:rsidRPr="00147D0A">
        <w:rPr>
          <w:rFonts w:ascii="Arial Hebrew" w:hAnsi="Arial Hebrew" w:cs="Arial Hebrew" w:hint="cs"/>
          <w:sz w:val="20"/>
          <w:szCs w:val="20"/>
        </w:rPr>
        <w:t xml:space="preserve">policies </w:t>
      </w:r>
      <w:r w:rsidR="00C26037" w:rsidRPr="00147D0A">
        <w:rPr>
          <w:rFonts w:ascii="Arial Hebrew" w:hAnsi="Arial Hebrew" w:cs="Arial Hebrew" w:hint="cs"/>
          <w:sz w:val="20"/>
          <w:szCs w:val="20"/>
        </w:rPr>
        <w:t>relat</w:t>
      </w:r>
      <w:r w:rsidR="002F421F" w:rsidRPr="00147D0A">
        <w:rPr>
          <w:rFonts w:ascii="Arial Hebrew" w:hAnsi="Arial Hebrew" w:cs="Arial Hebrew" w:hint="cs"/>
          <w:sz w:val="20"/>
          <w:szCs w:val="20"/>
        </w:rPr>
        <w:t>ing</w:t>
      </w:r>
      <w:r w:rsidR="00C26037" w:rsidRPr="00147D0A">
        <w:rPr>
          <w:rFonts w:ascii="Arial Hebrew" w:hAnsi="Arial Hebrew" w:cs="Arial Hebrew" w:hint="cs"/>
          <w:sz w:val="20"/>
          <w:szCs w:val="20"/>
        </w:rPr>
        <w:t xml:space="preserve"> to</w:t>
      </w:r>
      <w:r w:rsidR="00AD7EC9" w:rsidRPr="00147D0A">
        <w:rPr>
          <w:rFonts w:ascii="Arial Hebrew" w:hAnsi="Arial Hebrew" w:cs="Arial Hebrew" w:hint="cs"/>
          <w:sz w:val="20"/>
          <w:szCs w:val="20"/>
        </w:rPr>
        <w:t xml:space="preserve"> financial planning</w:t>
      </w:r>
      <w:r w:rsidR="003543BC" w:rsidRPr="00147D0A">
        <w:rPr>
          <w:rFonts w:ascii="Arial Hebrew" w:hAnsi="Arial Hebrew" w:cs="Arial Hebrew" w:hint="cs"/>
          <w:sz w:val="20"/>
          <w:szCs w:val="20"/>
        </w:rPr>
        <w:t>;</w:t>
      </w:r>
      <w:r w:rsidR="00AD7EC9" w:rsidRPr="00147D0A">
        <w:rPr>
          <w:rFonts w:ascii="Arial Hebrew" w:hAnsi="Arial Hebrew" w:cs="Arial Hebrew" w:hint="cs"/>
          <w:sz w:val="20"/>
          <w:szCs w:val="20"/>
        </w:rPr>
        <w:t xml:space="preserve"> debt management, budget</w:t>
      </w:r>
      <w:r w:rsidR="00921FC7" w:rsidRPr="00147D0A">
        <w:rPr>
          <w:rFonts w:ascii="Arial Hebrew" w:hAnsi="Arial Hebrew" w:cs="Arial Hebrew" w:hint="cs"/>
          <w:sz w:val="20"/>
          <w:szCs w:val="20"/>
        </w:rPr>
        <w:t xml:space="preserve">ary </w:t>
      </w:r>
      <w:r w:rsidR="00A13556" w:rsidRPr="00147D0A">
        <w:rPr>
          <w:rFonts w:ascii="Arial Hebrew" w:hAnsi="Arial Hebrew" w:cs="Arial Hebrew" w:hint="cs"/>
          <w:sz w:val="20"/>
          <w:szCs w:val="20"/>
        </w:rPr>
        <w:t xml:space="preserve">and accounting </w:t>
      </w:r>
      <w:r w:rsidR="00921FC7" w:rsidRPr="00147D0A">
        <w:rPr>
          <w:rFonts w:ascii="Arial Hebrew" w:hAnsi="Arial Hebrew" w:cs="Arial Hebrew" w:hint="cs"/>
          <w:sz w:val="20"/>
          <w:szCs w:val="20"/>
        </w:rPr>
        <w:t>practices</w:t>
      </w:r>
      <w:r w:rsidR="00AD7EC9" w:rsidRPr="00147D0A">
        <w:rPr>
          <w:rFonts w:ascii="Arial Hebrew" w:hAnsi="Arial Hebrew" w:cs="Arial Hebrew" w:hint="cs"/>
          <w:sz w:val="20"/>
          <w:szCs w:val="20"/>
        </w:rPr>
        <w:t>,</w:t>
      </w:r>
      <w:r w:rsidR="00C26037" w:rsidRPr="00147D0A">
        <w:rPr>
          <w:rFonts w:ascii="Arial Hebrew" w:hAnsi="Arial Hebrew" w:cs="Arial Hebrew" w:hint="cs"/>
          <w:sz w:val="20"/>
          <w:szCs w:val="20"/>
        </w:rPr>
        <w:t xml:space="preserve"> </w:t>
      </w:r>
      <w:r w:rsidR="00AD7EC9" w:rsidRPr="00147D0A">
        <w:rPr>
          <w:rFonts w:ascii="Arial Hebrew" w:hAnsi="Arial Hebrew" w:cs="Arial Hebrew" w:hint="cs"/>
          <w:sz w:val="20"/>
          <w:szCs w:val="20"/>
        </w:rPr>
        <w:t>transparency of operations</w:t>
      </w:r>
      <w:r w:rsidR="007402F6" w:rsidRPr="00147D0A">
        <w:rPr>
          <w:rFonts w:ascii="Arial Hebrew" w:hAnsi="Arial Hebrew" w:cs="Arial Hebrew" w:hint="cs"/>
          <w:sz w:val="20"/>
          <w:szCs w:val="20"/>
        </w:rPr>
        <w:t>,</w:t>
      </w:r>
      <w:r w:rsidR="00A13556" w:rsidRPr="00147D0A">
        <w:rPr>
          <w:rFonts w:ascii="Arial Hebrew" w:hAnsi="Arial Hebrew" w:cs="Arial Hebrew" w:hint="cs"/>
          <w:sz w:val="20"/>
          <w:szCs w:val="20"/>
        </w:rPr>
        <w:t xml:space="preserve"> and reporting standards</w:t>
      </w:r>
      <w:r w:rsidR="00655A59" w:rsidRPr="00147D0A">
        <w:rPr>
          <w:rFonts w:ascii="Arial Hebrew" w:hAnsi="Arial Hebrew" w:cs="Arial Hebrew" w:hint="cs"/>
          <w:sz w:val="20"/>
          <w:szCs w:val="20"/>
        </w:rPr>
        <w:t xml:space="preserve">. </w:t>
      </w:r>
    </w:p>
    <w:p w14:paraId="164B1C4C" w14:textId="02B08223" w:rsidR="00FC7877" w:rsidRPr="00147D0A" w:rsidRDefault="00655A59" w:rsidP="005514D2">
      <w:pPr>
        <w:spacing w:line="360" w:lineRule="auto"/>
        <w:jc w:val="both"/>
        <w:rPr>
          <w:rFonts w:ascii="Arial Hebrew" w:hAnsi="Arial Hebrew" w:cs="Arial Hebrew"/>
          <w:sz w:val="20"/>
          <w:szCs w:val="20"/>
        </w:rPr>
      </w:pPr>
      <w:r w:rsidRPr="00147D0A">
        <w:rPr>
          <w:rFonts w:ascii="Arial Hebrew" w:hAnsi="Arial Hebrew" w:cs="Arial Hebrew" w:hint="cs"/>
          <w:sz w:val="20"/>
          <w:szCs w:val="20"/>
        </w:rPr>
        <w:t>Information used by agencies to score these factors includes</w:t>
      </w:r>
      <w:r w:rsidR="00C26037" w:rsidRPr="00147D0A">
        <w:rPr>
          <w:rFonts w:ascii="Arial Hebrew" w:hAnsi="Arial Hebrew" w:cs="Arial Hebrew" w:hint="cs"/>
          <w:sz w:val="20"/>
          <w:szCs w:val="20"/>
        </w:rPr>
        <w:t xml:space="preserve"> </w:t>
      </w:r>
      <w:r w:rsidR="00CD3C50" w:rsidRPr="00147D0A">
        <w:rPr>
          <w:rFonts w:ascii="Arial Hebrew" w:hAnsi="Arial Hebrew" w:cs="Arial Hebrew" w:hint="cs"/>
          <w:sz w:val="20"/>
          <w:szCs w:val="20"/>
        </w:rPr>
        <w:t xml:space="preserve">constitutions, </w:t>
      </w:r>
      <w:r w:rsidR="00C26037" w:rsidRPr="00147D0A">
        <w:rPr>
          <w:rFonts w:ascii="Arial Hebrew" w:hAnsi="Arial Hebrew" w:cs="Arial Hebrew" w:hint="cs"/>
          <w:sz w:val="20"/>
          <w:szCs w:val="20"/>
        </w:rPr>
        <w:t>legislation</w:t>
      </w:r>
      <w:r w:rsidR="003543BC" w:rsidRPr="00147D0A">
        <w:rPr>
          <w:rFonts w:ascii="Arial Hebrew" w:hAnsi="Arial Hebrew" w:cs="Arial Hebrew" w:hint="cs"/>
          <w:sz w:val="20"/>
          <w:szCs w:val="20"/>
        </w:rPr>
        <w:t>, judicial precedents</w:t>
      </w:r>
      <w:r w:rsidR="00C26037" w:rsidRPr="00147D0A">
        <w:rPr>
          <w:rFonts w:ascii="Arial Hebrew" w:hAnsi="Arial Hebrew" w:cs="Arial Hebrew" w:hint="cs"/>
          <w:sz w:val="20"/>
          <w:szCs w:val="20"/>
        </w:rPr>
        <w:t>, external audits</w:t>
      </w:r>
      <w:r w:rsidR="00E106E8" w:rsidRPr="00147D0A">
        <w:rPr>
          <w:rFonts w:ascii="Arial Hebrew" w:hAnsi="Arial Hebrew" w:cs="Arial Hebrew" w:hint="cs"/>
          <w:sz w:val="20"/>
          <w:szCs w:val="20"/>
        </w:rPr>
        <w:t xml:space="preserve"> reports, and fiscal history statistics</w:t>
      </w:r>
      <w:r w:rsidR="007402F6" w:rsidRPr="00147D0A">
        <w:rPr>
          <w:rFonts w:ascii="Arial Hebrew" w:hAnsi="Arial Hebrew" w:cs="Arial Hebrew" w:hint="cs"/>
          <w:sz w:val="20"/>
          <w:szCs w:val="20"/>
        </w:rPr>
        <w:t>.</w:t>
      </w:r>
      <w:r w:rsidR="00A13556" w:rsidRPr="00147D0A">
        <w:rPr>
          <w:rFonts w:ascii="Arial Hebrew" w:hAnsi="Arial Hebrew" w:cs="Arial Hebrew" w:hint="cs"/>
          <w:sz w:val="20"/>
          <w:szCs w:val="20"/>
        </w:rPr>
        <w:t xml:space="preserve"> </w:t>
      </w:r>
      <w:r w:rsidR="007402F6" w:rsidRPr="00147D0A">
        <w:rPr>
          <w:rFonts w:ascii="Arial Hebrew" w:hAnsi="Arial Hebrew" w:cs="Arial Hebrew" w:hint="cs"/>
          <w:sz w:val="20"/>
          <w:szCs w:val="20"/>
        </w:rPr>
        <w:t>A</w:t>
      </w:r>
      <w:r w:rsidR="00C26037" w:rsidRPr="00147D0A">
        <w:rPr>
          <w:rFonts w:ascii="Arial Hebrew" w:hAnsi="Arial Hebrew" w:cs="Arial Hebrew" w:hint="cs"/>
          <w:sz w:val="20"/>
          <w:szCs w:val="20"/>
        </w:rPr>
        <w:t>spects of general governance quality</w:t>
      </w:r>
      <w:r w:rsidR="002F421F" w:rsidRPr="00147D0A">
        <w:rPr>
          <w:rFonts w:ascii="Arial Hebrew" w:hAnsi="Arial Hebrew" w:cs="Arial Hebrew" w:hint="cs"/>
          <w:sz w:val="20"/>
          <w:szCs w:val="20"/>
        </w:rPr>
        <w:t xml:space="preserve"> –</w:t>
      </w:r>
      <w:r w:rsidR="00C26037" w:rsidRPr="00147D0A">
        <w:rPr>
          <w:rFonts w:ascii="Arial Hebrew" w:hAnsi="Arial Hebrew" w:cs="Arial Hebrew" w:hint="cs"/>
          <w:sz w:val="20"/>
          <w:szCs w:val="20"/>
        </w:rPr>
        <w:t xml:space="preserve"> such as</w:t>
      </w:r>
      <w:r w:rsidR="005514D2" w:rsidRPr="00147D0A">
        <w:rPr>
          <w:rFonts w:ascii="Arial Hebrew" w:hAnsi="Arial Hebrew" w:cs="Arial Hebrew" w:hint="cs"/>
          <w:sz w:val="20"/>
          <w:szCs w:val="20"/>
        </w:rPr>
        <w:t xml:space="preserve"> </w:t>
      </w:r>
      <w:r w:rsidR="005514D2" w:rsidRPr="00147D0A">
        <w:rPr>
          <w:rFonts w:ascii="Arial Hebrew" w:hAnsi="Arial Hebrew" w:cs="Arial Hebrew" w:hint="cs"/>
          <w:i/>
          <w:iCs/>
          <w:sz w:val="20"/>
          <w:szCs w:val="20"/>
        </w:rPr>
        <w:t>Rule of Law</w:t>
      </w:r>
      <w:r w:rsidR="005514D2" w:rsidRPr="00147D0A">
        <w:rPr>
          <w:rFonts w:ascii="Arial Hebrew" w:hAnsi="Arial Hebrew" w:cs="Arial Hebrew" w:hint="cs"/>
          <w:sz w:val="20"/>
          <w:szCs w:val="20"/>
        </w:rPr>
        <w:t xml:space="preserve"> or </w:t>
      </w:r>
      <w:r w:rsidR="005514D2" w:rsidRPr="00147D0A">
        <w:rPr>
          <w:rFonts w:ascii="Arial Hebrew" w:hAnsi="Arial Hebrew" w:cs="Arial Hebrew" w:hint="cs"/>
          <w:i/>
          <w:iCs/>
          <w:sz w:val="20"/>
          <w:szCs w:val="20"/>
        </w:rPr>
        <w:t>Control of Corruption</w:t>
      </w:r>
      <w:r w:rsidR="005514D2" w:rsidRPr="00147D0A">
        <w:rPr>
          <w:rFonts w:ascii="Arial Hebrew" w:hAnsi="Arial Hebrew" w:cs="Arial Hebrew" w:hint="cs"/>
          <w:sz w:val="20"/>
          <w:szCs w:val="20"/>
        </w:rPr>
        <w:t xml:space="preserve"> </w:t>
      </w:r>
      <w:r w:rsidR="002F421F" w:rsidRPr="00147D0A">
        <w:rPr>
          <w:rFonts w:ascii="Arial Hebrew" w:hAnsi="Arial Hebrew" w:cs="Arial Hebrew" w:hint="cs"/>
          <w:sz w:val="20"/>
          <w:szCs w:val="20"/>
        </w:rPr>
        <w:t>–</w:t>
      </w:r>
      <w:r w:rsidR="00C26037" w:rsidRPr="00147D0A">
        <w:rPr>
          <w:rFonts w:ascii="Arial Hebrew" w:hAnsi="Arial Hebrew" w:cs="Arial Hebrew" w:hint="cs"/>
          <w:sz w:val="20"/>
          <w:szCs w:val="20"/>
        </w:rPr>
        <w:t xml:space="preserve"> </w:t>
      </w:r>
      <w:r w:rsidR="007402F6" w:rsidRPr="00147D0A">
        <w:rPr>
          <w:rFonts w:ascii="Arial Hebrew" w:hAnsi="Arial Hebrew" w:cs="Arial Hebrew" w:hint="cs"/>
          <w:sz w:val="20"/>
          <w:szCs w:val="20"/>
        </w:rPr>
        <w:t xml:space="preserve">are </w:t>
      </w:r>
      <w:r w:rsidR="00C26037" w:rsidRPr="00147D0A">
        <w:rPr>
          <w:rFonts w:ascii="Arial Hebrew" w:hAnsi="Arial Hebrew" w:cs="Arial Hebrew" w:hint="cs"/>
          <w:sz w:val="20"/>
          <w:szCs w:val="20"/>
        </w:rPr>
        <w:t>largely absent from sub-sovereign assessment frameworks</w:t>
      </w:r>
      <w:r w:rsidR="003823C6" w:rsidRPr="00147D0A">
        <w:rPr>
          <w:rFonts w:ascii="Arial Hebrew" w:hAnsi="Arial Hebrew" w:cs="Arial Hebrew" w:hint="cs"/>
          <w:sz w:val="20"/>
          <w:szCs w:val="20"/>
        </w:rPr>
        <w:t>. This is</w:t>
      </w:r>
      <w:r w:rsidR="00C26037" w:rsidRPr="00147D0A">
        <w:rPr>
          <w:rFonts w:ascii="Arial Hebrew" w:hAnsi="Arial Hebrew" w:cs="Arial Hebrew" w:hint="cs"/>
          <w:sz w:val="20"/>
          <w:szCs w:val="20"/>
        </w:rPr>
        <w:t xml:space="preserve"> partly due to the lesser</w:t>
      </w:r>
      <w:r w:rsidR="00DA39C7" w:rsidRPr="00147D0A">
        <w:rPr>
          <w:rFonts w:ascii="Arial Hebrew" w:hAnsi="Arial Hebrew" w:cs="Arial Hebrew" w:hint="cs"/>
          <w:sz w:val="20"/>
          <w:szCs w:val="20"/>
        </w:rPr>
        <w:t xml:space="preserve"> degree of</w:t>
      </w:r>
      <w:r w:rsidR="00C26037" w:rsidRPr="00147D0A">
        <w:rPr>
          <w:rFonts w:ascii="Arial Hebrew" w:hAnsi="Arial Hebrew" w:cs="Arial Hebrew" w:hint="cs"/>
          <w:sz w:val="20"/>
          <w:szCs w:val="20"/>
        </w:rPr>
        <w:t xml:space="preserve"> variation in these qualities within</w:t>
      </w:r>
      <w:r w:rsidR="00512082" w:rsidRPr="00147D0A">
        <w:rPr>
          <w:rFonts w:ascii="Arial Hebrew" w:hAnsi="Arial Hebrew" w:cs="Arial Hebrew" w:hint="cs"/>
          <w:sz w:val="20"/>
          <w:szCs w:val="20"/>
        </w:rPr>
        <w:t xml:space="preserve"> countries</w:t>
      </w:r>
      <w:r w:rsidR="00C26037" w:rsidRPr="00147D0A">
        <w:rPr>
          <w:rFonts w:ascii="Arial Hebrew" w:hAnsi="Arial Hebrew" w:cs="Arial Hebrew" w:hint="cs"/>
          <w:sz w:val="20"/>
          <w:szCs w:val="20"/>
        </w:rPr>
        <w:t xml:space="preserve"> </w:t>
      </w:r>
      <w:r w:rsidRPr="00147D0A">
        <w:rPr>
          <w:rFonts w:ascii="Arial Hebrew" w:hAnsi="Arial Hebrew" w:cs="Arial Hebrew" w:hint="cs"/>
          <w:sz w:val="20"/>
          <w:szCs w:val="20"/>
        </w:rPr>
        <w:t>(as compared to between</w:t>
      </w:r>
      <w:r w:rsidR="00512082" w:rsidRPr="00147D0A">
        <w:rPr>
          <w:rFonts w:ascii="Arial Hebrew" w:hAnsi="Arial Hebrew" w:cs="Arial Hebrew" w:hint="cs"/>
          <w:sz w:val="20"/>
          <w:szCs w:val="20"/>
        </w:rPr>
        <w:t xml:space="preserve"> </w:t>
      </w:r>
      <w:r w:rsidR="00C26037" w:rsidRPr="00147D0A">
        <w:rPr>
          <w:rFonts w:ascii="Arial Hebrew" w:hAnsi="Arial Hebrew" w:cs="Arial Hebrew" w:hint="cs"/>
          <w:sz w:val="20"/>
          <w:szCs w:val="20"/>
        </w:rPr>
        <w:t>countries</w:t>
      </w:r>
      <w:r w:rsidR="00512082" w:rsidRPr="00147D0A">
        <w:rPr>
          <w:rFonts w:ascii="Arial Hebrew" w:hAnsi="Arial Hebrew" w:cs="Arial Hebrew" w:hint="cs"/>
          <w:sz w:val="20"/>
          <w:szCs w:val="20"/>
        </w:rPr>
        <w:t>)</w:t>
      </w:r>
      <w:r w:rsidR="00C26037" w:rsidRPr="00147D0A">
        <w:rPr>
          <w:rFonts w:ascii="Arial Hebrew" w:hAnsi="Arial Hebrew" w:cs="Arial Hebrew" w:hint="cs"/>
          <w:sz w:val="20"/>
          <w:szCs w:val="20"/>
        </w:rPr>
        <w:t>, but also</w:t>
      </w:r>
      <w:r w:rsidR="00A13556" w:rsidRPr="00147D0A">
        <w:rPr>
          <w:rFonts w:ascii="Arial Hebrew" w:hAnsi="Arial Hebrew" w:cs="Arial Hebrew" w:hint="cs"/>
          <w:sz w:val="20"/>
          <w:szCs w:val="20"/>
        </w:rPr>
        <w:t xml:space="preserve"> necessarily</w:t>
      </w:r>
      <w:r w:rsidR="00C26037" w:rsidRPr="00147D0A">
        <w:rPr>
          <w:rFonts w:ascii="Arial Hebrew" w:hAnsi="Arial Hebrew" w:cs="Arial Hebrew" w:hint="cs"/>
          <w:sz w:val="20"/>
          <w:szCs w:val="20"/>
        </w:rPr>
        <w:t xml:space="preserve"> due to </w:t>
      </w:r>
      <w:r w:rsidR="005514D2" w:rsidRPr="00147D0A">
        <w:rPr>
          <w:rFonts w:ascii="Arial Hebrew" w:hAnsi="Arial Hebrew" w:cs="Arial Hebrew" w:hint="cs"/>
          <w:sz w:val="20"/>
          <w:szCs w:val="20"/>
        </w:rPr>
        <w:t>an</w:t>
      </w:r>
      <w:r w:rsidR="00C26037" w:rsidRPr="00147D0A">
        <w:rPr>
          <w:rFonts w:ascii="Arial Hebrew" w:hAnsi="Arial Hebrew" w:cs="Arial Hebrew" w:hint="cs"/>
          <w:sz w:val="20"/>
          <w:szCs w:val="20"/>
        </w:rPr>
        <w:t xml:space="preserve"> absence of relevant data</w:t>
      </w:r>
      <w:r w:rsidR="00921FC7" w:rsidRPr="00147D0A">
        <w:rPr>
          <w:rFonts w:ascii="Arial Hebrew" w:hAnsi="Arial Hebrew" w:cs="Arial Hebrew" w:hint="cs"/>
          <w:sz w:val="20"/>
          <w:szCs w:val="20"/>
        </w:rPr>
        <w:t xml:space="preserve"> at the subnational level</w:t>
      </w:r>
      <w:r w:rsidR="00C26037" w:rsidRPr="00147D0A">
        <w:rPr>
          <w:rFonts w:ascii="Arial Hebrew" w:hAnsi="Arial Hebrew" w:cs="Arial Hebrew" w:hint="cs"/>
          <w:sz w:val="20"/>
          <w:szCs w:val="20"/>
        </w:rPr>
        <w:t>.</w:t>
      </w:r>
    </w:p>
    <w:p w14:paraId="02812798" w14:textId="6B54030E" w:rsidR="00007BCA" w:rsidRPr="00147D0A" w:rsidRDefault="00815FF1" w:rsidP="00830618">
      <w:pPr>
        <w:pStyle w:val="Heading2"/>
        <w:spacing w:after="240"/>
        <w:rPr>
          <w:rFonts w:ascii="Arial Hebrew" w:hAnsi="Arial Hebrew" w:cs="Arial Hebrew"/>
          <w:sz w:val="22"/>
          <w:szCs w:val="22"/>
        </w:rPr>
      </w:pPr>
      <w:bookmarkStart w:id="14" w:name="_Toc199450892"/>
      <w:r w:rsidRPr="00147D0A">
        <w:rPr>
          <w:rFonts w:ascii="Arial Hebrew" w:hAnsi="Arial Hebrew" w:cs="Arial Hebrew" w:hint="cs"/>
          <w:sz w:val="22"/>
          <w:szCs w:val="22"/>
        </w:rPr>
        <w:t xml:space="preserve">Institutional Observability and </w:t>
      </w:r>
      <w:r w:rsidR="00346C44" w:rsidRPr="00147D0A">
        <w:rPr>
          <w:rFonts w:ascii="Arial Hebrew" w:hAnsi="Arial Hebrew" w:cs="Arial Hebrew" w:hint="cs"/>
          <w:sz w:val="22"/>
          <w:szCs w:val="22"/>
        </w:rPr>
        <w:t xml:space="preserve">Service </w:t>
      </w:r>
      <w:r w:rsidRPr="00147D0A">
        <w:rPr>
          <w:rFonts w:ascii="Arial Hebrew" w:hAnsi="Arial Hebrew" w:cs="Arial Hebrew" w:hint="cs"/>
          <w:sz w:val="22"/>
          <w:szCs w:val="22"/>
        </w:rPr>
        <w:t>Standards</w:t>
      </w:r>
      <w:bookmarkEnd w:id="14"/>
    </w:p>
    <w:p w14:paraId="5C3798D0" w14:textId="0092FBF0" w:rsidR="00D57BB3" w:rsidRPr="00147D0A" w:rsidRDefault="00E23B6B" w:rsidP="00830618">
      <w:pPr>
        <w:spacing w:before="240"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w:t>
      </w:r>
      <w:r w:rsidR="00EB1A73" w:rsidRPr="00147D0A">
        <w:rPr>
          <w:rFonts w:ascii="Arial Hebrew" w:hAnsi="Arial Hebrew" w:cs="Arial Hebrew" w:hint="cs"/>
          <w:sz w:val="20"/>
          <w:szCs w:val="20"/>
        </w:rPr>
        <w:t>he</w:t>
      </w:r>
      <w:r w:rsidR="001C2F06" w:rsidRPr="00147D0A">
        <w:rPr>
          <w:rFonts w:ascii="Arial Hebrew" w:hAnsi="Arial Hebrew" w:cs="Arial Hebrew" w:hint="cs"/>
          <w:sz w:val="20"/>
          <w:szCs w:val="20"/>
        </w:rPr>
        <w:t xml:space="preserve"> recognised limitations of the</w:t>
      </w:r>
      <w:r w:rsidR="00EB1A73" w:rsidRPr="00147D0A">
        <w:rPr>
          <w:rFonts w:ascii="Arial Hebrew" w:hAnsi="Arial Hebrew" w:cs="Arial Hebrew" w:hint="cs"/>
          <w:sz w:val="20"/>
          <w:szCs w:val="20"/>
        </w:rPr>
        <w:t xml:space="preserve"> World Bank W</w:t>
      </w:r>
      <w:r w:rsidR="00ED548E" w:rsidRPr="00147D0A">
        <w:rPr>
          <w:rFonts w:ascii="Arial Hebrew" w:hAnsi="Arial Hebrew" w:cs="Arial Hebrew" w:hint="cs"/>
          <w:sz w:val="20"/>
          <w:szCs w:val="20"/>
        </w:rPr>
        <w:t xml:space="preserve">orldwide </w:t>
      </w:r>
      <w:r w:rsidR="00EB1A73" w:rsidRPr="00147D0A">
        <w:rPr>
          <w:rFonts w:ascii="Arial Hebrew" w:hAnsi="Arial Hebrew" w:cs="Arial Hebrew" w:hint="cs"/>
          <w:sz w:val="20"/>
          <w:szCs w:val="20"/>
        </w:rPr>
        <w:t>G</w:t>
      </w:r>
      <w:r w:rsidR="00ED548E" w:rsidRPr="00147D0A">
        <w:rPr>
          <w:rFonts w:ascii="Arial Hebrew" w:hAnsi="Arial Hebrew" w:cs="Arial Hebrew" w:hint="cs"/>
          <w:sz w:val="20"/>
          <w:szCs w:val="20"/>
        </w:rPr>
        <w:t xml:space="preserve">overnance </w:t>
      </w:r>
      <w:r w:rsidR="00EB1A73" w:rsidRPr="00147D0A">
        <w:rPr>
          <w:rFonts w:ascii="Arial Hebrew" w:hAnsi="Arial Hebrew" w:cs="Arial Hebrew" w:hint="cs"/>
          <w:sz w:val="20"/>
          <w:szCs w:val="20"/>
        </w:rPr>
        <w:t>I</w:t>
      </w:r>
      <w:r w:rsidR="00ED548E" w:rsidRPr="00147D0A">
        <w:rPr>
          <w:rFonts w:ascii="Arial Hebrew" w:hAnsi="Arial Hebrew" w:cs="Arial Hebrew" w:hint="cs"/>
          <w:sz w:val="20"/>
          <w:szCs w:val="20"/>
        </w:rPr>
        <w:t>ndicator</w:t>
      </w:r>
      <w:r w:rsidR="00EB1A73" w:rsidRPr="00147D0A">
        <w:rPr>
          <w:rFonts w:ascii="Arial Hebrew" w:hAnsi="Arial Hebrew" w:cs="Arial Hebrew" w:hint="cs"/>
          <w:sz w:val="20"/>
          <w:szCs w:val="20"/>
        </w:rPr>
        <w:t>s</w:t>
      </w:r>
      <w:r w:rsidRPr="00147D0A">
        <w:rPr>
          <w:rFonts w:ascii="Arial Hebrew" w:hAnsi="Arial Hebrew" w:cs="Arial Hebrew" w:hint="cs"/>
          <w:sz w:val="20"/>
          <w:szCs w:val="20"/>
        </w:rPr>
        <w:t xml:space="preserve"> as credit assessment criteria </w:t>
      </w:r>
      <w:r w:rsidR="006C5141" w:rsidRPr="00147D0A">
        <w:rPr>
          <w:rFonts w:ascii="Arial Hebrew" w:hAnsi="Arial Hebrew" w:cs="Arial Hebrew" w:hint="cs"/>
          <w:sz w:val="20"/>
          <w:szCs w:val="20"/>
        </w:rPr>
        <w:t>raise</w:t>
      </w:r>
      <w:r w:rsidRPr="00147D0A">
        <w:rPr>
          <w:rFonts w:ascii="Arial Hebrew" w:hAnsi="Arial Hebrew" w:cs="Arial Hebrew" w:hint="cs"/>
          <w:sz w:val="20"/>
          <w:szCs w:val="20"/>
        </w:rPr>
        <w:t>s</w:t>
      </w:r>
      <w:r w:rsidR="006C5141" w:rsidRPr="00147D0A">
        <w:rPr>
          <w:rFonts w:ascii="Arial Hebrew" w:hAnsi="Arial Hebrew" w:cs="Arial Hebrew" w:hint="cs"/>
          <w:sz w:val="20"/>
          <w:szCs w:val="20"/>
        </w:rPr>
        <w:t xml:space="preserve"> the question of </w:t>
      </w:r>
      <w:r w:rsidRPr="00147D0A">
        <w:rPr>
          <w:rFonts w:ascii="Arial Hebrew" w:hAnsi="Arial Hebrew" w:cs="Arial Hebrew" w:hint="cs"/>
          <w:sz w:val="20"/>
          <w:szCs w:val="20"/>
        </w:rPr>
        <w:t xml:space="preserve">how to </w:t>
      </w:r>
      <w:r w:rsidR="004344F3" w:rsidRPr="00147D0A">
        <w:rPr>
          <w:rFonts w:ascii="Arial Hebrew" w:hAnsi="Arial Hebrew" w:cs="Arial Hebrew" w:hint="cs"/>
          <w:sz w:val="20"/>
          <w:szCs w:val="20"/>
        </w:rPr>
        <w:t>acquire</w:t>
      </w:r>
      <w:r w:rsidRPr="00147D0A">
        <w:rPr>
          <w:rFonts w:ascii="Arial Hebrew" w:hAnsi="Arial Hebrew" w:cs="Arial Hebrew" w:hint="cs"/>
          <w:sz w:val="20"/>
          <w:szCs w:val="20"/>
        </w:rPr>
        <w:t xml:space="preserve"> alternative data</w:t>
      </w:r>
      <w:r w:rsidR="007555C9" w:rsidRPr="00147D0A">
        <w:rPr>
          <w:rFonts w:ascii="Arial Hebrew" w:hAnsi="Arial Hebrew" w:cs="Arial Hebrew" w:hint="cs"/>
          <w:sz w:val="20"/>
          <w:szCs w:val="20"/>
        </w:rPr>
        <w:t xml:space="preserve"> for </w:t>
      </w:r>
      <w:r w:rsidRPr="00147D0A">
        <w:rPr>
          <w:rFonts w:ascii="Arial Hebrew" w:hAnsi="Arial Hebrew" w:cs="Arial Hebrew" w:hint="cs"/>
          <w:sz w:val="20"/>
          <w:szCs w:val="20"/>
        </w:rPr>
        <w:t>evaluating</w:t>
      </w:r>
      <w:r w:rsidR="00EB1A73" w:rsidRPr="00147D0A">
        <w:rPr>
          <w:rFonts w:ascii="Arial Hebrew" w:hAnsi="Arial Hebrew" w:cs="Arial Hebrew" w:hint="cs"/>
          <w:sz w:val="20"/>
          <w:szCs w:val="20"/>
        </w:rPr>
        <w:t xml:space="preserve"> institutional and governance quality. </w:t>
      </w:r>
      <w:r w:rsidR="00ED548E" w:rsidRPr="00147D0A">
        <w:rPr>
          <w:rFonts w:ascii="Arial Hebrew" w:hAnsi="Arial Hebrew" w:cs="Arial Hebrew" w:hint="cs"/>
          <w:sz w:val="20"/>
          <w:szCs w:val="20"/>
        </w:rPr>
        <w:t>A m</w:t>
      </w:r>
      <w:r w:rsidR="00007BCA" w:rsidRPr="00147D0A">
        <w:rPr>
          <w:rFonts w:ascii="Arial Hebrew" w:hAnsi="Arial Hebrew" w:cs="Arial Hebrew" w:hint="cs"/>
          <w:sz w:val="20"/>
          <w:szCs w:val="20"/>
        </w:rPr>
        <w:t xml:space="preserve">ore </w:t>
      </w:r>
      <w:r w:rsidR="00434C4D" w:rsidRPr="00147D0A">
        <w:rPr>
          <w:rFonts w:ascii="Arial Hebrew" w:hAnsi="Arial Hebrew" w:cs="Arial Hebrew" w:hint="cs"/>
          <w:sz w:val="20"/>
          <w:szCs w:val="20"/>
        </w:rPr>
        <w:t>accurate</w:t>
      </w:r>
      <w:r w:rsidR="00D00C05" w:rsidRPr="00147D0A">
        <w:rPr>
          <w:rFonts w:ascii="Arial Hebrew" w:hAnsi="Arial Hebrew" w:cs="Arial Hebrew" w:hint="cs"/>
          <w:sz w:val="20"/>
          <w:szCs w:val="20"/>
        </w:rPr>
        <w:t xml:space="preserve">, </w:t>
      </w:r>
      <w:r w:rsidR="00007BCA" w:rsidRPr="00147D0A">
        <w:rPr>
          <w:rFonts w:ascii="Arial Hebrew" w:hAnsi="Arial Hebrew" w:cs="Arial Hebrew" w:hint="cs"/>
          <w:sz w:val="20"/>
          <w:szCs w:val="20"/>
        </w:rPr>
        <w:t xml:space="preserve">timely, </w:t>
      </w:r>
      <w:r w:rsidR="00434C4D" w:rsidRPr="00147D0A">
        <w:rPr>
          <w:rFonts w:ascii="Arial Hebrew" w:hAnsi="Arial Hebrew" w:cs="Arial Hebrew" w:hint="cs"/>
          <w:sz w:val="20"/>
          <w:szCs w:val="20"/>
        </w:rPr>
        <w:t xml:space="preserve">and </w:t>
      </w:r>
      <w:r w:rsidR="004E5310" w:rsidRPr="00147D0A">
        <w:rPr>
          <w:rFonts w:ascii="Arial Hebrew" w:hAnsi="Arial Hebrew" w:cs="Arial Hebrew" w:hint="cs"/>
          <w:sz w:val="20"/>
          <w:szCs w:val="20"/>
        </w:rPr>
        <w:t xml:space="preserve">granular </w:t>
      </w:r>
      <w:r w:rsidR="00ED548E" w:rsidRPr="00147D0A">
        <w:rPr>
          <w:rFonts w:ascii="Arial Hebrew" w:hAnsi="Arial Hebrew" w:cs="Arial Hebrew" w:hint="cs"/>
          <w:sz w:val="20"/>
          <w:szCs w:val="20"/>
        </w:rPr>
        <w:t xml:space="preserve">system of </w:t>
      </w:r>
      <w:r w:rsidRPr="00147D0A">
        <w:rPr>
          <w:rFonts w:ascii="Arial Hebrew" w:hAnsi="Arial Hebrew" w:cs="Arial Hebrew" w:hint="cs"/>
          <w:sz w:val="20"/>
          <w:szCs w:val="20"/>
        </w:rPr>
        <w:t>indicators</w:t>
      </w:r>
      <w:r w:rsidR="00007BCA" w:rsidRPr="00147D0A">
        <w:rPr>
          <w:rFonts w:ascii="Arial Hebrew" w:hAnsi="Arial Hebrew" w:cs="Arial Hebrew" w:hint="cs"/>
          <w:sz w:val="20"/>
          <w:szCs w:val="20"/>
        </w:rPr>
        <w:t xml:space="preserve"> </w:t>
      </w:r>
      <w:r w:rsidRPr="00147D0A">
        <w:rPr>
          <w:rFonts w:ascii="Arial Hebrew" w:hAnsi="Arial Hebrew" w:cs="Arial Hebrew" w:hint="cs"/>
          <w:sz w:val="20"/>
          <w:szCs w:val="20"/>
        </w:rPr>
        <w:t>for</w:t>
      </w:r>
      <w:r w:rsidR="004E5310" w:rsidRPr="00147D0A">
        <w:rPr>
          <w:rFonts w:ascii="Arial Hebrew" w:hAnsi="Arial Hebrew" w:cs="Arial Hebrew" w:hint="cs"/>
          <w:sz w:val="20"/>
          <w:szCs w:val="20"/>
        </w:rPr>
        <w:t xml:space="preserve"> </w:t>
      </w:r>
      <w:r w:rsidR="00007BCA" w:rsidRPr="00147D0A">
        <w:rPr>
          <w:rFonts w:ascii="Arial Hebrew" w:hAnsi="Arial Hebrew" w:cs="Arial Hebrew" w:hint="cs"/>
          <w:sz w:val="20"/>
          <w:szCs w:val="20"/>
        </w:rPr>
        <w:t>assess</w:t>
      </w:r>
      <w:r w:rsidR="007555C9" w:rsidRPr="00147D0A">
        <w:rPr>
          <w:rFonts w:ascii="Arial Hebrew" w:hAnsi="Arial Hebrew" w:cs="Arial Hebrew" w:hint="cs"/>
          <w:sz w:val="20"/>
          <w:szCs w:val="20"/>
        </w:rPr>
        <w:t>ing</w:t>
      </w:r>
      <w:r w:rsidR="00007BCA" w:rsidRPr="00147D0A">
        <w:rPr>
          <w:rFonts w:ascii="Arial Hebrew" w:hAnsi="Arial Hebrew" w:cs="Arial Hebrew" w:hint="cs"/>
          <w:sz w:val="20"/>
          <w:szCs w:val="20"/>
        </w:rPr>
        <w:t xml:space="preserve"> </w:t>
      </w:r>
      <w:r w:rsidR="007555C9" w:rsidRPr="00147D0A">
        <w:rPr>
          <w:rFonts w:ascii="Arial Hebrew" w:hAnsi="Arial Hebrew" w:cs="Arial Hebrew" w:hint="cs"/>
          <w:sz w:val="20"/>
          <w:szCs w:val="20"/>
        </w:rPr>
        <w:t xml:space="preserve">these qualitative factors </w:t>
      </w:r>
      <w:r w:rsidR="00007BCA" w:rsidRPr="00147D0A">
        <w:rPr>
          <w:rFonts w:ascii="Arial Hebrew" w:hAnsi="Arial Hebrew" w:cs="Arial Hebrew" w:hint="cs"/>
          <w:sz w:val="20"/>
          <w:szCs w:val="20"/>
        </w:rPr>
        <w:t xml:space="preserve">could </w:t>
      </w:r>
      <w:r w:rsidR="007555C9" w:rsidRPr="00147D0A">
        <w:rPr>
          <w:rFonts w:ascii="Arial Hebrew" w:hAnsi="Arial Hebrew" w:cs="Arial Hebrew" w:hint="cs"/>
          <w:sz w:val="20"/>
          <w:szCs w:val="20"/>
        </w:rPr>
        <w:t>potentially be</w:t>
      </w:r>
      <w:r w:rsidR="004E5310" w:rsidRPr="00147D0A">
        <w:rPr>
          <w:rFonts w:ascii="Arial Hebrew" w:hAnsi="Arial Hebrew" w:cs="Arial Hebrew" w:hint="cs"/>
          <w:sz w:val="20"/>
          <w:szCs w:val="20"/>
        </w:rPr>
        <w:t xml:space="preserve"> </w:t>
      </w:r>
      <w:r w:rsidR="007555C9" w:rsidRPr="00147D0A">
        <w:rPr>
          <w:rFonts w:ascii="Arial Hebrew" w:hAnsi="Arial Hebrew" w:cs="Arial Hebrew" w:hint="cs"/>
          <w:sz w:val="20"/>
          <w:szCs w:val="20"/>
        </w:rPr>
        <w:t xml:space="preserve">constructed </w:t>
      </w:r>
      <w:r w:rsidR="004344F3" w:rsidRPr="00147D0A">
        <w:rPr>
          <w:rFonts w:ascii="Arial Hebrew" w:hAnsi="Arial Hebrew" w:cs="Arial Hebrew" w:hint="cs"/>
          <w:sz w:val="20"/>
          <w:szCs w:val="20"/>
        </w:rPr>
        <w:t>from</w:t>
      </w:r>
      <w:r w:rsidR="007555C9" w:rsidRPr="00147D0A">
        <w:rPr>
          <w:rFonts w:ascii="Arial Hebrew" w:hAnsi="Arial Hebrew" w:cs="Arial Hebrew" w:hint="cs"/>
          <w:sz w:val="20"/>
          <w:szCs w:val="20"/>
        </w:rPr>
        <w:t xml:space="preserve"> measur</w:t>
      </w:r>
      <w:r w:rsidR="004344F3" w:rsidRPr="00147D0A">
        <w:rPr>
          <w:rFonts w:ascii="Arial Hebrew" w:hAnsi="Arial Hebrew" w:cs="Arial Hebrew" w:hint="cs"/>
          <w:sz w:val="20"/>
          <w:szCs w:val="20"/>
        </w:rPr>
        <w:t>e</w:t>
      </w:r>
      <w:r w:rsidR="00ED548E" w:rsidRPr="00147D0A">
        <w:rPr>
          <w:rFonts w:ascii="Arial Hebrew" w:hAnsi="Arial Hebrew" w:cs="Arial Hebrew" w:hint="cs"/>
          <w:sz w:val="20"/>
          <w:szCs w:val="20"/>
        </w:rPr>
        <w:t xml:space="preserve">s </w:t>
      </w:r>
      <w:r w:rsidR="004344F3" w:rsidRPr="00147D0A">
        <w:rPr>
          <w:rFonts w:ascii="Arial Hebrew" w:hAnsi="Arial Hebrew" w:cs="Arial Hebrew" w:hint="cs"/>
          <w:sz w:val="20"/>
          <w:szCs w:val="20"/>
        </w:rPr>
        <w:t>of</w:t>
      </w:r>
      <w:r w:rsidR="007555C9" w:rsidRPr="00147D0A">
        <w:rPr>
          <w:rFonts w:ascii="Arial Hebrew" w:hAnsi="Arial Hebrew" w:cs="Arial Hebrew" w:hint="cs"/>
          <w:sz w:val="20"/>
          <w:szCs w:val="20"/>
        </w:rPr>
        <w:t xml:space="preserve"> the quality of</w:t>
      </w:r>
      <w:r w:rsidR="00EB1A73" w:rsidRPr="00147D0A">
        <w:rPr>
          <w:rFonts w:ascii="Arial Hebrew" w:hAnsi="Arial Hebrew" w:cs="Arial Hebrew" w:hint="cs"/>
          <w:sz w:val="20"/>
          <w:szCs w:val="20"/>
        </w:rPr>
        <w:t xml:space="preserve"> </w:t>
      </w:r>
      <w:r w:rsidR="00434C4D" w:rsidRPr="00147D0A">
        <w:rPr>
          <w:rFonts w:ascii="Arial Hebrew" w:hAnsi="Arial Hebrew" w:cs="Arial Hebrew" w:hint="cs"/>
          <w:sz w:val="20"/>
          <w:szCs w:val="20"/>
        </w:rPr>
        <w:t xml:space="preserve">public </w:t>
      </w:r>
      <w:r w:rsidR="004E5310" w:rsidRPr="00147D0A">
        <w:rPr>
          <w:rFonts w:ascii="Arial Hebrew" w:hAnsi="Arial Hebrew" w:cs="Arial Hebrew" w:hint="cs"/>
          <w:sz w:val="20"/>
          <w:szCs w:val="20"/>
        </w:rPr>
        <w:t>service</w:t>
      </w:r>
      <w:r w:rsidR="00EB1A73" w:rsidRPr="00147D0A">
        <w:rPr>
          <w:rFonts w:ascii="Arial Hebrew" w:hAnsi="Arial Hebrew" w:cs="Arial Hebrew" w:hint="cs"/>
          <w:sz w:val="20"/>
          <w:szCs w:val="20"/>
        </w:rPr>
        <w:t>s</w:t>
      </w:r>
      <w:r w:rsidR="007555C9" w:rsidRPr="00147D0A">
        <w:rPr>
          <w:rFonts w:ascii="Arial Hebrew" w:hAnsi="Arial Hebrew" w:cs="Arial Hebrew" w:hint="cs"/>
          <w:sz w:val="20"/>
          <w:szCs w:val="20"/>
        </w:rPr>
        <w:t xml:space="preserve"> </w:t>
      </w:r>
      <w:r w:rsidR="004E5310" w:rsidRPr="00147D0A">
        <w:rPr>
          <w:rFonts w:ascii="Arial Hebrew" w:hAnsi="Arial Hebrew" w:cs="Arial Hebrew" w:hint="cs"/>
          <w:sz w:val="20"/>
          <w:szCs w:val="20"/>
        </w:rPr>
        <w:t>deliver</w:t>
      </w:r>
      <w:r w:rsidR="00EB1A73" w:rsidRPr="00147D0A">
        <w:rPr>
          <w:rFonts w:ascii="Arial Hebrew" w:hAnsi="Arial Hebrew" w:cs="Arial Hebrew" w:hint="cs"/>
          <w:sz w:val="20"/>
          <w:szCs w:val="20"/>
        </w:rPr>
        <w:t>ed</w:t>
      </w:r>
      <w:r w:rsidR="00D00C05" w:rsidRPr="00147D0A">
        <w:rPr>
          <w:rFonts w:ascii="Arial Hebrew" w:hAnsi="Arial Hebrew" w:cs="Arial Hebrew" w:hint="cs"/>
          <w:sz w:val="20"/>
          <w:szCs w:val="20"/>
        </w:rPr>
        <w:t xml:space="preserve"> by national and subnational governments. </w:t>
      </w:r>
    </w:p>
    <w:p w14:paraId="529DE941" w14:textId="487D2CF1" w:rsidR="006E7ECE" w:rsidRPr="00147D0A" w:rsidRDefault="00AB1717" w:rsidP="00D008E6">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Th</w:t>
      </w:r>
      <w:r w:rsidR="00434C4D" w:rsidRPr="00147D0A">
        <w:rPr>
          <w:rFonts w:ascii="Arial Hebrew" w:hAnsi="Arial Hebrew" w:cs="Arial Hebrew" w:hint="cs"/>
          <w:sz w:val="20"/>
          <w:szCs w:val="20"/>
        </w:rPr>
        <w:t>e</w:t>
      </w:r>
      <w:r w:rsidR="00D00C05" w:rsidRPr="00147D0A">
        <w:rPr>
          <w:rFonts w:ascii="Arial Hebrew" w:hAnsi="Arial Hebrew" w:cs="Arial Hebrew" w:hint="cs"/>
          <w:sz w:val="20"/>
          <w:szCs w:val="20"/>
        </w:rPr>
        <w:t xml:space="preserve"> </w:t>
      </w:r>
      <w:r w:rsidR="00EB1A73" w:rsidRPr="00147D0A">
        <w:rPr>
          <w:rFonts w:ascii="Arial Hebrew" w:hAnsi="Arial Hebrew" w:cs="Arial Hebrew" w:hint="cs"/>
          <w:sz w:val="20"/>
          <w:szCs w:val="20"/>
        </w:rPr>
        <w:t>concept</w:t>
      </w:r>
      <w:r w:rsidR="00434C4D" w:rsidRPr="00147D0A">
        <w:rPr>
          <w:rFonts w:ascii="Arial Hebrew" w:hAnsi="Arial Hebrew" w:cs="Arial Hebrew" w:hint="cs"/>
          <w:sz w:val="20"/>
          <w:szCs w:val="20"/>
        </w:rPr>
        <w:t xml:space="preserve"> of a government</w:t>
      </w:r>
      <w:r w:rsidR="009E0501" w:rsidRPr="00147D0A">
        <w:rPr>
          <w:rFonts w:ascii="Arial Hebrew" w:hAnsi="Arial Hebrew" w:cs="Arial Hebrew" w:hint="cs"/>
          <w:sz w:val="20"/>
          <w:szCs w:val="20"/>
        </w:rPr>
        <w:t>-</w:t>
      </w:r>
      <w:r w:rsidR="00434C4D" w:rsidRPr="00147D0A">
        <w:rPr>
          <w:rFonts w:ascii="Arial Hebrew" w:hAnsi="Arial Hebrew" w:cs="Arial Hebrew" w:hint="cs"/>
          <w:sz w:val="20"/>
          <w:szCs w:val="20"/>
        </w:rPr>
        <w:t>service</w:t>
      </w:r>
      <w:r w:rsidR="009E0501" w:rsidRPr="00147D0A">
        <w:rPr>
          <w:rFonts w:ascii="Arial Hebrew" w:hAnsi="Arial Hebrew" w:cs="Arial Hebrew" w:hint="cs"/>
          <w:sz w:val="20"/>
          <w:szCs w:val="20"/>
        </w:rPr>
        <w:t>-</w:t>
      </w:r>
      <w:r w:rsidR="00434C4D" w:rsidRPr="00147D0A">
        <w:rPr>
          <w:rFonts w:ascii="Arial Hebrew" w:hAnsi="Arial Hebrew" w:cs="Arial Hebrew" w:hint="cs"/>
          <w:sz w:val="20"/>
          <w:szCs w:val="20"/>
        </w:rPr>
        <w:t>quality</w:t>
      </w:r>
      <w:r w:rsidR="00EB1A73" w:rsidRPr="00147D0A">
        <w:rPr>
          <w:rFonts w:ascii="Arial Hebrew" w:hAnsi="Arial Hebrew" w:cs="Arial Hebrew" w:hint="cs"/>
          <w:sz w:val="20"/>
          <w:szCs w:val="20"/>
        </w:rPr>
        <w:t xml:space="preserve"> </w:t>
      </w:r>
      <w:r w:rsidR="00434C4D" w:rsidRPr="00147D0A">
        <w:rPr>
          <w:rFonts w:ascii="Arial Hebrew" w:hAnsi="Arial Hebrew" w:cs="Arial Hebrew" w:hint="cs"/>
          <w:sz w:val="20"/>
          <w:szCs w:val="20"/>
        </w:rPr>
        <w:t xml:space="preserve">indicator for credit assessments </w:t>
      </w:r>
      <w:r w:rsidR="00ED548E" w:rsidRPr="00147D0A">
        <w:rPr>
          <w:rFonts w:ascii="Arial Hebrew" w:hAnsi="Arial Hebrew" w:cs="Arial Hebrew" w:hint="cs"/>
          <w:sz w:val="20"/>
          <w:szCs w:val="20"/>
        </w:rPr>
        <w:t>rests</w:t>
      </w:r>
      <w:r w:rsidR="003543BC" w:rsidRPr="00147D0A">
        <w:rPr>
          <w:rFonts w:ascii="Arial Hebrew" w:hAnsi="Arial Hebrew" w:cs="Arial Hebrew" w:hint="cs"/>
          <w:sz w:val="20"/>
          <w:szCs w:val="20"/>
        </w:rPr>
        <w:t xml:space="preserve"> on </w:t>
      </w:r>
      <w:r w:rsidR="00ED548E" w:rsidRPr="00147D0A">
        <w:rPr>
          <w:rFonts w:ascii="Arial Hebrew" w:hAnsi="Arial Hebrew" w:cs="Arial Hebrew" w:hint="cs"/>
          <w:sz w:val="20"/>
          <w:szCs w:val="20"/>
        </w:rPr>
        <w:t xml:space="preserve">the </w:t>
      </w:r>
      <w:r w:rsidR="00F5643B" w:rsidRPr="00147D0A">
        <w:rPr>
          <w:rFonts w:ascii="Arial Hebrew" w:hAnsi="Arial Hebrew" w:cs="Arial Hebrew" w:hint="cs"/>
          <w:sz w:val="20"/>
          <w:szCs w:val="20"/>
        </w:rPr>
        <w:t>expectation</w:t>
      </w:r>
      <w:r w:rsidR="00EB1A73" w:rsidRPr="00147D0A">
        <w:rPr>
          <w:rFonts w:ascii="Arial Hebrew" w:hAnsi="Arial Hebrew" w:cs="Arial Hebrew" w:hint="cs"/>
          <w:sz w:val="20"/>
          <w:szCs w:val="20"/>
        </w:rPr>
        <w:t xml:space="preserve"> </w:t>
      </w:r>
      <w:r w:rsidR="00D00C05" w:rsidRPr="00147D0A">
        <w:rPr>
          <w:rFonts w:ascii="Arial Hebrew" w:hAnsi="Arial Hebrew" w:cs="Arial Hebrew" w:hint="cs"/>
          <w:sz w:val="20"/>
          <w:szCs w:val="20"/>
        </w:rPr>
        <w:t>that</w:t>
      </w:r>
      <w:r w:rsidR="00EB1A73"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 xml:space="preserve">the quality </w:t>
      </w:r>
      <w:r w:rsidR="00ED548E" w:rsidRPr="00147D0A">
        <w:rPr>
          <w:rFonts w:ascii="Arial Hebrew" w:hAnsi="Arial Hebrew" w:cs="Arial Hebrew" w:hint="cs"/>
          <w:sz w:val="20"/>
          <w:szCs w:val="20"/>
        </w:rPr>
        <w:t>of public services</w:t>
      </w:r>
      <w:r w:rsidR="00F70BFC" w:rsidRPr="00147D0A">
        <w:rPr>
          <w:rFonts w:ascii="Arial Hebrew" w:hAnsi="Arial Hebrew" w:cs="Arial Hebrew" w:hint="cs"/>
          <w:sz w:val="20"/>
          <w:szCs w:val="20"/>
        </w:rPr>
        <w:t xml:space="preserve"> delivered by a government will be reflective of the</w:t>
      </w:r>
      <w:r w:rsidR="00ED548E" w:rsidRPr="00147D0A">
        <w:rPr>
          <w:rFonts w:ascii="Arial Hebrew" w:hAnsi="Arial Hebrew" w:cs="Arial Hebrew" w:hint="cs"/>
          <w:sz w:val="20"/>
          <w:szCs w:val="20"/>
        </w:rPr>
        <w:t xml:space="preserve"> </w:t>
      </w:r>
      <w:r w:rsidRPr="00147D0A">
        <w:rPr>
          <w:rFonts w:ascii="Arial Hebrew" w:hAnsi="Arial Hebrew" w:cs="Arial Hebrew" w:hint="cs"/>
          <w:sz w:val="20"/>
          <w:szCs w:val="20"/>
        </w:rPr>
        <w:t>institutional</w:t>
      </w:r>
      <w:r w:rsidR="00EB1A73" w:rsidRPr="00147D0A">
        <w:rPr>
          <w:rFonts w:ascii="Arial Hebrew" w:hAnsi="Arial Hebrew" w:cs="Arial Hebrew" w:hint="cs"/>
          <w:sz w:val="20"/>
          <w:szCs w:val="20"/>
        </w:rPr>
        <w:t xml:space="preserve"> </w:t>
      </w:r>
      <w:r w:rsidRPr="00147D0A">
        <w:rPr>
          <w:rFonts w:ascii="Arial Hebrew" w:hAnsi="Arial Hebrew" w:cs="Arial Hebrew" w:hint="cs"/>
          <w:sz w:val="20"/>
          <w:szCs w:val="20"/>
        </w:rPr>
        <w:t xml:space="preserve">qualities relevant </w:t>
      </w:r>
      <w:r w:rsidR="00E106E8" w:rsidRPr="00147D0A">
        <w:rPr>
          <w:rFonts w:ascii="Arial Hebrew" w:hAnsi="Arial Hebrew" w:cs="Arial Hebrew" w:hint="cs"/>
          <w:sz w:val="20"/>
          <w:szCs w:val="20"/>
        </w:rPr>
        <w:t xml:space="preserve">to </w:t>
      </w:r>
      <w:r w:rsidRPr="00147D0A">
        <w:rPr>
          <w:rFonts w:ascii="Arial Hebrew" w:hAnsi="Arial Hebrew" w:cs="Arial Hebrew" w:hint="cs"/>
          <w:sz w:val="20"/>
          <w:szCs w:val="20"/>
        </w:rPr>
        <w:t>creditworthiness</w:t>
      </w:r>
      <w:r w:rsidR="00953A29"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7555C9" w:rsidRPr="00147D0A">
        <w:rPr>
          <w:rFonts w:ascii="Arial Hebrew" w:hAnsi="Arial Hebrew" w:cs="Arial Hebrew" w:hint="cs"/>
          <w:sz w:val="20"/>
          <w:szCs w:val="20"/>
        </w:rPr>
        <w:t xml:space="preserve">such as </w:t>
      </w:r>
      <w:r w:rsidRPr="00147D0A">
        <w:rPr>
          <w:rFonts w:ascii="Arial Hebrew" w:hAnsi="Arial Hebrew" w:cs="Arial Hebrew" w:hint="cs"/>
          <w:sz w:val="20"/>
          <w:szCs w:val="20"/>
        </w:rPr>
        <w:t xml:space="preserve">administrative competence and political accountability. </w:t>
      </w:r>
      <w:r w:rsidR="003C5200" w:rsidRPr="00147D0A">
        <w:rPr>
          <w:rFonts w:ascii="Arial Hebrew" w:hAnsi="Arial Hebrew" w:cs="Arial Hebrew" w:hint="cs"/>
          <w:sz w:val="20"/>
          <w:szCs w:val="20"/>
        </w:rPr>
        <w:t xml:space="preserve">Government service quality standards present a type of </w:t>
      </w:r>
      <w:r w:rsidR="003C5200" w:rsidRPr="00147D0A">
        <w:rPr>
          <w:rFonts w:ascii="Arial Hebrew" w:hAnsi="Arial Hebrew" w:cs="Arial Hebrew" w:hint="cs"/>
          <w:i/>
          <w:iCs/>
          <w:sz w:val="20"/>
          <w:szCs w:val="20"/>
        </w:rPr>
        <w:t>institutional observability</w:t>
      </w:r>
      <w:r w:rsidR="003C5200" w:rsidRPr="00147D0A">
        <w:rPr>
          <w:rFonts w:ascii="Arial Hebrew" w:hAnsi="Arial Hebrew" w:cs="Arial Hebrew" w:hint="cs"/>
          <w:sz w:val="20"/>
          <w:szCs w:val="20"/>
        </w:rPr>
        <w:t>, revealing attributes of public institutions that are otherwise resistant to formal evaluation.</w:t>
      </w:r>
      <w:r w:rsidR="000565F7" w:rsidRPr="00147D0A">
        <w:rPr>
          <w:rStyle w:val="FootnoteReference"/>
          <w:rFonts w:ascii="Arial Hebrew" w:hAnsi="Arial Hebrew" w:cs="Arial Hebrew" w:hint="cs"/>
          <w:sz w:val="20"/>
          <w:szCs w:val="20"/>
        </w:rPr>
        <w:footnoteReference w:id="21"/>
      </w:r>
      <w:r w:rsidR="003C5200" w:rsidRPr="00147D0A">
        <w:rPr>
          <w:rFonts w:ascii="Arial Hebrew" w:hAnsi="Arial Hebrew" w:cs="Arial Hebrew" w:hint="cs"/>
          <w:sz w:val="20"/>
          <w:szCs w:val="20"/>
        </w:rPr>
        <w:t xml:space="preserve"> Service quality signal</w:t>
      </w:r>
      <w:r w:rsidR="00F70BFC" w:rsidRPr="00147D0A">
        <w:rPr>
          <w:rFonts w:ascii="Arial Hebrew" w:hAnsi="Arial Hebrew" w:cs="Arial Hebrew" w:hint="cs"/>
          <w:sz w:val="20"/>
          <w:szCs w:val="20"/>
        </w:rPr>
        <w:t>s</w:t>
      </w:r>
      <w:r w:rsidR="003C5200" w:rsidRPr="00147D0A">
        <w:rPr>
          <w:rFonts w:ascii="Arial Hebrew" w:hAnsi="Arial Hebrew" w:cs="Arial Hebrew" w:hint="cs"/>
          <w:sz w:val="20"/>
          <w:szCs w:val="20"/>
        </w:rPr>
        <w:t xml:space="preserve"> a range of institutional </w:t>
      </w:r>
      <w:r w:rsidR="00F70BFC" w:rsidRPr="00147D0A">
        <w:rPr>
          <w:rFonts w:ascii="Arial Hebrew" w:hAnsi="Arial Hebrew" w:cs="Arial Hebrew" w:hint="cs"/>
          <w:sz w:val="20"/>
          <w:szCs w:val="20"/>
        </w:rPr>
        <w:t>properties</w:t>
      </w:r>
      <w:r w:rsidR="003C5200" w:rsidRPr="00147D0A">
        <w:rPr>
          <w:rFonts w:ascii="Arial Hebrew" w:hAnsi="Arial Hebrew" w:cs="Arial Hebrew" w:hint="cs"/>
          <w:sz w:val="20"/>
          <w:szCs w:val="20"/>
        </w:rPr>
        <w:t>; administrative efficiency, technological competence, reliability of systems and processes, workforce skills and managerial capabilities, organisational initiativ</w:t>
      </w:r>
      <w:r w:rsidR="00953A29" w:rsidRPr="00147D0A">
        <w:rPr>
          <w:rFonts w:ascii="Arial Hebrew" w:hAnsi="Arial Hebrew" w:cs="Arial Hebrew" w:hint="cs"/>
          <w:sz w:val="20"/>
          <w:szCs w:val="20"/>
        </w:rPr>
        <w:t>e</w:t>
      </w:r>
      <w:r w:rsidR="003C5200" w:rsidRPr="00147D0A">
        <w:rPr>
          <w:rFonts w:ascii="Arial Hebrew" w:hAnsi="Arial Hebrew" w:cs="Arial Hebrew" w:hint="cs"/>
          <w:sz w:val="20"/>
          <w:szCs w:val="20"/>
        </w:rPr>
        <w:t xml:space="preserve">, regulatory and legal clarity, and data-driven decision-making. </w:t>
      </w:r>
      <w:r w:rsidR="00F70BFC" w:rsidRPr="00147D0A">
        <w:rPr>
          <w:rFonts w:ascii="Arial Hebrew" w:hAnsi="Arial Hebrew" w:cs="Arial Hebrew" w:hint="cs"/>
          <w:sz w:val="20"/>
          <w:szCs w:val="20"/>
        </w:rPr>
        <w:t>The key d</w:t>
      </w:r>
      <w:r w:rsidR="003C5200" w:rsidRPr="00147D0A">
        <w:rPr>
          <w:rFonts w:ascii="Arial Hebrew" w:hAnsi="Arial Hebrew" w:cs="Arial Hebrew" w:hint="cs"/>
          <w:sz w:val="20"/>
          <w:szCs w:val="20"/>
        </w:rPr>
        <w:t xml:space="preserve">rivers of government trustworthiness </w:t>
      </w:r>
      <w:r w:rsidR="00F70BFC" w:rsidRPr="00147D0A">
        <w:rPr>
          <w:rFonts w:ascii="Arial Hebrew" w:hAnsi="Arial Hebrew" w:cs="Arial Hebrew" w:hint="cs"/>
          <w:sz w:val="20"/>
          <w:szCs w:val="20"/>
        </w:rPr>
        <w:t xml:space="preserve">are nowhere more </w:t>
      </w:r>
      <w:r w:rsidR="003C5200" w:rsidRPr="00147D0A">
        <w:rPr>
          <w:rFonts w:ascii="Arial Hebrew" w:hAnsi="Arial Hebrew" w:cs="Arial Hebrew" w:hint="cs"/>
          <w:sz w:val="20"/>
          <w:szCs w:val="20"/>
        </w:rPr>
        <w:t>transparent</w:t>
      </w:r>
      <w:r w:rsidR="00F70BFC" w:rsidRPr="00147D0A">
        <w:rPr>
          <w:rFonts w:ascii="Arial Hebrew" w:hAnsi="Arial Hebrew" w:cs="Arial Hebrew" w:hint="cs"/>
          <w:sz w:val="20"/>
          <w:szCs w:val="20"/>
        </w:rPr>
        <w:t>ly</w:t>
      </w:r>
      <w:r w:rsidR="003C5200" w:rsidRPr="00147D0A">
        <w:rPr>
          <w:rFonts w:ascii="Arial Hebrew" w:hAnsi="Arial Hebrew" w:cs="Arial Hebrew" w:hint="cs"/>
          <w:sz w:val="20"/>
          <w:szCs w:val="20"/>
        </w:rPr>
        <w:t xml:space="preserve"> demonstrat</w:t>
      </w:r>
      <w:r w:rsidR="00F70BFC" w:rsidRPr="00147D0A">
        <w:rPr>
          <w:rFonts w:ascii="Arial Hebrew" w:hAnsi="Arial Hebrew" w:cs="Arial Hebrew" w:hint="cs"/>
          <w:sz w:val="20"/>
          <w:szCs w:val="20"/>
        </w:rPr>
        <w:t>ed than</w:t>
      </w:r>
      <w:r w:rsidR="003C5200"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 xml:space="preserve">in </w:t>
      </w:r>
      <w:r w:rsidR="00953A29" w:rsidRPr="00147D0A">
        <w:rPr>
          <w:rFonts w:ascii="Arial Hebrew" w:hAnsi="Arial Hebrew" w:cs="Arial Hebrew" w:hint="cs"/>
          <w:sz w:val="20"/>
          <w:szCs w:val="20"/>
        </w:rPr>
        <w:t>a governments’</w:t>
      </w:r>
      <w:r w:rsidR="00F70BFC" w:rsidRPr="00147D0A">
        <w:rPr>
          <w:rFonts w:ascii="Arial Hebrew" w:hAnsi="Arial Hebrew" w:cs="Arial Hebrew" w:hint="cs"/>
          <w:sz w:val="20"/>
          <w:szCs w:val="20"/>
        </w:rPr>
        <w:t xml:space="preserve"> provision of </w:t>
      </w:r>
      <w:r w:rsidR="003C5200" w:rsidRPr="00147D0A">
        <w:rPr>
          <w:rFonts w:ascii="Arial Hebrew" w:hAnsi="Arial Hebrew" w:cs="Arial Hebrew" w:hint="cs"/>
          <w:sz w:val="20"/>
          <w:szCs w:val="20"/>
        </w:rPr>
        <w:t>consistent</w:t>
      </w:r>
      <w:r w:rsidR="00F70BFC" w:rsidRPr="00147D0A">
        <w:rPr>
          <w:rFonts w:ascii="Arial Hebrew" w:hAnsi="Arial Hebrew" w:cs="Arial Hebrew" w:hint="cs"/>
          <w:sz w:val="20"/>
          <w:szCs w:val="20"/>
        </w:rPr>
        <w:t>ly</w:t>
      </w:r>
      <w:r w:rsidR="003C5200"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high-quality public services</w:t>
      </w:r>
      <w:r w:rsidR="006E7ECE" w:rsidRPr="00147D0A">
        <w:rPr>
          <w:rFonts w:ascii="Arial Hebrew" w:hAnsi="Arial Hebrew" w:cs="Arial Hebrew" w:hint="cs"/>
          <w:sz w:val="20"/>
          <w:szCs w:val="20"/>
        </w:rPr>
        <w:t>.</w:t>
      </w:r>
      <w:r w:rsidR="003C5200" w:rsidRPr="00147D0A">
        <w:rPr>
          <w:rFonts w:ascii="Arial Hebrew" w:hAnsi="Arial Hebrew" w:cs="Arial Hebrew" w:hint="cs"/>
          <w:sz w:val="20"/>
          <w:szCs w:val="20"/>
        </w:rPr>
        <w:t xml:space="preserve"> </w:t>
      </w:r>
    </w:p>
    <w:p w14:paraId="7C97055F" w14:textId="100A72D2" w:rsidR="00883A10" w:rsidRPr="00147D0A" w:rsidRDefault="006E7ECE" w:rsidP="00487E85">
      <w:pPr>
        <w:spacing w:line="360" w:lineRule="auto"/>
        <w:ind w:firstLine="720"/>
        <w:jc w:val="both"/>
        <w:rPr>
          <w:rFonts w:ascii="Arial Hebrew" w:hAnsi="Arial Hebrew" w:cs="Arial Hebrew"/>
          <w:sz w:val="20"/>
          <w:szCs w:val="20"/>
        </w:rPr>
      </w:pPr>
      <w:r w:rsidRPr="00147D0A">
        <w:rPr>
          <w:rFonts w:ascii="Arial Hebrew" w:hAnsi="Arial Hebrew" w:cs="Arial Hebrew" w:hint="cs"/>
          <w:sz w:val="20"/>
          <w:szCs w:val="20"/>
        </w:rPr>
        <w:t>M</w:t>
      </w:r>
      <w:r w:rsidR="003C5200" w:rsidRPr="00147D0A">
        <w:rPr>
          <w:rFonts w:ascii="Arial Hebrew" w:hAnsi="Arial Hebrew" w:cs="Arial Hebrew" w:hint="cs"/>
          <w:sz w:val="20"/>
          <w:szCs w:val="20"/>
        </w:rPr>
        <w:t>easures of service quality</w:t>
      </w:r>
      <w:r w:rsidRPr="00147D0A">
        <w:rPr>
          <w:rFonts w:ascii="Arial Hebrew" w:hAnsi="Arial Hebrew" w:cs="Arial Hebrew" w:hint="cs"/>
          <w:sz w:val="20"/>
          <w:szCs w:val="20"/>
        </w:rPr>
        <w:t xml:space="preserve"> are therefore</w:t>
      </w:r>
      <w:r w:rsidR="003C5200" w:rsidRPr="00147D0A">
        <w:rPr>
          <w:rFonts w:ascii="Arial Hebrew" w:hAnsi="Arial Hebrew" w:cs="Arial Hebrew" w:hint="cs"/>
          <w:sz w:val="20"/>
          <w:szCs w:val="20"/>
        </w:rPr>
        <w:t xml:space="preserve"> likely</w:t>
      </w:r>
      <w:r w:rsidR="00F334C0" w:rsidRPr="00147D0A">
        <w:rPr>
          <w:rFonts w:ascii="Arial Hebrew" w:hAnsi="Arial Hebrew" w:cs="Arial Hebrew" w:hint="cs"/>
          <w:sz w:val="20"/>
          <w:szCs w:val="20"/>
        </w:rPr>
        <w:t xml:space="preserve"> to</w:t>
      </w:r>
      <w:r w:rsidR="003C5200" w:rsidRPr="00147D0A">
        <w:rPr>
          <w:rFonts w:ascii="Arial Hebrew" w:hAnsi="Arial Hebrew" w:cs="Arial Hebrew" w:hint="cs"/>
          <w:sz w:val="20"/>
          <w:szCs w:val="20"/>
        </w:rPr>
        <w:t xml:space="preserve"> capture </w:t>
      </w:r>
      <w:r w:rsidR="00F70BFC" w:rsidRPr="00147D0A">
        <w:rPr>
          <w:rFonts w:ascii="Arial Hebrew" w:hAnsi="Arial Hebrew" w:cs="Arial Hebrew" w:hint="cs"/>
          <w:sz w:val="20"/>
          <w:szCs w:val="20"/>
        </w:rPr>
        <w:t>the broad collection of</w:t>
      </w:r>
      <w:r w:rsidR="003C5200" w:rsidRPr="00147D0A">
        <w:rPr>
          <w:rFonts w:ascii="Arial Hebrew" w:hAnsi="Arial Hebrew" w:cs="Arial Hebrew" w:hint="cs"/>
          <w:sz w:val="20"/>
          <w:szCs w:val="20"/>
        </w:rPr>
        <w:t xml:space="preserve"> </w:t>
      </w:r>
      <w:r w:rsidR="00F70BFC" w:rsidRPr="00147D0A">
        <w:rPr>
          <w:rFonts w:ascii="Arial Hebrew" w:hAnsi="Arial Hebrew" w:cs="Arial Hebrew" w:hint="cs"/>
          <w:sz w:val="20"/>
          <w:szCs w:val="20"/>
        </w:rPr>
        <w:t xml:space="preserve">intangibles </w:t>
      </w:r>
      <w:r w:rsidR="003C5200" w:rsidRPr="00147D0A">
        <w:rPr>
          <w:rFonts w:ascii="Arial Hebrew" w:hAnsi="Arial Hebrew" w:cs="Arial Hebrew" w:hint="cs"/>
          <w:sz w:val="20"/>
          <w:szCs w:val="20"/>
        </w:rPr>
        <w:t xml:space="preserve">represented </w:t>
      </w:r>
      <w:r w:rsidR="00EE7A61" w:rsidRPr="00147D0A">
        <w:rPr>
          <w:rFonts w:ascii="Arial Hebrew" w:hAnsi="Arial Hebrew" w:cs="Arial Hebrew" w:hint="cs"/>
          <w:sz w:val="20"/>
          <w:szCs w:val="20"/>
        </w:rPr>
        <w:t>in</w:t>
      </w:r>
      <w:r w:rsidR="003C5200" w:rsidRPr="00147D0A">
        <w:rPr>
          <w:rFonts w:ascii="Arial Hebrew" w:hAnsi="Arial Hebrew" w:cs="Arial Hebrew" w:hint="cs"/>
          <w:sz w:val="20"/>
          <w:szCs w:val="20"/>
        </w:rPr>
        <w:t xml:space="preserve"> the institutional and governance </w:t>
      </w:r>
      <w:r w:rsidR="00F334C0" w:rsidRPr="00147D0A">
        <w:rPr>
          <w:rFonts w:ascii="Arial Hebrew" w:hAnsi="Arial Hebrew" w:cs="Arial Hebrew" w:hint="cs"/>
          <w:sz w:val="20"/>
          <w:szCs w:val="20"/>
        </w:rPr>
        <w:t>factors</w:t>
      </w:r>
      <w:r w:rsidR="003C5200" w:rsidRPr="00147D0A">
        <w:rPr>
          <w:rFonts w:ascii="Arial Hebrew" w:hAnsi="Arial Hebrew" w:cs="Arial Hebrew" w:hint="cs"/>
          <w:sz w:val="20"/>
          <w:szCs w:val="20"/>
        </w:rPr>
        <w:t xml:space="preserve"> of credit assessments.</w:t>
      </w:r>
      <w:r w:rsidRPr="00147D0A">
        <w:rPr>
          <w:rFonts w:ascii="Arial Hebrew" w:hAnsi="Arial Hebrew" w:cs="Arial Hebrew" w:hint="cs"/>
          <w:sz w:val="20"/>
          <w:szCs w:val="20"/>
        </w:rPr>
        <w:t xml:space="preserve"> </w:t>
      </w:r>
      <w:r w:rsidR="000565F7" w:rsidRPr="00147D0A">
        <w:rPr>
          <w:rFonts w:ascii="Arial Hebrew" w:hAnsi="Arial Hebrew" w:cs="Arial Hebrew" w:hint="cs"/>
          <w:sz w:val="20"/>
          <w:szCs w:val="20"/>
        </w:rPr>
        <w:t>Government s</w:t>
      </w:r>
      <w:r w:rsidRPr="00147D0A">
        <w:rPr>
          <w:rFonts w:ascii="Arial Hebrew" w:hAnsi="Arial Hebrew" w:cs="Arial Hebrew" w:hint="cs"/>
          <w:sz w:val="20"/>
          <w:szCs w:val="20"/>
        </w:rPr>
        <w:t xml:space="preserve">ervice quality and its immediate determinants </w:t>
      </w:r>
      <w:r w:rsidR="00D57BB3" w:rsidRPr="00147D0A">
        <w:rPr>
          <w:rFonts w:ascii="Arial Hebrew" w:hAnsi="Arial Hebrew" w:cs="Arial Hebrew" w:hint="cs"/>
          <w:sz w:val="20"/>
          <w:szCs w:val="20"/>
        </w:rPr>
        <w:t>–</w:t>
      </w:r>
      <w:r w:rsidR="007960B2"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 xml:space="preserve">policy effectiveness and </w:t>
      </w:r>
      <w:r w:rsidR="007960B2" w:rsidRPr="00147D0A">
        <w:rPr>
          <w:rFonts w:ascii="Arial Hebrew" w:hAnsi="Arial Hebrew" w:cs="Arial Hebrew" w:hint="cs"/>
          <w:sz w:val="20"/>
          <w:szCs w:val="20"/>
        </w:rPr>
        <w:t xml:space="preserve">civil </w:t>
      </w:r>
      <w:r w:rsidRPr="00147D0A">
        <w:rPr>
          <w:rFonts w:ascii="Arial Hebrew" w:hAnsi="Arial Hebrew" w:cs="Arial Hebrew" w:hint="cs"/>
          <w:sz w:val="20"/>
          <w:szCs w:val="20"/>
        </w:rPr>
        <w:t>service professionalism</w:t>
      </w:r>
      <w:r w:rsidR="00D57BB3" w:rsidRPr="00147D0A">
        <w:rPr>
          <w:rFonts w:ascii="Arial Hebrew" w:hAnsi="Arial Hebrew" w:cs="Arial Hebrew" w:hint="cs"/>
          <w:sz w:val="20"/>
          <w:szCs w:val="20"/>
        </w:rPr>
        <w:t xml:space="preserve"> – </w:t>
      </w:r>
      <w:r w:rsidR="00EE7A61" w:rsidRPr="00147D0A">
        <w:rPr>
          <w:rFonts w:ascii="Arial Hebrew" w:hAnsi="Arial Hebrew" w:cs="Arial Hebrew" w:hint="cs"/>
          <w:sz w:val="20"/>
          <w:szCs w:val="20"/>
        </w:rPr>
        <w:t>are</w:t>
      </w:r>
      <w:r w:rsidR="007960B2" w:rsidRPr="00147D0A">
        <w:rPr>
          <w:rFonts w:ascii="Arial Hebrew" w:hAnsi="Arial Hebrew" w:cs="Arial Hebrew" w:hint="cs"/>
          <w:sz w:val="20"/>
          <w:szCs w:val="20"/>
        </w:rPr>
        <w:t xml:space="preserve"> the focus of o</w:t>
      </w:r>
      <w:r w:rsidRPr="00147D0A">
        <w:rPr>
          <w:rFonts w:ascii="Arial Hebrew" w:hAnsi="Arial Hebrew" w:cs="Arial Hebrew" w:hint="cs"/>
          <w:sz w:val="20"/>
          <w:szCs w:val="20"/>
        </w:rPr>
        <w:t>ne of the six WGIs</w:t>
      </w:r>
      <w:r w:rsidR="007960B2" w:rsidRPr="00147D0A">
        <w:rPr>
          <w:rFonts w:ascii="Arial Hebrew" w:hAnsi="Arial Hebrew" w:cs="Arial Hebrew" w:hint="cs"/>
          <w:sz w:val="20"/>
          <w:szCs w:val="20"/>
        </w:rPr>
        <w:t>;</w:t>
      </w:r>
      <w:r w:rsidRPr="00147D0A">
        <w:rPr>
          <w:rFonts w:ascii="Arial Hebrew" w:hAnsi="Arial Hebrew" w:cs="Arial Hebrew" w:hint="cs"/>
          <w:sz w:val="20"/>
          <w:szCs w:val="20"/>
        </w:rPr>
        <w:t xml:space="preserve"> the </w:t>
      </w:r>
      <w:r w:rsidRPr="00147D0A">
        <w:rPr>
          <w:rFonts w:ascii="Arial Hebrew" w:hAnsi="Arial Hebrew" w:cs="Arial Hebrew" w:hint="cs"/>
          <w:b/>
          <w:bCs/>
          <w:sz w:val="20"/>
          <w:szCs w:val="20"/>
        </w:rPr>
        <w:t>Government Effectiveness (GE) Index</w:t>
      </w:r>
      <w:r w:rsidR="00F5643B" w:rsidRPr="00147D0A">
        <w:rPr>
          <w:rFonts w:ascii="Arial Hebrew" w:hAnsi="Arial Hebrew" w:cs="Arial Hebrew" w:hint="cs"/>
          <w:sz w:val="20"/>
          <w:szCs w:val="20"/>
        </w:rPr>
        <w:t xml:space="preserve"> – </w:t>
      </w:r>
      <w:r w:rsidR="00EE7A61" w:rsidRPr="00147D0A">
        <w:rPr>
          <w:rFonts w:ascii="Arial Hebrew" w:hAnsi="Arial Hebrew" w:cs="Arial Hebrew" w:hint="cs"/>
          <w:sz w:val="20"/>
          <w:szCs w:val="20"/>
        </w:rPr>
        <w:t xml:space="preserve">which is </w:t>
      </w:r>
      <w:r w:rsidR="000565F7" w:rsidRPr="00147D0A">
        <w:rPr>
          <w:rFonts w:ascii="Arial Hebrew" w:hAnsi="Arial Hebrew" w:cs="Arial Hebrew" w:hint="cs"/>
          <w:sz w:val="20"/>
          <w:szCs w:val="20"/>
        </w:rPr>
        <w:t xml:space="preserve">currently </w:t>
      </w:r>
      <w:r w:rsidR="00F5643B" w:rsidRPr="00147D0A">
        <w:rPr>
          <w:rFonts w:ascii="Arial Hebrew" w:hAnsi="Arial Hebrew" w:cs="Arial Hebrew" w:hint="cs"/>
          <w:sz w:val="20"/>
          <w:szCs w:val="20"/>
        </w:rPr>
        <w:t>relied upon by all three agencies</w:t>
      </w:r>
      <w:r w:rsidR="00391F3D" w:rsidRPr="00147D0A">
        <w:rPr>
          <w:rFonts w:ascii="Arial Hebrew" w:hAnsi="Arial Hebrew" w:cs="Arial Hebrew" w:hint="cs"/>
          <w:sz w:val="20"/>
          <w:szCs w:val="20"/>
        </w:rPr>
        <w:t xml:space="preserve"> in their sovereign assessment frameworks</w:t>
      </w:r>
      <w:r w:rsidR="00F5643B" w:rsidRPr="00147D0A">
        <w:rPr>
          <w:rFonts w:ascii="Arial Hebrew" w:hAnsi="Arial Hebrew" w:cs="Arial Hebrew" w:hint="cs"/>
          <w:sz w:val="20"/>
          <w:szCs w:val="20"/>
        </w:rPr>
        <w:t>.</w:t>
      </w:r>
      <w:r w:rsidRPr="00147D0A">
        <w:rPr>
          <w:rFonts w:ascii="Arial Hebrew" w:hAnsi="Arial Hebrew" w:cs="Arial Hebrew" w:hint="cs"/>
          <w:sz w:val="20"/>
          <w:szCs w:val="20"/>
        </w:rPr>
        <w:t xml:space="preserve"> </w:t>
      </w:r>
      <w:r w:rsidR="00F334C0" w:rsidRPr="00147D0A">
        <w:rPr>
          <w:rFonts w:ascii="Arial Hebrew" w:hAnsi="Arial Hebrew" w:cs="Arial Hebrew" w:hint="cs"/>
          <w:sz w:val="20"/>
          <w:szCs w:val="20"/>
        </w:rPr>
        <w:t>Like other</w:t>
      </w:r>
      <w:r w:rsidR="007960B2" w:rsidRPr="00147D0A">
        <w:rPr>
          <w:rFonts w:ascii="Arial Hebrew" w:hAnsi="Arial Hebrew" w:cs="Arial Hebrew" w:hint="cs"/>
          <w:sz w:val="20"/>
          <w:szCs w:val="20"/>
        </w:rPr>
        <w:t xml:space="preserve"> WGIs, </w:t>
      </w:r>
      <w:r w:rsidR="00F334C0" w:rsidRPr="00147D0A">
        <w:rPr>
          <w:rFonts w:ascii="Arial Hebrew" w:hAnsi="Arial Hebrew" w:cs="Arial Hebrew" w:hint="cs"/>
          <w:sz w:val="20"/>
          <w:szCs w:val="20"/>
        </w:rPr>
        <w:t xml:space="preserve">the GE Index is an annual </w:t>
      </w:r>
      <w:r w:rsidR="00EE7A61" w:rsidRPr="00147D0A">
        <w:rPr>
          <w:rFonts w:ascii="Arial Hebrew" w:hAnsi="Arial Hebrew" w:cs="Arial Hebrew" w:hint="cs"/>
          <w:sz w:val="20"/>
          <w:szCs w:val="20"/>
        </w:rPr>
        <w:t xml:space="preserve">aggregate </w:t>
      </w:r>
      <w:r w:rsidR="00F334C0" w:rsidRPr="00147D0A">
        <w:rPr>
          <w:rFonts w:ascii="Arial Hebrew" w:hAnsi="Arial Hebrew" w:cs="Arial Hebrew" w:hint="cs"/>
          <w:sz w:val="20"/>
          <w:szCs w:val="20"/>
        </w:rPr>
        <w:t>statistic</w:t>
      </w:r>
      <w:r w:rsidR="00EE7A61" w:rsidRPr="00147D0A">
        <w:rPr>
          <w:rFonts w:ascii="Arial Hebrew" w:hAnsi="Arial Hebrew" w:cs="Arial Hebrew" w:hint="cs"/>
          <w:sz w:val="20"/>
          <w:szCs w:val="20"/>
        </w:rPr>
        <w:t xml:space="preserve"> at the national level</w:t>
      </w:r>
      <w:r w:rsidR="000565F7"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combin</w:t>
      </w:r>
      <w:r w:rsidR="000565F7" w:rsidRPr="00147D0A">
        <w:rPr>
          <w:rFonts w:ascii="Arial Hebrew" w:hAnsi="Arial Hebrew" w:cs="Arial Hebrew" w:hint="cs"/>
          <w:sz w:val="20"/>
          <w:szCs w:val="20"/>
        </w:rPr>
        <w:t>ing</w:t>
      </w:r>
      <w:r w:rsidR="00D57BB3" w:rsidRPr="00147D0A">
        <w:rPr>
          <w:rFonts w:ascii="Arial Hebrew" w:hAnsi="Arial Hebrew" w:cs="Arial Hebrew" w:hint="cs"/>
          <w:sz w:val="20"/>
          <w:szCs w:val="20"/>
        </w:rPr>
        <w:t xml:space="preserve"> slow-moving indicators from various sources </w:t>
      </w:r>
      <w:r w:rsidR="002E5290" w:rsidRPr="00147D0A">
        <w:rPr>
          <w:rFonts w:ascii="Arial Hebrew" w:hAnsi="Arial Hebrew" w:cs="Arial Hebrew" w:hint="cs"/>
          <w:sz w:val="20"/>
          <w:szCs w:val="20"/>
        </w:rPr>
        <w:t>which</w:t>
      </w:r>
      <w:r w:rsidR="00D57BB3" w:rsidRPr="00147D0A">
        <w:rPr>
          <w:rFonts w:ascii="Arial Hebrew" w:hAnsi="Arial Hebrew" w:cs="Arial Hebrew" w:hint="cs"/>
          <w:sz w:val="20"/>
          <w:szCs w:val="20"/>
        </w:rPr>
        <w:t xml:space="preserve"> vary in</w:t>
      </w:r>
      <w:r w:rsidR="00E45E5F"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 xml:space="preserve">rigour. </w:t>
      </w:r>
      <w:r w:rsidR="000565F7" w:rsidRPr="00147D0A">
        <w:rPr>
          <w:rFonts w:ascii="Arial Hebrew" w:hAnsi="Arial Hebrew" w:cs="Arial Hebrew" w:hint="cs"/>
          <w:sz w:val="20"/>
          <w:szCs w:val="20"/>
        </w:rPr>
        <w:t>A</w:t>
      </w:r>
      <w:r w:rsidR="00EE7A61" w:rsidRPr="00147D0A">
        <w:rPr>
          <w:rFonts w:ascii="Arial Hebrew" w:hAnsi="Arial Hebrew" w:cs="Arial Hebrew" w:hint="cs"/>
          <w:sz w:val="20"/>
          <w:szCs w:val="20"/>
        </w:rPr>
        <w:t>s a</w:t>
      </w:r>
      <w:r w:rsidR="000565F7" w:rsidRPr="00147D0A">
        <w:rPr>
          <w:rFonts w:ascii="Arial Hebrew" w:hAnsi="Arial Hebrew" w:cs="Arial Hebrew" w:hint="cs"/>
          <w:sz w:val="20"/>
          <w:szCs w:val="20"/>
        </w:rPr>
        <w:t xml:space="preserve"> </w:t>
      </w:r>
      <w:r w:rsidR="001B7EBD" w:rsidRPr="00147D0A">
        <w:rPr>
          <w:rFonts w:ascii="Arial Hebrew" w:hAnsi="Arial Hebrew" w:cs="Arial Hebrew" w:hint="cs"/>
          <w:sz w:val="20"/>
          <w:szCs w:val="20"/>
        </w:rPr>
        <w:t xml:space="preserve">general governance indicator rather than a specific measure of service quality, </w:t>
      </w:r>
      <w:r w:rsidR="000565F7" w:rsidRPr="00147D0A">
        <w:rPr>
          <w:rFonts w:ascii="Arial Hebrew" w:hAnsi="Arial Hebrew" w:cs="Arial Hebrew" w:hint="cs"/>
          <w:sz w:val="20"/>
          <w:szCs w:val="20"/>
        </w:rPr>
        <w:t xml:space="preserve">the GE Index is largely </w:t>
      </w:r>
      <w:r w:rsidR="00D57BB3" w:rsidRPr="00147D0A">
        <w:rPr>
          <w:rFonts w:ascii="Arial Hebrew" w:hAnsi="Arial Hebrew" w:cs="Arial Hebrew" w:hint="cs"/>
          <w:sz w:val="20"/>
          <w:szCs w:val="20"/>
        </w:rPr>
        <w:t>derive</w:t>
      </w:r>
      <w:r w:rsidR="001B7EBD" w:rsidRPr="00147D0A">
        <w:rPr>
          <w:rFonts w:ascii="Arial Hebrew" w:hAnsi="Arial Hebrew" w:cs="Arial Hebrew" w:hint="cs"/>
          <w:sz w:val="20"/>
          <w:szCs w:val="20"/>
        </w:rPr>
        <w:t>d</w:t>
      </w:r>
      <w:r w:rsidR="00D57BB3" w:rsidRPr="00147D0A">
        <w:rPr>
          <w:rFonts w:ascii="Arial Hebrew" w:hAnsi="Arial Hebrew" w:cs="Arial Hebrew" w:hint="cs"/>
          <w:sz w:val="20"/>
          <w:szCs w:val="20"/>
        </w:rPr>
        <w:t xml:space="preserve"> from</w:t>
      </w:r>
      <w:r w:rsidR="00E45E5F" w:rsidRPr="00147D0A">
        <w:rPr>
          <w:rFonts w:ascii="Arial Hebrew" w:hAnsi="Arial Hebrew" w:cs="Arial Hebrew" w:hint="cs"/>
          <w:sz w:val="20"/>
          <w:szCs w:val="20"/>
        </w:rPr>
        <w:t xml:space="preserve"> infrequent,</w:t>
      </w:r>
      <w:r w:rsidR="006A4070" w:rsidRPr="00147D0A">
        <w:rPr>
          <w:rFonts w:ascii="Arial Hebrew" w:hAnsi="Arial Hebrew" w:cs="Arial Hebrew" w:hint="cs"/>
          <w:sz w:val="20"/>
          <w:szCs w:val="20"/>
        </w:rPr>
        <w:t xml:space="preserve"> </w:t>
      </w:r>
      <w:r w:rsidR="00D57BB3" w:rsidRPr="00147D0A">
        <w:rPr>
          <w:rFonts w:ascii="Arial Hebrew" w:hAnsi="Arial Hebrew" w:cs="Arial Hebrew" w:hint="cs"/>
          <w:sz w:val="20"/>
          <w:szCs w:val="20"/>
        </w:rPr>
        <w:t>subjective appraisals of bureaucratic competence by external analysts</w:t>
      </w:r>
      <w:r w:rsidR="002E5290" w:rsidRPr="00147D0A">
        <w:rPr>
          <w:rFonts w:ascii="Arial Hebrew" w:hAnsi="Arial Hebrew" w:cs="Arial Hebrew" w:hint="cs"/>
          <w:sz w:val="20"/>
          <w:szCs w:val="20"/>
        </w:rPr>
        <w:t>,</w:t>
      </w:r>
      <w:r w:rsidR="00D57BB3" w:rsidRPr="00147D0A">
        <w:rPr>
          <w:rFonts w:ascii="Arial Hebrew" w:hAnsi="Arial Hebrew" w:cs="Arial Hebrew" w:hint="cs"/>
          <w:sz w:val="20"/>
          <w:szCs w:val="20"/>
        </w:rPr>
        <w:t xml:space="preserve"> a</w:t>
      </w:r>
      <w:r w:rsidR="002E5290" w:rsidRPr="00147D0A">
        <w:rPr>
          <w:rFonts w:ascii="Arial Hebrew" w:hAnsi="Arial Hebrew" w:cs="Arial Hebrew" w:hint="cs"/>
          <w:sz w:val="20"/>
          <w:szCs w:val="20"/>
        </w:rPr>
        <w:t>long</w:t>
      </w:r>
      <w:r w:rsidR="00D57BB3" w:rsidRPr="00147D0A">
        <w:rPr>
          <w:rFonts w:ascii="Arial Hebrew" w:hAnsi="Arial Hebrew" w:cs="Arial Hebrew" w:hint="cs"/>
          <w:sz w:val="20"/>
          <w:szCs w:val="20"/>
        </w:rPr>
        <w:t xml:space="preserve"> </w:t>
      </w:r>
      <w:r w:rsidR="002E5290" w:rsidRPr="00147D0A">
        <w:rPr>
          <w:rFonts w:ascii="Arial Hebrew" w:hAnsi="Arial Hebrew" w:cs="Arial Hebrew" w:hint="cs"/>
          <w:sz w:val="20"/>
          <w:szCs w:val="20"/>
        </w:rPr>
        <w:t xml:space="preserve">with results of </w:t>
      </w:r>
      <w:r w:rsidR="006A4070" w:rsidRPr="00147D0A">
        <w:rPr>
          <w:rFonts w:ascii="Arial Hebrew" w:hAnsi="Arial Hebrew" w:cs="Arial Hebrew" w:hint="cs"/>
          <w:sz w:val="20"/>
          <w:szCs w:val="20"/>
        </w:rPr>
        <w:t xml:space="preserve">perception-based </w:t>
      </w:r>
      <w:r w:rsidR="002E5290" w:rsidRPr="00147D0A">
        <w:rPr>
          <w:rFonts w:ascii="Arial Hebrew" w:hAnsi="Arial Hebrew" w:cs="Arial Hebrew" w:hint="cs"/>
          <w:sz w:val="20"/>
          <w:szCs w:val="20"/>
        </w:rPr>
        <w:t xml:space="preserve">citizen and business </w:t>
      </w:r>
      <w:r w:rsidR="006A4070" w:rsidRPr="00147D0A">
        <w:rPr>
          <w:rFonts w:ascii="Arial Hebrew" w:hAnsi="Arial Hebrew" w:cs="Arial Hebrew" w:hint="cs"/>
          <w:sz w:val="20"/>
          <w:szCs w:val="20"/>
        </w:rPr>
        <w:t>surveys</w:t>
      </w:r>
      <w:r w:rsidR="002E5290" w:rsidRPr="00147D0A">
        <w:rPr>
          <w:rFonts w:ascii="Arial Hebrew" w:hAnsi="Arial Hebrew" w:cs="Arial Hebrew" w:hint="cs"/>
          <w:sz w:val="20"/>
          <w:szCs w:val="20"/>
        </w:rPr>
        <w:t>.</w:t>
      </w:r>
      <w:r w:rsidR="00D57BB3" w:rsidRPr="00147D0A">
        <w:rPr>
          <w:rFonts w:ascii="Arial Hebrew" w:hAnsi="Arial Hebrew" w:cs="Arial Hebrew" w:hint="cs"/>
          <w:sz w:val="20"/>
          <w:szCs w:val="20"/>
        </w:rPr>
        <w:t xml:space="preserve"> </w:t>
      </w:r>
      <w:r w:rsidR="002E5290" w:rsidRPr="00147D0A">
        <w:rPr>
          <w:rFonts w:ascii="Arial Hebrew" w:hAnsi="Arial Hebrew" w:cs="Arial Hebrew" w:hint="cs"/>
          <w:sz w:val="20"/>
          <w:szCs w:val="20"/>
        </w:rPr>
        <w:t>These</w:t>
      </w:r>
      <w:r w:rsidR="00391F3D" w:rsidRPr="00147D0A">
        <w:rPr>
          <w:rFonts w:ascii="Arial Hebrew" w:hAnsi="Arial Hebrew" w:cs="Arial Hebrew" w:hint="cs"/>
          <w:sz w:val="20"/>
          <w:szCs w:val="20"/>
        </w:rPr>
        <w:t xml:space="preserve"> inputs</w:t>
      </w:r>
      <w:r w:rsidR="002E5290" w:rsidRPr="00147D0A">
        <w:rPr>
          <w:rFonts w:ascii="Arial Hebrew" w:hAnsi="Arial Hebrew" w:cs="Arial Hebrew" w:hint="cs"/>
          <w:sz w:val="20"/>
          <w:szCs w:val="20"/>
        </w:rPr>
        <w:t xml:space="preserve"> are </w:t>
      </w:r>
      <w:r w:rsidR="00D57BB3" w:rsidRPr="00147D0A">
        <w:rPr>
          <w:rFonts w:ascii="Arial Hebrew" w:hAnsi="Arial Hebrew" w:cs="Arial Hebrew" w:hint="cs"/>
          <w:sz w:val="20"/>
          <w:szCs w:val="20"/>
        </w:rPr>
        <w:t xml:space="preserve">subject to wide variability, </w:t>
      </w:r>
      <w:r w:rsidR="00953A29" w:rsidRPr="00147D0A">
        <w:rPr>
          <w:rFonts w:ascii="Arial Hebrew" w:hAnsi="Arial Hebrew" w:cs="Arial Hebrew" w:hint="cs"/>
          <w:sz w:val="20"/>
          <w:szCs w:val="20"/>
        </w:rPr>
        <w:t xml:space="preserve">attribution </w:t>
      </w:r>
      <w:r w:rsidR="00D57BB3" w:rsidRPr="00147D0A">
        <w:rPr>
          <w:rFonts w:ascii="Arial Hebrew" w:hAnsi="Arial Hebrew" w:cs="Arial Hebrew" w:hint="cs"/>
          <w:sz w:val="20"/>
          <w:szCs w:val="20"/>
        </w:rPr>
        <w:t>bias, and substantial delays in captur</w:t>
      </w:r>
      <w:r w:rsidR="00391F3D" w:rsidRPr="00147D0A">
        <w:rPr>
          <w:rFonts w:ascii="Arial Hebrew" w:hAnsi="Arial Hebrew" w:cs="Arial Hebrew" w:hint="cs"/>
          <w:sz w:val="20"/>
          <w:szCs w:val="20"/>
        </w:rPr>
        <w:t>ing</w:t>
      </w:r>
      <w:r w:rsidR="00D57BB3" w:rsidRPr="00147D0A">
        <w:rPr>
          <w:rFonts w:ascii="Arial Hebrew" w:hAnsi="Arial Hebrew" w:cs="Arial Hebrew" w:hint="cs"/>
          <w:sz w:val="20"/>
          <w:szCs w:val="20"/>
        </w:rPr>
        <w:t xml:space="preserve"> improvements or deteriorations in service </w:t>
      </w:r>
      <w:r w:rsidR="002E5290" w:rsidRPr="00147D0A">
        <w:rPr>
          <w:rFonts w:ascii="Arial Hebrew" w:hAnsi="Arial Hebrew" w:cs="Arial Hebrew" w:hint="cs"/>
          <w:sz w:val="20"/>
          <w:szCs w:val="20"/>
        </w:rPr>
        <w:t>quality</w:t>
      </w:r>
      <w:r w:rsidR="00EE7A61" w:rsidRPr="00147D0A">
        <w:rPr>
          <w:rFonts w:ascii="Arial Hebrew" w:hAnsi="Arial Hebrew" w:cs="Arial Hebrew" w:hint="cs"/>
          <w:sz w:val="20"/>
          <w:szCs w:val="20"/>
        </w:rPr>
        <w:t xml:space="preserve">, and </w:t>
      </w:r>
      <w:r w:rsidR="00E3594F" w:rsidRPr="00147D0A">
        <w:rPr>
          <w:rFonts w:ascii="Arial Hebrew" w:hAnsi="Arial Hebrew" w:cs="Arial Hebrew" w:hint="cs"/>
          <w:sz w:val="20"/>
          <w:szCs w:val="20"/>
        </w:rPr>
        <w:t xml:space="preserve">may also be </w:t>
      </w:r>
      <w:r w:rsidR="00EE7A61" w:rsidRPr="00147D0A">
        <w:rPr>
          <w:rFonts w:ascii="Arial Hebrew" w:hAnsi="Arial Hebrew" w:cs="Arial Hebrew" w:hint="cs"/>
          <w:sz w:val="20"/>
          <w:szCs w:val="20"/>
        </w:rPr>
        <w:t>influenced</w:t>
      </w:r>
      <w:r w:rsidR="00E3594F" w:rsidRPr="00147D0A">
        <w:rPr>
          <w:rFonts w:ascii="Arial Hebrew" w:hAnsi="Arial Hebrew" w:cs="Arial Hebrew" w:hint="cs"/>
          <w:sz w:val="20"/>
          <w:szCs w:val="20"/>
        </w:rPr>
        <w:t xml:space="preserve"> by </w:t>
      </w:r>
      <w:r w:rsidR="00391F3D" w:rsidRPr="00147D0A">
        <w:rPr>
          <w:rFonts w:ascii="Arial Hebrew" w:hAnsi="Arial Hebrew" w:cs="Arial Hebrew" w:hint="cs"/>
          <w:sz w:val="20"/>
          <w:szCs w:val="20"/>
        </w:rPr>
        <w:t xml:space="preserve">media coverage, </w:t>
      </w:r>
      <w:r w:rsidR="00E3594F" w:rsidRPr="00147D0A">
        <w:rPr>
          <w:rFonts w:ascii="Arial Hebrew" w:hAnsi="Arial Hebrew" w:cs="Arial Hebrew" w:hint="cs"/>
          <w:sz w:val="20"/>
          <w:szCs w:val="20"/>
        </w:rPr>
        <w:t>political polari</w:t>
      </w:r>
      <w:r w:rsidR="000101C3" w:rsidRPr="00147D0A">
        <w:rPr>
          <w:rFonts w:ascii="Arial Hebrew" w:hAnsi="Arial Hebrew" w:cs="Arial Hebrew" w:hint="cs"/>
          <w:sz w:val="20"/>
          <w:szCs w:val="20"/>
        </w:rPr>
        <w:t>s</w:t>
      </w:r>
      <w:r w:rsidR="00E3594F" w:rsidRPr="00147D0A">
        <w:rPr>
          <w:rFonts w:ascii="Arial Hebrew" w:hAnsi="Arial Hebrew" w:cs="Arial Hebrew" w:hint="cs"/>
          <w:sz w:val="20"/>
          <w:szCs w:val="20"/>
        </w:rPr>
        <w:t xml:space="preserve">ation, </w:t>
      </w:r>
      <w:r w:rsidR="00391F3D" w:rsidRPr="00147D0A">
        <w:rPr>
          <w:rFonts w:ascii="Arial Hebrew" w:hAnsi="Arial Hebrew" w:cs="Arial Hebrew" w:hint="cs"/>
          <w:sz w:val="20"/>
          <w:szCs w:val="20"/>
        </w:rPr>
        <w:t xml:space="preserve">pro-cyclical sentiment, </w:t>
      </w:r>
      <w:r w:rsidR="00E3594F" w:rsidRPr="00147D0A">
        <w:rPr>
          <w:rFonts w:ascii="Arial Hebrew" w:hAnsi="Arial Hebrew" w:cs="Arial Hebrew" w:hint="cs"/>
          <w:sz w:val="20"/>
          <w:szCs w:val="20"/>
        </w:rPr>
        <w:t xml:space="preserve">and other factors </w:t>
      </w:r>
      <w:r w:rsidR="00953A29" w:rsidRPr="00147D0A">
        <w:rPr>
          <w:rFonts w:ascii="Arial Hebrew" w:hAnsi="Arial Hebrew" w:cs="Arial Hebrew" w:hint="cs"/>
          <w:sz w:val="20"/>
          <w:szCs w:val="20"/>
        </w:rPr>
        <w:t xml:space="preserve">that </w:t>
      </w:r>
      <w:r w:rsidR="00EE7A61" w:rsidRPr="00147D0A">
        <w:rPr>
          <w:rFonts w:ascii="Arial Hebrew" w:hAnsi="Arial Hebrew" w:cs="Arial Hebrew" w:hint="cs"/>
          <w:sz w:val="20"/>
          <w:szCs w:val="20"/>
        </w:rPr>
        <w:t xml:space="preserve">are </w:t>
      </w:r>
      <w:r w:rsidR="00E3594F" w:rsidRPr="00147D0A">
        <w:rPr>
          <w:rFonts w:ascii="Arial Hebrew" w:hAnsi="Arial Hebrew" w:cs="Arial Hebrew" w:hint="cs"/>
          <w:sz w:val="20"/>
          <w:szCs w:val="20"/>
        </w:rPr>
        <w:t xml:space="preserve">unrelated to </w:t>
      </w:r>
      <w:r w:rsidR="00EE7A61" w:rsidRPr="00147D0A">
        <w:rPr>
          <w:rFonts w:ascii="Arial Hebrew" w:hAnsi="Arial Hebrew" w:cs="Arial Hebrew" w:hint="cs"/>
          <w:sz w:val="20"/>
          <w:szCs w:val="20"/>
        </w:rPr>
        <w:t>observable</w:t>
      </w:r>
      <w:r w:rsidR="00E3594F" w:rsidRPr="00147D0A">
        <w:rPr>
          <w:rFonts w:ascii="Arial Hebrew" w:hAnsi="Arial Hebrew" w:cs="Arial Hebrew" w:hint="cs"/>
          <w:sz w:val="20"/>
          <w:szCs w:val="20"/>
        </w:rPr>
        <w:t xml:space="preserve"> service delivery. </w:t>
      </w:r>
      <w:r w:rsidR="00EE7A61" w:rsidRPr="00147D0A">
        <w:rPr>
          <w:rFonts w:ascii="Arial Hebrew" w:hAnsi="Arial Hebrew" w:cs="Arial Hebrew" w:hint="cs"/>
          <w:sz w:val="20"/>
          <w:szCs w:val="20"/>
        </w:rPr>
        <w:t>As with the other WGIs, t</w:t>
      </w:r>
      <w:r w:rsidR="001B7EBD" w:rsidRPr="00147D0A">
        <w:rPr>
          <w:rFonts w:ascii="Arial Hebrew" w:hAnsi="Arial Hebrew" w:cs="Arial Hebrew" w:hint="cs"/>
          <w:sz w:val="20"/>
          <w:szCs w:val="20"/>
        </w:rPr>
        <w:t xml:space="preserve">he complexity of the statistical techniques used to </w:t>
      </w:r>
      <w:r w:rsidR="00B36C62" w:rsidRPr="00147D0A">
        <w:rPr>
          <w:rFonts w:ascii="Arial Hebrew" w:hAnsi="Arial Hebrew" w:cs="Arial Hebrew" w:hint="cs"/>
          <w:sz w:val="20"/>
          <w:szCs w:val="20"/>
        </w:rPr>
        <w:t xml:space="preserve">produce the </w:t>
      </w:r>
      <w:r w:rsidR="00546B0A" w:rsidRPr="00147D0A">
        <w:rPr>
          <w:rFonts w:ascii="Arial Hebrew" w:hAnsi="Arial Hebrew" w:cs="Arial Hebrew" w:hint="cs"/>
          <w:sz w:val="20"/>
          <w:szCs w:val="20"/>
        </w:rPr>
        <w:t xml:space="preserve">GE </w:t>
      </w:r>
      <w:r w:rsidR="00B36C62" w:rsidRPr="00147D0A">
        <w:rPr>
          <w:rFonts w:ascii="Arial Hebrew" w:hAnsi="Arial Hebrew" w:cs="Arial Hebrew" w:hint="cs"/>
          <w:sz w:val="20"/>
          <w:szCs w:val="20"/>
        </w:rPr>
        <w:t>Index</w:t>
      </w:r>
      <w:r w:rsidR="001B7EBD" w:rsidRPr="00147D0A">
        <w:rPr>
          <w:rFonts w:ascii="Arial Hebrew" w:hAnsi="Arial Hebrew" w:cs="Arial Hebrew" w:hint="cs"/>
          <w:sz w:val="20"/>
          <w:szCs w:val="20"/>
        </w:rPr>
        <w:t xml:space="preserve">, along with </w:t>
      </w:r>
      <w:r w:rsidR="00EE7A61" w:rsidRPr="00147D0A">
        <w:rPr>
          <w:rFonts w:ascii="Arial Hebrew" w:hAnsi="Arial Hebrew" w:cs="Arial Hebrew" w:hint="cs"/>
          <w:sz w:val="20"/>
          <w:szCs w:val="20"/>
        </w:rPr>
        <w:t>the</w:t>
      </w:r>
      <w:r w:rsidR="001B7EBD" w:rsidRPr="00147D0A">
        <w:rPr>
          <w:rFonts w:ascii="Arial Hebrew" w:hAnsi="Arial Hebrew" w:cs="Arial Hebrew" w:hint="cs"/>
          <w:sz w:val="20"/>
          <w:szCs w:val="20"/>
        </w:rPr>
        <w:t xml:space="preserve"> broad</w:t>
      </w:r>
      <w:r w:rsidR="00EE7A61" w:rsidRPr="00147D0A">
        <w:rPr>
          <w:rFonts w:ascii="Arial Hebrew" w:hAnsi="Arial Hebrew" w:cs="Arial Hebrew" w:hint="cs"/>
          <w:sz w:val="20"/>
          <w:szCs w:val="20"/>
        </w:rPr>
        <w:t xml:space="preserve"> scope of its</w:t>
      </w:r>
      <w:r w:rsidR="001B7EBD" w:rsidRPr="00147D0A">
        <w:rPr>
          <w:rFonts w:ascii="Arial Hebrew" w:hAnsi="Arial Hebrew" w:cs="Arial Hebrew" w:hint="cs"/>
          <w:sz w:val="20"/>
          <w:szCs w:val="20"/>
        </w:rPr>
        <w:t xml:space="preserve"> definition</w:t>
      </w:r>
      <w:r w:rsidR="00B36C62" w:rsidRPr="00147D0A">
        <w:rPr>
          <w:rFonts w:ascii="Arial Hebrew" w:hAnsi="Arial Hebrew" w:cs="Arial Hebrew" w:hint="cs"/>
          <w:sz w:val="20"/>
          <w:szCs w:val="20"/>
        </w:rPr>
        <w:t xml:space="preserve">, make </w:t>
      </w:r>
      <w:r w:rsidR="001B7EBD" w:rsidRPr="00147D0A">
        <w:rPr>
          <w:rFonts w:ascii="Arial Hebrew" w:hAnsi="Arial Hebrew" w:cs="Arial Hebrew" w:hint="cs"/>
          <w:sz w:val="20"/>
          <w:szCs w:val="20"/>
        </w:rPr>
        <w:t xml:space="preserve">specific aspects of governance </w:t>
      </w:r>
      <w:r w:rsidR="00EE7A61" w:rsidRPr="00147D0A">
        <w:rPr>
          <w:rFonts w:ascii="Arial Hebrew" w:hAnsi="Arial Hebrew" w:cs="Arial Hebrew" w:hint="cs"/>
          <w:sz w:val="20"/>
          <w:szCs w:val="20"/>
        </w:rPr>
        <w:t>that d</w:t>
      </w:r>
      <w:r w:rsidR="001B7EBD" w:rsidRPr="00147D0A">
        <w:rPr>
          <w:rFonts w:ascii="Arial Hebrew" w:hAnsi="Arial Hebrew" w:cs="Arial Hebrew" w:hint="cs"/>
          <w:sz w:val="20"/>
          <w:szCs w:val="20"/>
        </w:rPr>
        <w:t>riv</w:t>
      </w:r>
      <w:r w:rsidR="00EE7A61" w:rsidRPr="00147D0A">
        <w:rPr>
          <w:rFonts w:ascii="Arial Hebrew" w:hAnsi="Arial Hebrew" w:cs="Arial Hebrew" w:hint="cs"/>
          <w:sz w:val="20"/>
          <w:szCs w:val="20"/>
        </w:rPr>
        <w:t>e</w:t>
      </w:r>
      <w:r w:rsidR="001B7EBD" w:rsidRPr="00147D0A">
        <w:rPr>
          <w:rFonts w:ascii="Arial Hebrew" w:hAnsi="Arial Hebrew" w:cs="Arial Hebrew" w:hint="cs"/>
          <w:sz w:val="20"/>
          <w:szCs w:val="20"/>
        </w:rPr>
        <w:t xml:space="preserve"> </w:t>
      </w:r>
      <w:r w:rsidR="00B36C62" w:rsidRPr="00147D0A">
        <w:rPr>
          <w:rFonts w:ascii="Arial Hebrew" w:hAnsi="Arial Hebrew" w:cs="Arial Hebrew" w:hint="cs"/>
          <w:sz w:val="20"/>
          <w:szCs w:val="20"/>
        </w:rPr>
        <w:t xml:space="preserve">its impact on </w:t>
      </w:r>
      <w:r w:rsidR="00EE7A61" w:rsidRPr="00147D0A">
        <w:rPr>
          <w:rFonts w:ascii="Arial Hebrew" w:hAnsi="Arial Hebrew" w:cs="Arial Hebrew" w:hint="cs"/>
          <w:sz w:val="20"/>
          <w:szCs w:val="20"/>
        </w:rPr>
        <w:t>credit</w:t>
      </w:r>
      <w:r w:rsidR="001B7EBD" w:rsidRPr="00147D0A">
        <w:rPr>
          <w:rFonts w:ascii="Arial Hebrew" w:hAnsi="Arial Hebrew" w:cs="Arial Hebrew" w:hint="cs"/>
          <w:sz w:val="20"/>
          <w:szCs w:val="20"/>
        </w:rPr>
        <w:t xml:space="preserve"> assessments</w:t>
      </w:r>
      <w:r w:rsidR="00EE7A61" w:rsidRPr="00147D0A">
        <w:rPr>
          <w:rFonts w:ascii="Arial Hebrew" w:hAnsi="Arial Hebrew" w:cs="Arial Hebrew" w:hint="cs"/>
          <w:sz w:val="20"/>
          <w:szCs w:val="20"/>
        </w:rPr>
        <w:t xml:space="preserve"> difficult to identify</w:t>
      </w:r>
      <w:r w:rsidR="00B36C62" w:rsidRPr="00147D0A">
        <w:rPr>
          <w:rFonts w:ascii="Arial Hebrew" w:hAnsi="Arial Hebrew" w:cs="Arial Hebrew" w:hint="cs"/>
          <w:sz w:val="20"/>
          <w:szCs w:val="20"/>
        </w:rPr>
        <w:t>. Like the other WGIs, it is also unsuitable for measuring change</w:t>
      </w:r>
      <w:r w:rsidR="00C666EB" w:rsidRPr="00147D0A">
        <w:rPr>
          <w:rFonts w:ascii="Arial Hebrew" w:hAnsi="Arial Hebrew" w:cs="Arial Hebrew" w:hint="cs"/>
          <w:sz w:val="20"/>
          <w:szCs w:val="20"/>
        </w:rPr>
        <w:t>s</w:t>
      </w:r>
      <w:r w:rsidR="00B36C62" w:rsidRPr="00147D0A">
        <w:rPr>
          <w:rFonts w:ascii="Arial Hebrew" w:hAnsi="Arial Hebrew" w:cs="Arial Hebrew" w:hint="cs"/>
          <w:sz w:val="20"/>
          <w:szCs w:val="20"/>
        </w:rPr>
        <w:t xml:space="preserve"> over time, as </w:t>
      </w:r>
      <w:r w:rsidR="00EE7A61" w:rsidRPr="00147D0A">
        <w:rPr>
          <w:rFonts w:ascii="Arial Hebrew" w:hAnsi="Arial Hebrew" w:cs="Arial Hebrew" w:hint="cs"/>
          <w:sz w:val="20"/>
          <w:szCs w:val="20"/>
        </w:rPr>
        <w:t>its s</w:t>
      </w:r>
      <w:r w:rsidR="00B36C62" w:rsidRPr="00147D0A">
        <w:rPr>
          <w:rFonts w:ascii="Arial Hebrew" w:hAnsi="Arial Hebrew" w:cs="Arial Hebrew" w:hint="cs"/>
          <w:sz w:val="20"/>
          <w:szCs w:val="20"/>
        </w:rPr>
        <w:t xml:space="preserve">cores are </w:t>
      </w:r>
      <w:r w:rsidR="00953A29" w:rsidRPr="00147D0A">
        <w:rPr>
          <w:rFonts w:ascii="Arial Hebrew" w:hAnsi="Arial Hebrew" w:cs="Arial Hebrew" w:hint="cs"/>
          <w:sz w:val="20"/>
          <w:szCs w:val="20"/>
        </w:rPr>
        <w:t xml:space="preserve">calculated </w:t>
      </w:r>
      <w:r w:rsidR="00B36C62" w:rsidRPr="00147D0A">
        <w:rPr>
          <w:rFonts w:ascii="Arial Hebrew" w:hAnsi="Arial Hebrew" w:cs="Arial Hebrew" w:hint="cs"/>
          <w:sz w:val="20"/>
          <w:szCs w:val="20"/>
        </w:rPr>
        <w:t>relativ</w:t>
      </w:r>
      <w:r w:rsidR="00EE7A61" w:rsidRPr="00147D0A">
        <w:rPr>
          <w:rFonts w:ascii="Arial Hebrew" w:hAnsi="Arial Hebrew" w:cs="Arial Hebrew" w:hint="cs"/>
          <w:sz w:val="20"/>
          <w:szCs w:val="20"/>
        </w:rPr>
        <w:t>e</w:t>
      </w:r>
      <w:r w:rsidR="00B36C62" w:rsidRPr="00147D0A">
        <w:rPr>
          <w:rFonts w:ascii="Arial Hebrew" w:hAnsi="Arial Hebrew" w:cs="Arial Hebrew" w:hint="cs"/>
          <w:sz w:val="20"/>
          <w:szCs w:val="20"/>
        </w:rPr>
        <w:t xml:space="preserve"> to </w:t>
      </w:r>
      <w:r w:rsidR="00F475EC" w:rsidRPr="00147D0A">
        <w:rPr>
          <w:rFonts w:ascii="Arial Hebrew" w:hAnsi="Arial Hebrew" w:cs="Arial Hebrew" w:hint="cs"/>
          <w:sz w:val="20"/>
          <w:szCs w:val="20"/>
        </w:rPr>
        <w:t>the</w:t>
      </w:r>
      <w:r w:rsidR="00B36C62" w:rsidRPr="00147D0A">
        <w:rPr>
          <w:rFonts w:ascii="Arial Hebrew" w:hAnsi="Arial Hebrew" w:cs="Arial Hebrew" w:hint="cs"/>
          <w:sz w:val="20"/>
          <w:szCs w:val="20"/>
        </w:rPr>
        <w:t xml:space="preserve"> global distribution </w:t>
      </w:r>
      <w:r w:rsidR="00F475EC" w:rsidRPr="00147D0A">
        <w:rPr>
          <w:rFonts w:ascii="Arial Hebrew" w:hAnsi="Arial Hebrew" w:cs="Arial Hebrew" w:hint="cs"/>
          <w:sz w:val="20"/>
          <w:szCs w:val="20"/>
        </w:rPr>
        <w:t>for</w:t>
      </w:r>
      <w:r w:rsidR="00B36C62" w:rsidRPr="00147D0A">
        <w:rPr>
          <w:rFonts w:ascii="Arial Hebrew" w:hAnsi="Arial Hebrew" w:cs="Arial Hebrew" w:hint="cs"/>
          <w:sz w:val="20"/>
          <w:szCs w:val="20"/>
        </w:rPr>
        <w:t xml:space="preserve"> </w:t>
      </w:r>
      <w:r w:rsidR="00953A29" w:rsidRPr="00147D0A">
        <w:rPr>
          <w:rFonts w:ascii="Arial Hebrew" w:hAnsi="Arial Hebrew" w:cs="Arial Hebrew" w:hint="cs"/>
          <w:sz w:val="20"/>
          <w:szCs w:val="20"/>
        </w:rPr>
        <w:t>each</w:t>
      </w:r>
      <w:r w:rsidR="006C5CD9" w:rsidRPr="00147D0A">
        <w:rPr>
          <w:rFonts w:ascii="Arial Hebrew" w:hAnsi="Arial Hebrew" w:cs="Arial Hebrew" w:hint="cs"/>
          <w:sz w:val="20"/>
          <w:szCs w:val="20"/>
        </w:rPr>
        <w:t xml:space="preserve"> </w:t>
      </w:r>
      <w:r w:rsidR="00953A29" w:rsidRPr="00147D0A">
        <w:rPr>
          <w:rFonts w:ascii="Arial Hebrew" w:hAnsi="Arial Hebrew" w:cs="Arial Hebrew" w:hint="cs"/>
          <w:sz w:val="20"/>
          <w:szCs w:val="20"/>
        </w:rPr>
        <w:t xml:space="preserve">specific </w:t>
      </w:r>
      <w:r w:rsidR="00B36C62" w:rsidRPr="00147D0A">
        <w:rPr>
          <w:rFonts w:ascii="Arial Hebrew" w:hAnsi="Arial Hebrew" w:cs="Arial Hebrew" w:hint="cs"/>
          <w:sz w:val="20"/>
          <w:szCs w:val="20"/>
        </w:rPr>
        <w:t>year.</w:t>
      </w:r>
    </w:p>
    <w:p w14:paraId="799367A3" w14:textId="77777777" w:rsidR="00487E85" w:rsidRPr="00147D0A" w:rsidRDefault="00487E85" w:rsidP="00135D46">
      <w:pPr>
        <w:spacing w:line="360" w:lineRule="auto"/>
        <w:ind w:firstLine="720"/>
        <w:jc w:val="both"/>
        <w:rPr>
          <w:rFonts w:ascii="Arial Hebrew" w:hAnsi="Arial Hebrew" w:cs="Arial Hebrew"/>
          <w:color w:val="000000" w:themeColor="text1"/>
          <w:sz w:val="20"/>
          <w:szCs w:val="20"/>
        </w:rPr>
      </w:pPr>
    </w:p>
    <w:p w14:paraId="52B5CBF9" w14:textId="2E4DD1FD" w:rsidR="00AD348E" w:rsidRPr="00147D0A" w:rsidRDefault="00953A29" w:rsidP="00135D46">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A</w:t>
      </w:r>
      <w:r w:rsidR="00D57BB3" w:rsidRPr="00147D0A">
        <w:rPr>
          <w:rFonts w:ascii="Arial Hebrew" w:hAnsi="Arial Hebrew" w:cs="Arial Hebrew" w:hint="cs"/>
          <w:color w:val="000000" w:themeColor="text1"/>
          <w:sz w:val="20"/>
          <w:szCs w:val="20"/>
        </w:rPr>
        <w:t xml:space="preserve"> purpose-designed </w:t>
      </w:r>
      <w:r w:rsidR="00E3594F" w:rsidRPr="00147D0A">
        <w:rPr>
          <w:rFonts w:ascii="Arial Hebrew" w:hAnsi="Arial Hebrew" w:cs="Arial Hebrew" w:hint="cs"/>
          <w:color w:val="000000" w:themeColor="text1"/>
          <w:sz w:val="20"/>
          <w:szCs w:val="20"/>
        </w:rPr>
        <w:t>index</w:t>
      </w:r>
      <w:r w:rsidR="00D57BB3" w:rsidRPr="00147D0A">
        <w:rPr>
          <w:rFonts w:ascii="Arial Hebrew" w:hAnsi="Arial Hebrew" w:cs="Arial Hebrew" w:hint="cs"/>
          <w:color w:val="000000" w:themeColor="text1"/>
          <w:sz w:val="20"/>
          <w:szCs w:val="20"/>
        </w:rPr>
        <w:t xml:space="preserve"> for </w:t>
      </w:r>
      <w:r w:rsidR="00E3594F" w:rsidRPr="00147D0A">
        <w:rPr>
          <w:rFonts w:ascii="Arial Hebrew" w:hAnsi="Arial Hebrew" w:cs="Arial Hebrew" w:hint="cs"/>
          <w:color w:val="000000" w:themeColor="text1"/>
          <w:sz w:val="20"/>
          <w:szCs w:val="20"/>
        </w:rPr>
        <w:t>standardised</w:t>
      </w:r>
      <w:r w:rsidR="00EE7A61" w:rsidRPr="00147D0A">
        <w:rPr>
          <w:rFonts w:ascii="Arial Hebrew" w:hAnsi="Arial Hebrew" w:cs="Arial Hebrew" w:hint="cs"/>
          <w:color w:val="000000" w:themeColor="text1"/>
          <w:sz w:val="20"/>
          <w:szCs w:val="20"/>
        </w:rPr>
        <w:t xml:space="preserve"> and</w:t>
      </w:r>
      <w:r w:rsidR="00E3594F" w:rsidRPr="00147D0A">
        <w:rPr>
          <w:rFonts w:ascii="Arial Hebrew" w:hAnsi="Arial Hebrew" w:cs="Arial Hebrew" w:hint="cs"/>
          <w:color w:val="000000" w:themeColor="text1"/>
          <w:sz w:val="20"/>
          <w:szCs w:val="20"/>
        </w:rPr>
        <w:t xml:space="preserve"> verifiable </w:t>
      </w:r>
      <w:r w:rsidR="00D57BB3" w:rsidRPr="00147D0A">
        <w:rPr>
          <w:rFonts w:ascii="Arial Hebrew" w:hAnsi="Arial Hebrew" w:cs="Arial Hebrew" w:hint="cs"/>
          <w:color w:val="000000" w:themeColor="text1"/>
          <w:sz w:val="20"/>
          <w:szCs w:val="20"/>
        </w:rPr>
        <w:t>measur</w:t>
      </w:r>
      <w:r w:rsidR="00E3594F" w:rsidRPr="00147D0A">
        <w:rPr>
          <w:rFonts w:ascii="Arial Hebrew" w:hAnsi="Arial Hebrew" w:cs="Arial Hebrew" w:hint="cs"/>
          <w:color w:val="000000" w:themeColor="text1"/>
          <w:sz w:val="20"/>
          <w:szCs w:val="20"/>
        </w:rPr>
        <w:t>es</w:t>
      </w:r>
      <w:r w:rsidR="00D57BB3" w:rsidRPr="00147D0A">
        <w:rPr>
          <w:rFonts w:ascii="Arial Hebrew" w:hAnsi="Arial Hebrew" w:cs="Arial Hebrew" w:hint="cs"/>
          <w:color w:val="000000" w:themeColor="text1"/>
          <w:sz w:val="20"/>
          <w:szCs w:val="20"/>
        </w:rPr>
        <w:t xml:space="preserve"> of government service quality </w:t>
      </w:r>
      <w:r w:rsidR="004D390C" w:rsidRPr="00147D0A">
        <w:rPr>
          <w:rFonts w:ascii="Arial Hebrew" w:hAnsi="Arial Hebrew" w:cs="Arial Hebrew" w:hint="cs"/>
          <w:color w:val="000000" w:themeColor="text1"/>
          <w:sz w:val="20"/>
          <w:szCs w:val="20"/>
        </w:rPr>
        <w:t>w</w:t>
      </w:r>
      <w:r w:rsidR="00C666EB" w:rsidRPr="00147D0A">
        <w:rPr>
          <w:rFonts w:ascii="Arial Hebrew" w:hAnsi="Arial Hebrew" w:cs="Arial Hebrew" w:hint="cs"/>
          <w:color w:val="000000" w:themeColor="text1"/>
          <w:sz w:val="20"/>
          <w:szCs w:val="20"/>
        </w:rPr>
        <w:t>ould</w:t>
      </w:r>
      <w:r w:rsidR="00D57BB3" w:rsidRPr="00147D0A">
        <w:rPr>
          <w:rFonts w:ascii="Arial Hebrew" w:hAnsi="Arial Hebrew" w:cs="Arial Hebrew" w:hint="cs"/>
          <w:color w:val="000000" w:themeColor="text1"/>
          <w:sz w:val="20"/>
          <w:szCs w:val="20"/>
        </w:rPr>
        <w:t xml:space="preserve"> </w:t>
      </w:r>
      <w:r w:rsidR="008B5017" w:rsidRPr="00147D0A">
        <w:rPr>
          <w:rFonts w:ascii="Arial Hebrew" w:hAnsi="Arial Hebrew" w:cs="Arial Hebrew" w:hint="cs"/>
          <w:color w:val="000000" w:themeColor="text1"/>
          <w:sz w:val="20"/>
          <w:szCs w:val="20"/>
        </w:rPr>
        <w:t xml:space="preserve">offer a superior </w:t>
      </w:r>
      <w:r w:rsidR="00D57BB3" w:rsidRPr="00147D0A">
        <w:rPr>
          <w:rFonts w:ascii="Arial Hebrew" w:hAnsi="Arial Hebrew" w:cs="Arial Hebrew" w:hint="cs"/>
          <w:color w:val="000000" w:themeColor="text1"/>
          <w:sz w:val="20"/>
          <w:szCs w:val="20"/>
        </w:rPr>
        <w:t xml:space="preserve">proxy for </w:t>
      </w:r>
      <w:r w:rsidR="00E45E5F" w:rsidRPr="00147D0A">
        <w:rPr>
          <w:rFonts w:ascii="Arial Hebrew" w:hAnsi="Arial Hebrew" w:cs="Arial Hebrew" w:hint="cs"/>
          <w:color w:val="000000" w:themeColor="text1"/>
          <w:sz w:val="20"/>
          <w:szCs w:val="20"/>
        </w:rPr>
        <w:t xml:space="preserve">institutional and </w:t>
      </w:r>
      <w:r w:rsidR="00D57BB3" w:rsidRPr="00147D0A">
        <w:rPr>
          <w:rFonts w:ascii="Arial Hebrew" w:hAnsi="Arial Hebrew" w:cs="Arial Hebrew" w:hint="cs"/>
          <w:color w:val="000000" w:themeColor="text1"/>
          <w:sz w:val="20"/>
          <w:szCs w:val="20"/>
        </w:rPr>
        <w:t>governance factors</w:t>
      </w:r>
      <w:r w:rsidRPr="00147D0A">
        <w:rPr>
          <w:rFonts w:ascii="Arial Hebrew" w:hAnsi="Arial Hebrew" w:cs="Arial Hebrew" w:hint="cs"/>
          <w:color w:val="000000" w:themeColor="text1"/>
          <w:sz w:val="20"/>
          <w:szCs w:val="20"/>
        </w:rPr>
        <w:t xml:space="preserve"> than any currently available international statistic</w:t>
      </w:r>
      <w:r w:rsidR="00EE7A61" w:rsidRPr="00147D0A">
        <w:rPr>
          <w:rFonts w:ascii="Arial Hebrew" w:hAnsi="Arial Hebrew" w:cs="Arial Hebrew" w:hint="cs"/>
          <w:color w:val="000000" w:themeColor="text1"/>
          <w:sz w:val="20"/>
          <w:szCs w:val="20"/>
        </w:rPr>
        <w:t xml:space="preserve">. Unlike the GE Index, </w:t>
      </w:r>
      <w:r w:rsidR="004D390C" w:rsidRPr="00147D0A">
        <w:rPr>
          <w:rFonts w:ascii="Arial Hebrew" w:hAnsi="Arial Hebrew" w:cs="Arial Hebrew" w:hint="cs"/>
          <w:color w:val="000000" w:themeColor="text1"/>
          <w:sz w:val="20"/>
          <w:szCs w:val="20"/>
        </w:rPr>
        <w:t>this type of indicator</w:t>
      </w:r>
      <w:r w:rsidR="00EE7A61" w:rsidRPr="00147D0A">
        <w:rPr>
          <w:rFonts w:ascii="Arial Hebrew" w:hAnsi="Arial Hebrew" w:cs="Arial Hebrew" w:hint="cs"/>
          <w:color w:val="000000" w:themeColor="text1"/>
          <w:sz w:val="20"/>
          <w:szCs w:val="20"/>
        </w:rPr>
        <w:t xml:space="preserve"> would</w:t>
      </w:r>
      <w:r w:rsidR="00D57BB3" w:rsidRPr="00147D0A">
        <w:rPr>
          <w:rFonts w:ascii="Arial Hebrew" w:hAnsi="Arial Hebrew" w:cs="Arial Hebrew" w:hint="cs"/>
          <w:color w:val="000000" w:themeColor="text1"/>
          <w:sz w:val="20"/>
          <w:szCs w:val="20"/>
        </w:rPr>
        <w:t xml:space="preserve"> </w:t>
      </w:r>
      <w:r w:rsidR="00E45E5F" w:rsidRPr="00147D0A">
        <w:rPr>
          <w:rFonts w:ascii="Arial Hebrew" w:hAnsi="Arial Hebrew" w:cs="Arial Hebrew" w:hint="cs"/>
          <w:color w:val="000000" w:themeColor="text1"/>
          <w:sz w:val="20"/>
          <w:szCs w:val="20"/>
        </w:rPr>
        <w:t>rely</w:t>
      </w:r>
      <w:r w:rsidR="00EE7A61" w:rsidRPr="00147D0A">
        <w:rPr>
          <w:rFonts w:ascii="Arial Hebrew" w:hAnsi="Arial Hebrew" w:cs="Arial Hebrew" w:hint="cs"/>
          <w:color w:val="000000" w:themeColor="text1"/>
          <w:sz w:val="20"/>
          <w:szCs w:val="20"/>
        </w:rPr>
        <w:t xml:space="preserve"> primarily</w:t>
      </w:r>
      <w:r w:rsidR="00E45E5F" w:rsidRPr="00147D0A">
        <w:rPr>
          <w:rFonts w:ascii="Arial Hebrew" w:hAnsi="Arial Hebrew" w:cs="Arial Hebrew" w:hint="cs"/>
          <w:color w:val="000000" w:themeColor="text1"/>
          <w:sz w:val="20"/>
          <w:szCs w:val="20"/>
        </w:rPr>
        <w:t xml:space="preserve"> on</w:t>
      </w:r>
      <w:r w:rsidR="00D57BB3" w:rsidRPr="00147D0A">
        <w:rPr>
          <w:rFonts w:ascii="Arial Hebrew" w:hAnsi="Arial Hebrew" w:cs="Arial Hebrew" w:hint="cs"/>
          <w:color w:val="000000" w:themeColor="text1"/>
          <w:sz w:val="20"/>
          <w:szCs w:val="20"/>
        </w:rPr>
        <w:t xml:space="preserve"> </w:t>
      </w:r>
      <w:r w:rsidR="001B7EBD" w:rsidRPr="00147D0A">
        <w:rPr>
          <w:rFonts w:ascii="Arial Hebrew" w:hAnsi="Arial Hebrew" w:cs="Arial Hebrew" w:hint="cs"/>
          <w:color w:val="000000" w:themeColor="text1"/>
          <w:sz w:val="20"/>
          <w:szCs w:val="20"/>
        </w:rPr>
        <w:t>objective service-level metrics</w:t>
      </w:r>
      <w:r w:rsidR="00E3594F" w:rsidRPr="00147D0A">
        <w:rPr>
          <w:rFonts w:ascii="Arial Hebrew" w:hAnsi="Arial Hebrew" w:cs="Arial Hebrew" w:hint="cs"/>
          <w:color w:val="000000" w:themeColor="text1"/>
          <w:sz w:val="20"/>
          <w:szCs w:val="20"/>
        </w:rPr>
        <w:t xml:space="preserve"> that are</w:t>
      </w:r>
      <w:r w:rsidR="00DC62A1" w:rsidRPr="00147D0A">
        <w:rPr>
          <w:rFonts w:ascii="Arial Hebrew" w:hAnsi="Arial Hebrew" w:cs="Arial Hebrew" w:hint="cs"/>
          <w:color w:val="000000" w:themeColor="text1"/>
          <w:sz w:val="20"/>
          <w:szCs w:val="20"/>
        </w:rPr>
        <w:t xml:space="preserve"> free from</w:t>
      </w:r>
      <w:r w:rsidR="00D57BB3" w:rsidRPr="00147D0A">
        <w:rPr>
          <w:rFonts w:ascii="Arial Hebrew" w:hAnsi="Arial Hebrew" w:cs="Arial Hebrew" w:hint="cs"/>
          <w:color w:val="000000" w:themeColor="text1"/>
          <w:sz w:val="20"/>
          <w:szCs w:val="20"/>
        </w:rPr>
        <w:t xml:space="preserve"> </w:t>
      </w:r>
      <w:r w:rsidR="00DC62A1" w:rsidRPr="00147D0A">
        <w:rPr>
          <w:rFonts w:ascii="Arial Hebrew" w:hAnsi="Arial Hebrew" w:cs="Arial Hebrew" w:hint="cs"/>
          <w:color w:val="000000" w:themeColor="text1"/>
          <w:sz w:val="20"/>
          <w:szCs w:val="20"/>
        </w:rPr>
        <w:t>perception bias</w:t>
      </w:r>
      <w:r w:rsidR="003B695C" w:rsidRPr="00147D0A">
        <w:rPr>
          <w:rFonts w:ascii="Arial Hebrew" w:hAnsi="Arial Hebrew" w:cs="Arial Hebrew" w:hint="cs"/>
          <w:color w:val="000000" w:themeColor="text1"/>
          <w:sz w:val="20"/>
          <w:szCs w:val="20"/>
        </w:rPr>
        <w:t>,</w:t>
      </w:r>
      <w:r w:rsidR="00DC62A1" w:rsidRPr="00147D0A">
        <w:rPr>
          <w:rFonts w:ascii="Arial Hebrew" w:hAnsi="Arial Hebrew" w:cs="Arial Hebrew" w:hint="cs"/>
          <w:color w:val="000000" w:themeColor="text1"/>
          <w:sz w:val="20"/>
          <w:szCs w:val="20"/>
        </w:rPr>
        <w:t xml:space="preserve"> and </w:t>
      </w:r>
      <w:r w:rsidR="00D57BB3" w:rsidRPr="00147D0A">
        <w:rPr>
          <w:rFonts w:ascii="Arial Hebrew" w:hAnsi="Arial Hebrew" w:cs="Arial Hebrew" w:hint="cs"/>
          <w:color w:val="000000" w:themeColor="text1"/>
          <w:sz w:val="20"/>
          <w:szCs w:val="20"/>
        </w:rPr>
        <w:t>observable without a substantial time lag</w:t>
      </w:r>
      <w:r w:rsidR="00693533" w:rsidRPr="00147D0A">
        <w:rPr>
          <w:rFonts w:ascii="Arial Hebrew" w:hAnsi="Arial Hebrew" w:cs="Arial Hebrew" w:hint="cs"/>
          <w:color w:val="000000" w:themeColor="text1"/>
          <w:sz w:val="20"/>
          <w:szCs w:val="20"/>
        </w:rPr>
        <w:t>.</w:t>
      </w:r>
      <w:r w:rsidR="00E3594F" w:rsidRPr="00147D0A">
        <w:rPr>
          <w:rFonts w:ascii="Arial Hebrew" w:hAnsi="Arial Hebrew" w:cs="Arial Hebrew" w:hint="cs"/>
          <w:color w:val="000000" w:themeColor="text1"/>
          <w:sz w:val="20"/>
          <w:szCs w:val="20"/>
        </w:rPr>
        <w:t xml:space="preserve"> </w:t>
      </w:r>
      <w:r w:rsidR="00B36C62" w:rsidRPr="00147D0A">
        <w:rPr>
          <w:rFonts w:ascii="Arial Hebrew" w:hAnsi="Arial Hebrew" w:cs="Arial Hebrew" w:hint="cs"/>
          <w:color w:val="000000" w:themeColor="text1"/>
          <w:sz w:val="20"/>
          <w:szCs w:val="20"/>
        </w:rPr>
        <w:t xml:space="preserve">Oriented toward absolute </w:t>
      </w:r>
      <w:r w:rsidR="00E45E5F" w:rsidRPr="00147D0A">
        <w:rPr>
          <w:rFonts w:ascii="Arial Hebrew" w:hAnsi="Arial Hebrew" w:cs="Arial Hebrew" w:hint="cs"/>
          <w:color w:val="000000" w:themeColor="text1"/>
          <w:sz w:val="20"/>
          <w:szCs w:val="20"/>
        </w:rPr>
        <w:t xml:space="preserve">(rather than relative) </w:t>
      </w:r>
      <w:r w:rsidR="00B36C62" w:rsidRPr="00147D0A">
        <w:rPr>
          <w:rFonts w:ascii="Arial Hebrew" w:hAnsi="Arial Hebrew" w:cs="Arial Hebrew" w:hint="cs"/>
          <w:color w:val="000000" w:themeColor="text1"/>
          <w:sz w:val="20"/>
          <w:szCs w:val="20"/>
        </w:rPr>
        <w:t xml:space="preserve">performance benchmarks, </w:t>
      </w:r>
      <w:r w:rsidR="00C666EB" w:rsidRPr="00147D0A">
        <w:rPr>
          <w:rFonts w:ascii="Arial Hebrew" w:hAnsi="Arial Hebrew" w:cs="Arial Hebrew" w:hint="cs"/>
          <w:color w:val="000000" w:themeColor="text1"/>
          <w:sz w:val="20"/>
          <w:szCs w:val="20"/>
        </w:rPr>
        <w:t>th</w:t>
      </w:r>
      <w:r w:rsidR="00DC62A1" w:rsidRPr="00147D0A">
        <w:rPr>
          <w:rFonts w:ascii="Arial Hebrew" w:hAnsi="Arial Hebrew" w:cs="Arial Hebrew" w:hint="cs"/>
          <w:color w:val="000000" w:themeColor="text1"/>
          <w:sz w:val="20"/>
          <w:szCs w:val="20"/>
        </w:rPr>
        <w:t>e</w:t>
      </w:r>
      <w:r w:rsidR="00C666EB" w:rsidRPr="00147D0A">
        <w:rPr>
          <w:rFonts w:ascii="Arial Hebrew" w:hAnsi="Arial Hebrew" w:cs="Arial Hebrew" w:hint="cs"/>
          <w:color w:val="000000" w:themeColor="text1"/>
          <w:sz w:val="20"/>
          <w:szCs w:val="20"/>
        </w:rPr>
        <w:t xml:space="preserve"> index </w:t>
      </w:r>
      <w:r w:rsidR="00B473D8" w:rsidRPr="00147D0A">
        <w:rPr>
          <w:rFonts w:ascii="Arial Hebrew" w:hAnsi="Arial Hebrew" w:cs="Arial Hebrew" w:hint="cs"/>
          <w:color w:val="000000" w:themeColor="text1"/>
          <w:sz w:val="20"/>
          <w:szCs w:val="20"/>
        </w:rPr>
        <w:t xml:space="preserve">would aim to </w:t>
      </w:r>
      <w:r w:rsidR="00546B0A" w:rsidRPr="00147D0A">
        <w:rPr>
          <w:rFonts w:ascii="Arial Hebrew" w:hAnsi="Arial Hebrew" w:cs="Arial Hebrew" w:hint="cs"/>
          <w:color w:val="000000" w:themeColor="text1"/>
          <w:sz w:val="20"/>
          <w:szCs w:val="20"/>
        </w:rPr>
        <w:t>harmonise</w:t>
      </w:r>
      <w:r w:rsidR="00C666EB"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relevant </w:t>
      </w:r>
      <w:r w:rsidR="004D390C" w:rsidRPr="00147D0A">
        <w:rPr>
          <w:rFonts w:ascii="Arial Hebrew" w:hAnsi="Arial Hebrew" w:cs="Arial Hebrew" w:hint="cs"/>
          <w:color w:val="000000" w:themeColor="text1"/>
          <w:sz w:val="20"/>
          <w:szCs w:val="20"/>
        </w:rPr>
        <w:t xml:space="preserve">objective metrics, including the </w:t>
      </w:r>
      <w:r w:rsidR="00A06ED9" w:rsidRPr="00147D0A">
        <w:rPr>
          <w:rFonts w:ascii="Arial Hebrew" w:hAnsi="Arial Hebrew" w:cs="Arial Hebrew" w:hint="cs"/>
          <w:color w:val="000000" w:themeColor="text1"/>
          <w:sz w:val="20"/>
          <w:szCs w:val="20"/>
        </w:rPr>
        <w:t xml:space="preserve">largely under-utilised </w:t>
      </w:r>
      <w:r w:rsidR="004D390C" w:rsidRPr="00147D0A">
        <w:rPr>
          <w:rFonts w:ascii="Arial Hebrew" w:hAnsi="Arial Hebrew" w:cs="Arial Hebrew" w:hint="cs"/>
          <w:color w:val="000000" w:themeColor="text1"/>
          <w:sz w:val="20"/>
          <w:szCs w:val="20"/>
        </w:rPr>
        <w:t xml:space="preserve">streams of </w:t>
      </w:r>
      <w:r w:rsidR="000101C3" w:rsidRPr="00147D0A">
        <w:rPr>
          <w:rFonts w:ascii="Arial Hebrew" w:hAnsi="Arial Hebrew" w:cs="Arial Hebrew" w:hint="cs"/>
          <w:color w:val="000000" w:themeColor="text1"/>
          <w:sz w:val="20"/>
          <w:szCs w:val="20"/>
        </w:rPr>
        <w:t>transaction-generated</w:t>
      </w:r>
      <w:r w:rsidR="00546B0A"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operational </w:t>
      </w:r>
      <w:r w:rsidR="00546B0A" w:rsidRPr="00147D0A">
        <w:rPr>
          <w:rFonts w:ascii="Arial Hebrew" w:hAnsi="Arial Hebrew" w:cs="Arial Hebrew" w:hint="cs"/>
          <w:color w:val="000000" w:themeColor="text1"/>
          <w:sz w:val="20"/>
          <w:szCs w:val="20"/>
        </w:rPr>
        <w:t xml:space="preserve">micro-data </w:t>
      </w:r>
      <w:r w:rsidR="00A06ED9" w:rsidRPr="00147D0A">
        <w:rPr>
          <w:rFonts w:ascii="Arial Hebrew" w:hAnsi="Arial Hebrew" w:cs="Arial Hebrew" w:hint="cs"/>
          <w:color w:val="000000" w:themeColor="text1"/>
          <w:sz w:val="20"/>
          <w:szCs w:val="20"/>
        </w:rPr>
        <w:t xml:space="preserve">continuously generated </w:t>
      </w:r>
      <w:r w:rsidR="00984D43" w:rsidRPr="00147D0A">
        <w:rPr>
          <w:rFonts w:ascii="Arial Hebrew" w:hAnsi="Arial Hebrew" w:cs="Arial Hebrew" w:hint="cs"/>
          <w:color w:val="000000" w:themeColor="text1"/>
          <w:sz w:val="20"/>
          <w:szCs w:val="20"/>
        </w:rPr>
        <w:t>by</w:t>
      </w:r>
      <w:r w:rsidR="00C666EB" w:rsidRPr="00147D0A">
        <w:rPr>
          <w:rFonts w:ascii="Arial Hebrew" w:hAnsi="Arial Hebrew" w:cs="Arial Hebrew" w:hint="cs"/>
          <w:color w:val="000000" w:themeColor="text1"/>
          <w:sz w:val="20"/>
          <w:szCs w:val="20"/>
        </w:rPr>
        <w:t xml:space="preserve"> </w:t>
      </w:r>
      <w:r w:rsidR="006C5CD9" w:rsidRPr="00147D0A">
        <w:rPr>
          <w:rFonts w:ascii="Arial Hebrew" w:hAnsi="Arial Hebrew" w:cs="Arial Hebrew" w:hint="cs"/>
          <w:color w:val="000000" w:themeColor="text1"/>
          <w:sz w:val="20"/>
          <w:szCs w:val="20"/>
        </w:rPr>
        <w:t>digit</w:t>
      </w:r>
      <w:r w:rsidR="00EC6103" w:rsidRPr="00147D0A">
        <w:rPr>
          <w:rFonts w:ascii="Arial Hebrew" w:hAnsi="Arial Hebrew" w:cs="Arial Hebrew" w:hint="cs"/>
          <w:color w:val="000000" w:themeColor="text1"/>
          <w:sz w:val="20"/>
          <w:szCs w:val="20"/>
        </w:rPr>
        <w:t>al</w:t>
      </w:r>
      <w:r w:rsidR="00EE7A61" w:rsidRPr="00147D0A">
        <w:rPr>
          <w:rFonts w:ascii="Arial Hebrew" w:hAnsi="Arial Hebrew" w:cs="Arial Hebrew" w:hint="cs"/>
          <w:color w:val="000000" w:themeColor="text1"/>
          <w:sz w:val="20"/>
          <w:szCs w:val="20"/>
        </w:rPr>
        <w:t xml:space="preserve"> service delivery</w:t>
      </w:r>
      <w:r w:rsidR="00A06ED9" w:rsidRPr="00147D0A">
        <w:rPr>
          <w:rFonts w:ascii="Arial Hebrew" w:hAnsi="Arial Hebrew" w:cs="Arial Hebrew" w:hint="cs"/>
          <w:color w:val="000000" w:themeColor="text1"/>
          <w:sz w:val="20"/>
          <w:szCs w:val="20"/>
        </w:rPr>
        <w:t xml:space="preserve"> platforms</w:t>
      </w:r>
      <w:r w:rsidR="004D390C"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Objective metrics</w:t>
      </w:r>
      <w:r w:rsidR="004D390C" w:rsidRPr="00147D0A">
        <w:rPr>
          <w:rFonts w:ascii="Arial Hebrew" w:hAnsi="Arial Hebrew" w:cs="Arial Hebrew" w:hint="cs"/>
          <w:color w:val="000000" w:themeColor="text1"/>
          <w:sz w:val="20"/>
          <w:szCs w:val="20"/>
        </w:rPr>
        <w:t xml:space="preserve"> </w:t>
      </w:r>
      <w:r w:rsidR="00CA0D7D" w:rsidRPr="00147D0A">
        <w:rPr>
          <w:rFonts w:ascii="Arial Hebrew" w:hAnsi="Arial Hebrew" w:cs="Arial Hebrew" w:hint="cs"/>
          <w:color w:val="000000" w:themeColor="text1"/>
          <w:sz w:val="20"/>
          <w:szCs w:val="20"/>
        </w:rPr>
        <w:t>w</w:t>
      </w:r>
      <w:r w:rsidR="004D390C" w:rsidRPr="00147D0A">
        <w:rPr>
          <w:rFonts w:ascii="Arial Hebrew" w:hAnsi="Arial Hebrew" w:cs="Arial Hebrew" w:hint="cs"/>
          <w:color w:val="000000" w:themeColor="text1"/>
          <w:sz w:val="20"/>
          <w:szCs w:val="20"/>
        </w:rPr>
        <w:t>ould be</w:t>
      </w:r>
      <w:r w:rsidR="00C666EB" w:rsidRPr="00147D0A">
        <w:rPr>
          <w:rFonts w:ascii="Arial Hebrew" w:hAnsi="Arial Hebrew" w:cs="Arial Hebrew" w:hint="cs"/>
          <w:color w:val="000000" w:themeColor="text1"/>
          <w:sz w:val="20"/>
          <w:szCs w:val="20"/>
        </w:rPr>
        <w:t xml:space="preserve"> </w:t>
      </w:r>
      <w:r w:rsidR="00EC6103" w:rsidRPr="00147D0A">
        <w:rPr>
          <w:rFonts w:ascii="Arial Hebrew" w:hAnsi="Arial Hebrew" w:cs="Arial Hebrew" w:hint="cs"/>
          <w:color w:val="000000" w:themeColor="text1"/>
          <w:sz w:val="20"/>
          <w:szCs w:val="20"/>
        </w:rPr>
        <w:t>complemented</w:t>
      </w:r>
      <w:r w:rsidR="00E45E5F" w:rsidRPr="00147D0A">
        <w:rPr>
          <w:rFonts w:ascii="Arial Hebrew" w:hAnsi="Arial Hebrew" w:cs="Arial Hebrew" w:hint="cs"/>
          <w:color w:val="000000" w:themeColor="text1"/>
          <w:sz w:val="20"/>
          <w:szCs w:val="20"/>
        </w:rPr>
        <w:t xml:space="preserve"> with</w:t>
      </w:r>
      <w:r w:rsidR="00C666EB" w:rsidRPr="00147D0A">
        <w:rPr>
          <w:rFonts w:ascii="Arial Hebrew" w:hAnsi="Arial Hebrew" w:cs="Arial Hebrew" w:hint="cs"/>
          <w:color w:val="000000" w:themeColor="text1"/>
          <w:sz w:val="20"/>
          <w:szCs w:val="20"/>
        </w:rPr>
        <w:t xml:space="preserve"> </w:t>
      </w:r>
      <w:r w:rsidR="004D390C" w:rsidRPr="00147D0A">
        <w:rPr>
          <w:rFonts w:ascii="Arial Hebrew" w:hAnsi="Arial Hebrew" w:cs="Arial Hebrew" w:hint="cs"/>
          <w:color w:val="000000" w:themeColor="text1"/>
          <w:sz w:val="20"/>
          <w:szCs w:val="20"/>
        </w:rPr>
        <w:t xml:space="preserve">high-frequency </w:t>
      </w:r>
      <w:r w:rsidR="00C666EB" w:rsidRPr="00147D0A">
        <w:rPr>
          <w:rFonts w:ascii="Arial Hebrew" w:hAnsi="Arial Hebrew" w:cs="Arial Hebrew" w:hint="cs"/>
          <w:color w:val="000000" w:themeColor="text1"/>
          <w:sz w:val="20"/>
          <w:szCs w:val="20"/>
        </w:rPr>
        <w:t xml:space="preserve">feedback </w:t>
      </w:r>
      <w:r w:rsidR="00984D43" w:rsidRPr="00147D0A">
        <w:rPr>
          <w:rFonts w:ascii="Arial Hebrew" w:hAnsi="Arial Hebrew" w:cs="Arial Hebrew" w:hint="cs"/>
          <w:color w:val="000000" w:themeColor="text1"/>
          <w:sz w:val="20"/>
          <w:szCs w:val="20"/>
        </w:rPr>
        <w:t xml:space="preserve">on user experience and trust. </w:t>
      </w:r>
      <w:r w:rsidR="00CC216A" w:rsidRPr="00147D0A">
        <w:rPr>
          <w:rFonts w:ascii="Arial Hebrew" w:hAnsi="Arial Hebrew" w:cs="Arial Hebrew" w:hint="cs"/>
          <w:color w:val="000000" w:themeColor="text1"/>
          <w:sz w:val="20"/>
          <w:szCs w:val="20"/>
        </w:rPr>
        <w:t>The</w:t>
      </w:r>
      <w:r w:rsidR="008C2601" w:rsidRPr="00147D0A">
        <w:rPr>
          <w:rFonts w:ascii="Arial Hebrew" w:hAnsi="Arial Hebrew" w:cs="Arial Hebrew" w:hint="cs"/>
          <w:color w:val="000000" w:themeColor="text1"/>
          <w:sz w:val="20"/>
          <w:szCs w:val="20"/>
        </w:rPr>
        <w:t xml:space="preserve"> investment in data infrastructure and analytical capacity required for a country to produce such an index</w:t>
      </w:r>
      <w:r w:rsidR="00CC216A" w:rsidRPr="00147D0A">
        <w:rPr>
          <w:rFonts w:ascii="Arial Hebrew" w:hAnsi="Arial Hebrew" w:cs="Arial Hebrew" w:hint="cs"/>
          <w:color w:val="000000" w:themeColor="text1"/>
          <w:sz w:val="20"/>
          <w:szCs w:val="20"/>
        </w:rPr>
        <w:t xml:space="preserve">, although considerable, </w:t>
      </w:r>
      <w:r w:rsidR="00984D43" w:rsidRPr="00147D0A">
        <w:rPr>
          <w:rFonts w:ascii="Arial Hebrew" w:hAnsi="Arial Hebrew" w:cs="Arial Hebrew" w:hint="cs"/>
          <w:color w:val="000000" w:themeColor="text1"/>
          <w:sz w:val="20"/>
          <w:szCs w:val="20"/>
        </w:rPr>
        <w:t>is</w:t>
      </w:r>
      <w:r w:rsidRPr="00147D0A">
        <w:rPr>
          <w:rFonts w:ascii="Arial Hebrew" w:hAnsi="Arial Hebrew" w:cs="Arial Hebrew" w:hint="cs"/>
          <w:color w:val="000000" w:themeColor="text1"/>
          <w:sz w:val="20"/>
          <w:szCs w:val="20"/>
        </w:rPr>
        <w:t xml:space="preserve"> </w:t>
      </w:r>
      <w:r w:rsidR="00CC216A" w:rsidRPr="00147D0A">
        <w:rPr>
          <w:rFonts w:ascii="Arial Hebrew" w:hAnsi="Arial Hebrew" w:cs="Arial Hebrew" w:hint="cs"/>
          <w:color w:val="000000" w:themeColor="text1"/>
          <w:sz w:val="20"/>
          <w:szCs w:val="20"/>
        </w:rPr>
        <w:t>a</w:t>
      </w:r>
      <w:r w:rsidRPr="00147D0A">
        <w:rPr>
          <w:rFonts w:ascii="Arial Hebrew" w:hAnsi="Arial Hebrew" w:cs="Arial Hebrew" w:hint="cs"/>
          <w:color w:val="000000" w:themeColor="text1"/>
          <w:sz w:val="20"/>
          <w:szCs w:val="20"/>
        </w:rPr>
        <w:t xml:space="preserve"> </w:t>
      </w:r>
      <w:r w:rsidR="00135D46" w:rsidRPr="00147D0A">
        <w:rPr>
          <w:rFonts w:ascii="Arial Hebrew" w:hAnsi="Arial Hebrew" w:cs="Arial Hebrew" w:hint="cs"/>
          <w:color w:val="000000" w:themeColor="text1"/>
          <w:sz w:val="20"/>
          <w:szCs w:val="20"/>
        </w:rPr>
        <w:t xml:space="preserve">marginal </w:t>
      </w:r>
      <w:r w:rsidR="00CA0D7D" w:rsidRPr="00147D0A">
        <w:rPr>
          <w:rFonts w:ascii="Arial Hebrew" w:hAnsi="Arial Hebrew" w:cs="Arial Hebrew" w:hint="cs"/>
          <w:color w:val="000000" w:themeColor="text1"/>
          <w:sz w:val="20"/>
          <w:szCs w:val="20"/>
        </w:rPr>
        <w:t xml:space="preserve">cost </w:t>
      </w:r>
      <w:r w:rsidRPr="00147D0A">
        <w:rPr>
          <w:rFonts w:ascii="Arial Hebrew" w:hAnsi="Arial Hebrew" w:cs="Arial Hebrew" w:hint="cs"/>
          <w:color w:val="000000" w:themeColor="text1"/>
          <w:sz w:val="20"/>
          <w:szCs w:val="20"/>
        </w:rPr>
        <w:t>when</w:t>
      </w:r>
      <w:r w:rsidR="00CA0D7D" w:rsidRPr="00147D0A">
        <w:rPr>
          <w:rFonts w:ascii="Arial Hebrew" w:hAnsi="Arial Hebrew" w:cs="Arial Hebrew" w:hint="cs"/>
          <w:color w:val="000000" w:themeColor="text1"/>
          <w:sz w:val="20"/>
          <w:szCs w:val="20"/>
        </w:rPr>
        <w:t xml:space="preserve"> undertaken</w:t>
      </w:r>
      <w:r w:rsidR="00135D46" w:rsidRPr="00147D0A">
        <w:rPr>
          <w:rFonts w:ascii="Arial Hebrew" w:hAnsi="Arial Hebrew" w:cs="Arial Hebrew" w:hint="cs"/>
          <w:color w:val="000000" w:themeColor="text1"/>
          <w:sz w:val="20"/>
          <w:szCs w:val="20"/>
        </w:rPr>
        <w:t xml:space="preserve"> as a</w:t>
      </w:r>
      <w:r w:rsidR="008C2601" w:rsidRPr="00147D0A">
        <w:rPr>
          <w:rFonts w:ascii="Arial Hebrew" w:hAnsi="Arial Hebrew" w:cs="Arial Hebrew" w:hint="cs"/>
          <w:color w:val="000000" w:themeColor="text1"/>
          <w:sz w:val="20"/>
          <w:szCs w:val="20"/>
        </w:rPr>
        <w:t xml:space="preserve"> concomitant </w:t>
      </w:r>
      <w:r w:rsidR="00CA0D7D" w:rsidRPr="00147D0A">
        <w:rPr>
          <w:rFonts w:ascii="Arial Hebrew" w:hAnsi="Arial Hebrew" w:cs="Arial Hebrew" w:hint="cs"/>
          <w:color w:val="000000" w:themeColor="text1"/>
          <w:sz w:val="20"/>
          <w:szCs w:val="20"/>
        </w:rPr>
        <w:t>to</w:t>
      </w:r>
      <w:r w:rsidR="008C2601"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the </w:t>
      </w:r>
      <w:r w:rsidR="00135D46" w:rsidRPr="00147D0A">
        <w:rPr>
          <w:rFonts w:ascii="Arial Hebrew" w:hAnsi="Arial Hebrew" w:cs="Arial Hebrew" w:hint="cs"/>
          <w:color w:val="000000" w:themeColor="text1"/>
          <w:sz w:val="20"/>
          <w:szCs w:val="20"/>
        </w:rPr>
        <w:t>general</w:t>
      </w:r>
      <w:r w:rsidR="008C2601" w:rsidRPr="00147D0A">
        <w:rPr>
          <w:rFonts w:ascii="Arial Hebrew" w:hAnsi="Arial Hebrew" w:cs="Arial Hebrew" w:hint="cs"/>
          <w:color w:val="000000" w:themeColor="text1"/>
          <w:sz w:val="20"/>
          <w:szCs w:val="20"/>
        </w:rPr>
        <w:t xml:space="preserve"> digitisation of </w:t>
      </w:r>
      <w:r w:rsidR="00135D46" w:rsidRPr="00147D0A">
        <w:rPr>
          <w:rFonts w:ascii="Arial Hebrew" w:hAnsi="Arial Hebrew" w:cs="Arial Hebrew" w:hint="cs"/>
          <w:color w:val="000000" w:themeColor="text1"/>
          <w:sz w:val="20"/>
          <w:szCs w:val="20"/>
        </w:rPr>
        <w:t xml:space="preserve">government </w:t>
      </w:r>
      <w:r w:rsidR="008C2601" w:rsidRPr="00147D0A">
        <w:rPr>
          <w:rFonts w:ascii="Arial Hebrew" w:hAnsi="Arial Hebrew" w:cs="Arial Hebrew" w:hint="cs"/>
          <w:color w:val="000000" w:themeColor="text1"/>
          <w:sz w:val="20"/>
          <w:szCs w:val="20"/>
        </w:rPr>
        <w:t>service delivery</w:t>
      </w:r>
      <w:r w:rsidR="00135D46" w:rsidRPr="00147D0A">
        <w:rPr>
          <w:rFonts w:ascii="Arial Hebrew" w:hAnsi="Arial Hebrew" w:cs="Arial Hebrew" w:hint="cs"/>
          <w:color w:val="000000" w:themeColor="text1"/>
          <w:sz w:val="20"/>
          <w:szCs w:val="20"/>
        </w:rPr>
        <w:t>.</w:t>
      </w:r>
      <w:r w:rsidR="008C2601" w:rsidRPr="00147D0A">
        <w:rPr>
          <w:rFonts w:ascii="Arial Hebrew" w:hAnsi="Arial Hebrew" w:cs="Arial Hebrew" w:hint="cs"/>
          <w:color w:val="000000" w:themeColor="text1"/>
          <w:sz w:val="20"/>
          <w:szCs w:val="20"/>
        </w:rPr>
        <w:t xml:space="preserve"> </w:t>
      </w:r>
    </w:p>
    <w:p w14:paraId="6197274F" w14:textId="4F508F77" w:rsidR="00FA4BD4" w:rsidRPr="00147D0A" w:rsidRDefault="00135D46" w:rsidP="00972E3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The g</w:t>
      </w:r>
      <w:r w:rsidR="006C5CD9" w:rsidRPr="00147D0A">
        <w:rPr>
          <w:rFonts w:ascii="Arial Hebrew" w:hAnsi="Arial Hebrew" w:cs="Arial Hebrew" w:hint="cs"/>
          <w:color w:val="000000" w:themeColor="text1"/>
          <w:sz w:val="20"/>
          <w:szCs w:val="20"/>
        </w:rPr>
        <w:t>ranular</w:t>
      </w:r>
      <w:r w:rsidRPr="00147D0A">
        <w:rPr>
          <w:rFonts w:ascii="Arial Hebrew" w:hAnsi="Arial Hebrew" w:cs="Arial Hebrew" w:hint="cs"/>
          <w:color w:val="000000" w:themeColor="text1"/>
          <w:sz w:val="20"/>
          <w:szCs w:val="20"/>
        </w:rPr>
        <w:t>ity of</w:t>
      </w:r>
      <w:r w:rsidR="006C5CD9" w:rsidRPr="00147D0A">
        <w:rPr>
          <w:rFonts w:ascii="Arial Hebrew" w:hAnsi="Arial Hebrew" w:cs="Arial Hebrew" w:hint="cs"/>
          <w:color w:val="000000" w:themeColor="text1"/>
          <w:sz w:val="20"/>
          <w:szCs w:val="20"/>
        </w:rPr>
        <w:t xml:space="preserve"> service-quality data</w:t>
      </w:r>
      <w:r w:rsidRPr="00147D0A">
        <w:rPr>
          <w:rFonts w:ascii="Arial Hebrew" w:hAnsi="Arial Hebrew" w:cs="Arial Hebrew" w:hint="cs"/>
          <w:color w:val="000000" w:themeColor="text1"/>
          <w:sz w:val="20"/>
          <w:szCs w:val="20"/>
        </w:rPr>
        <w:t xml:space="preserve"> produced by digital service platforms can</w:t>
      </w:r>
      <w:r w:rsidR="006C5CD9"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highlight</w:t>
      </w:r>
      <w:r w:rsidR="00EE7A61" w:rsidRPr="00147D0A">
        <w:rPr>
          <w:rFonts w:ascii="Arial Hebrew" w:hAnsi="Arial Hebrew" w:cs="Arial Hebrew" w:hint="cs"/>
          <w:color w:val="000000" w:themeColor="text1"/>
          <w:sz w:val="20"/>
          <w:szCs w:val="20"/>
        </w:rPr>
        <w:t xml:space="preserve"> local and regional</w:t>
      </w:r>
      <w:r w:rsidR="006C5CD9" w:rsidRPr="00147D0A">
        <w:rPr>
          <w:rFonts w:ascii="Arial Hebrew" w:hAnsi="Arial Hebrew" w:cs="Arial Hebrew" w:hint="cs"/>
          <w:color w:val="000000" w:themeColor="text1"/>
          <w:sz w:val="20"/>
          <w:szCs w:val="20"/>
        </w:rPr>
        <w:t xml:space="preserve"> differences in governance performance</w:t>
      </w:r>
      <w:r w:rsidR="00EE7A61"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that are </w:t>
      </w:r>
      <w:r w:rsidR="006C5CD9" w:rsidRPr="00147D0A">
        <w:rPr>
          <w:rFonts w:ascii="Arial Hebrew" w:hAnsi="Arial Hebrew" w:cs="Arial Hebrew" w:hint="cs"/>
          <w:color w:val="000000" w:themeColor="text1"/>
          <w:sz w:val="20"/>
          <w:szCs w:val="20"/>
        </w:rPr>
        <w:t>obscured in national aggregates</w:t>
      </w:r>
      <w:r w:rsidRPr="00147D0A">
        <w:rPr>
          <w:rFonts w:ascii="Arial Hebrew" w:hAnsi="Arial Hebrew" w:cs="Arial Hebrew" w:hint="cs"/>
          <w:color w:val="000000" w:themeColor="text1"/>
          <w:sz w:val="20"/>
          <w:szCs w:val="20"/>
        </w:rPr>
        <w:t>.</w:t>
      </w:r>
      <w:r w:rsidR="006C5CD9"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This </w:t>
      </w:r>
      <w:r w:rsidR="00EE7A61" w:rsidRPr="00147D0A">
        <w:rPr>
          <w:rFonts w:ascii="Arial Hebrew" w:hAnsi="Arial Hebrew" w:cs="Arial Hebrew" w:hint="cs"/>
          <w:color w:val="000000" w:themeColor="text1"/>
          <w:sz w:val="20"/>
          <w:szCs w:val="20"/>
        </w:rPr>
        <w:t>support</w:t>
      </w:r>
      <w:r w:rsidR="00AD348E" w:rsidRPr="00147D0A">
        <w:rPr>
          <w:rFonts w:ascii="Arial Hebrew" w:hAnsi="Arial Hebrew" w:cs="Arial Hebrew" w:hint="cs"/>
          <w:color w:val="000000" w:themeColor="text1"/>
          <w:sz w:val="20"/>
          <w:szCs w:val="20"/>
        </w:rPr>
        <w:t>s</w:t>
      </w:r>
      <w:r w:rsidR="00EE7A61" w:rsidRPr="00147D0A">
        <w:rPr>
          <w:rFonts w:ascii="Arial Hebrew" w:hAnsi="Arial Hebrew" w:cs="Arial Hebrew" w:hint="cs"/>
          <w:color w:val="000000" w:themeColor="text1"/>
          <w:sz w:val="20"/>
          <w:szCs w:val="20"/>
        </w:rPr>
        <w:t xml:space="preserve"> the construction of</w:t>
      </w:r>
      <w:r w:rsidR="00DC62A1" w:rsidRPr="00147D0A">
        <w:rPr>
          <w:rFonts w:ascii="Arial Hebrew" w:hAnsi="Arial Hebrew" w:cs="Arial Hebrew" w:hint="cs"/>
          <w:color w:val="000000" w:themeColor="text1"/>
          <w:sz w:val="20"/>
          <w:szCs w:val="20"/>
        </w:rPr>
        <w:t xml:space="preserve"> evidence-based institutional quality indicators </w:t>
      </w:r>
      <w:r w:rsidR="00693533" w:rsidRPr="00147D0A">
        <w:rPr>
          <w:rFonts w:ascii="Arial Hebrew" w:hAnsi="Arial Hebrew" w:cs="Arial Hebrew" w:hint="cs"/>
          <w:color w:val="000000" w:themeColor="text1"/>
          <w:sz w:val="20"/>
          <w:szCs w:val="20"/>
        </w:rPr>
        <w:t>at the subnational level</w:t>
      </w:r>
      <w:r w:rsidR="006C5CD9" w:rsidRPr="00147D0A">
        <w:rPr>
          <w:rFonts w:ascii="Arial Hebrew" w:hAnsi="Arial Hebrew" w:cs="Arial Hebrew" w:hint="cs"/>
          <w:color w:val="000000" w:themeColor="text1"/>
          <w:sz w:val="20"/>
          <w:szCs w:val="20"/>
        </w:rPr>
        <w:t>,</w:t>
      </w:r>
      <w:r w:rsidR="000565F7" w:rsidRPr="00147D0A">
        <w:rPr>
          <w:rFonts w:ascii="Arial Hebrew" w:hAnsi="Arial Hebrew" w:cs="Arial Hebrew" w:hint="cs"/>
          <w:color w:val="000000" w:themeColor="text1"/>
          <w:sz w:val="20"/>
          <w:szCs w:val="20"/>
        </w:rPr>
        <w:t xml:space="preserve"> potentially</w:t>
      </w:r>
      <w:r w:rsidR="00EE7A61" w:rsidRPr="00147D0A">
        <w:rPr>
          <w:rFonts w:ascii="Arial Hebrew" w:hAnsi="Arial Hebrew" w:cs="Arial Hebrew" w:hint="cs"/>
          <w:color w:val="000000" w:themeColor="text1"/>
          <w:sz w:val="20"/>
          <w:szCs w:val="20"/>
        </w:rPr>
        <w:t xml:space="preserve"> allow</w:t>
      </w:r>
      <w:r w:rsidR="004D390C" w:rsidRPr="00147D0A">
        <w:rPr>
          <w:rFonts w:ascii="Arial Hebrew" w:hAnsi="Arial Hebrew" w:cs="Arial Hebrew" w:hint="cs"/>
          <w:color w:val="000000" w:themeColor="text1"/>
          <w:sz w:val="20"/>
          <w:szCs w:val="20"/>
        </w:rPr>
        <w:t>ing</w:t>
      </w:r>
      <w:r w:rsidR="00DC62A1" w:rsidRPr="00147D0A">
        <w:rPr>
          <w:rFonts w:ascii="Arial Hebrew" w:hAnsi="Arial Hebrew" w:cs="Arial Hebrew" w:hint="cs"/>
          <w:color w:val="000000" w:themeColor="text1"/>
          <w:sz w:val="20"/>
          <w:szCs w:val="20"/>
        </w:rPr>
        <w:t xml:space="preserve"> </w:t>
      </w:r>
      <w:r w:rsidR="00CD76DF" w:rsidRPr="00147D0A">
        <w:rPr>
          <w:rFonts w:ascii="Arial Hebrew" w:hAnsi="Arial Hebrew" w:cs="Arial Hebrew" w:hint="cs"/>
          <w:color w:val="000000" w:themeColor="text1"/>
          <w:sz w:val="20"/>
          <w:szCs w:val="20"/>
        </w:rPr>
        <w:t xml:space="preserve">credit-relevant </w:t>
      </w:r>
      <w:r w:rsidR="00AD348E" w:rsidRPr="00147D0A">
        <w:rPr>
          <w:rFonts w:ascii="Arial Hebrew" w:hAnsi="Arial Hebrew" w:cs="Arial Hebrew" w:hint="cs"/>
          <w:color w:val="000000" w:themeColor="text1"/>
          <w:sz w:val="20"/>
          <w:szCs w:val="20"/>
        </w:rPr>
        <w:t xml:space="preserve">sub-sovereign </w:t>
      </w:r>
      <w:r w:rsidR="00CD76DF" w:rsidRPr="00147D0A">
        <w:rPr>
          <w:rFonts w:ascii="Arial Hebrew" w:hAnsi="Arial Hebrew" w:cs="Arial Hebrew" w:hint="cs"/>
          <w:color w:val="000000" w:themeColor="text1"/>
          <w:sz w:val="20"/>
          <w:szCs w:val="20"/>
        </w:rPr>
        <w:t>risks</w:t>
      </w:r>
      <w:r w:rsidR="002E7E1D" w:rsidRPr="00147D0A">
        <w:rPr>
          <w:rFonts w:ascii="Arial Hebrew" w:hAnsi="Arial Hebrew" w:cs="Arial Hebrew" w:hint="cs"/>
          <w:color w:val="000000" w:themeColor="text1"/>
          <w:sz w:val="20"/>
          <w:szCs w:val="20"/>
        </w:rPr>
        <w:t xml:space="preserve"> to be identified</w:t>
      </w:r>
      <w:r w:rsidR="00CD76DF" w:rsidRPr="00147D0A">
        <w:rPr>
          <w:rFonts w:ascii="Arial Hebrew" w:hAnsi="Arial Hebrew" w:cs="Arial Hebrew" w:hint="cs"/>
          <w:color w:val="000000" w:themeColor="text1"/>
          <w:sz w:val="20"/>
          <w:szCs w:val="20"/>
        </w:rPr>
        <w:t xml:space="preserve"> at a</w:t>
      </w:r>
      <w:r w:rsidR="000565F7" w:rsidRPr="00147D0A">
        <w:rPr>
          <w:rFonts w:ascii="Arial Hebrew" w:hAnsi="Arial Hebrew" w:cs="Arial Hebrew" w:hint="cs"/>
          <w:color w:val="000000" w:themeColor="text1"/>
          <w:sz w:val="20"/>
          <w:szCs w:val="20"/>
        </w:rPr>
        <w:t xml:space="preserve"> much</w:t>
      </w:r>
      <w:r w:rsidR="00CD76DF" w:rsidRPr="00147D0A">
        <w:rPr>
          <w:rFonts w:ascii="Arial Hebrew" w:hAnsi="Arial Hebrew" w:cs="Arial Hebrew" w:hint="cs"/>
          <w:color w:val="000000" w:themeColor="text1"/>
          <w:sz w:val="20"/>
          <w:szCs w:val="20"/>
        </w:rPr>
        <w:t xml:space="preserve"> earl</w:t>
      </w:r>
      <w:r w:rsidR="000565F7" w:rsidRPr="00147D0A">
        <w:rPr>
          <w:rFonts w:ascii="Arial Hebrew" w:hAnsi="Arial Hebrew" w:cs="Arial Hebrew" w:hint="cs"/>
          <w:color w:val="000000" w:themeColor="text1"/>
          <w:sz w:val="20"/>
          <w:szCs w:val="20"/>
        </w:rPr>
        <w:t>ier</w:t>
      </w:r>
      <w:r w:rsidR="00CD76DF" w:rsidRPr="00147D0A">
        <w:rPr>
          <w:rFonts w:ascii="Arial Hebrew" w:hAnsi="Arial Hebrew" w:cs="Arial Hebrew" w:hint="cs"/>
          <w:color w:val="000000" w:themeColor="text1"/>
          <w:sz w:val="20"/>
          <w:szCs w:val="20"/>
        </w:rPr>
        <w:t xml:space="preserve"> stage</w:t>
      </w:r>
      <w:r w:rsidR="002E7E1D" w:rsidRPr="00147D0A">
        <w:rPr>
          <w:rFonts w:ascii="Arial Hebrew" w:hAnsi="Arial Hebrew" w:cs="Arial Hebrew" w:hint="cs"/>
          <w:color w:val="000000" w:themeColor="text1"/>
          <w:sz w:val="20"/>
          <w:szCs w:val="20"/>
        </w:rPr>
        <w:t xml:space="preserve"> than current methodologies allow</w:t>
      </w:r>
      <w:r w:rsidR="00693533" w:rsidRPr="00147D0A">
        <w:rPr>
          <w:rFonts w:ascii="Arial Hebrew" w:hAnsi="Arial Hebrew" w:cs="Arial Hebrew" w:hint="cs"/>
          <w:color w:val="000000" w:themeColor="text1"/>
          <w:sz w:val="20"/>
          <w:szCs w:val="20"/>
        </w:rPr>
        <w:t xml:space="preserve">. </w:t>
      </w:r>
      <w:r w:rsidR="00546B0A" w:rsidRPr="00147D0A">
        <w:rPr>
          <w:rFonts w:ascii="Arial Hebrew" w:hAnsi="Arial Hebrew" w:cs="Arial Hebrew" w:hint="cs"/>
          <w:color w:val="000000" w:themeColor="text1"/>
          <w:sz w:val="20"/>
          <w:szCs w:val="20"/>
        </w:rPr>
        <w:t>Th</w:t>
      </w:r>
      <w:r w:rsidR="00CD76DF" w:rsidRPr="00147D0A">
        <w:rPr>
          <w:rFonts w:ascii="Arial Hebrew" w:hAnsi="Arial Hebrew" w:cs="Arial Hebrew" w:hint="cs"/>
          <w:color w:val="000000" w:themeColor="text1"/>
          <w:sz w:val="20"/>
          <w:szCs w:val="20"/>
        </w:rPr>
        <w:t>e</w:t>
      </w:r>
      <w:r w:rsidR="003B695C" w:rsidRPr="00147D0A">
        <w:rPr>
          <w:rFonts w:ascii="Arial Hebrew" w:hAnsi="Arial Hebrew" w:cs="Arial Hebrew" w:hint="cs"/>
          <w:color w:val="000000" w:themeColor="text1"/>
          <w:sz w:val="20"/>
          <w:szCs w:val="20"/>
        </w:rPr>
        <w:t xml:space="preserve"> proposed</w:t>
      </w:r>
      <w:r w:rsidR="00546B0A" w:rsidRPr="00147D0A">
        <w:rPr>
          <w:rFonts w:ascii="Arial Hebrew" w:hAnsi="Arial Hebrew" w:cs="Arial Hebrew" w:hint="cs"/>
          <w:color w:val="000000" w:themeColor="text1"/>
          <w:sz w:val="20"/>
          <w:szCs w:val="20"/>
        </w:rPr>
        <w:t xml:space="preserve"> index could track </w:t>
      </w:r>
      <w:r w:rsidR="003E2C21" w:rsidRPr="00147D0A">
        <w:rPr>
          <w:rFonts w:ascii="Arial Hebrew" w:hAnsi="Arial Hebrew" w:cs="Arial Hebrew" w:hint="cs"/>
          <w:color w:val="000000" w:themeColor="text1"/>
          <w:sz w:val="20"/>
          <w:szCs w:val="20"/>
        </w:rPr>
        <w:t>relevant observables at a high</w:t>
      </w:r>
      <w:r w:rsidR="00AD348E" w:rsidRPr="00147D0A">
        <w:rPr>
          <w:rFonts w:ascii="Arial Hebrew" w:hAnsi="Arial Hebrew" w:cs="Arial Hebrew" w:hint="cs"/>
          <w:color w:val="000000" w:themeColor="text1"/>
          <w:sz w:val="20"/>
          <w:szCs w:val="20"/>
        </w:rPr>
        <w:t xml:space="preserve"> </w:t>
      </w:r>
      <w:r w:rsidR="003E2C21" w:rsidRPr="00147D0A">
        <w:rPr>
          <w:rFonts w:ascii="Arial Hebrew" w:hAnsi="Arial Hebrew" w:cs="Arial Hebrew" w:hint="cs"/>
          <w:color w:val="000000" w:themeColor="text1"/>
          <w:sz w:val="20"/>
          <w:szCs w:val="20"/>
        </w:rPr>
        <w:t xml:space="preserve">frequency, including </w:t>
      </w:r>
      <w:r w:rsidR="00B473D8" w:rsidRPr="00147D0A">
        <w:rPr>
          <w:rFonts w:ascii="Arial Hebrew" w:hAnsi="Arial Hebrew" w:cs="Arial Hebrew" w:hint="cs"/>
          <w:color w:val="000000" w:themeColor="text1"/>
          <w:sz w:val="20"/>
          <w:szCs w:val="20"/>
        </w:rPr>
        <w:t>the reliability of essential utilities and infrastruct</w:t>
      </w:r>
      <w:r w:rsidR="00E86E29" w:rsidRPr="00147D0A">
        <w:rPr>
          <w:rFonts w:ascii="Arial Hebrew" w:hAnsi="Arial Hebrew" w:cs="Arial Hebrew" w:hint="cs"/>
          <w:color w:val="000000" w:themeColor="text1"/>
          <w:sz w:val="20"/>
          <w:szCs w:val="20"/>
        </w:rPr>
        <w:t>ure</w:t>
      </w:r>
      <w:r w:rsidR="00B473D8" w:rsidRPr="00147D0A">
        <w:rPr>
          <w:rFonts w:ascii="Arial Hebrew" w:hAnsi="Arial Hebrew" w:cs="Arial Hebrew" w:hint="cs"/>
          <w:color w:val="000000" w:themeColor="text1"/>
          <w:sz w:val="20"/>
          <w:szCs w:val="20"/>
        </w:rPr>
        <w:t xml:space="preserve">, process and outcome </w:t>
      </w:r>
      <w:r w:rsidR="00CC5710" w:rsidRPr="00147D0A">
        <w:rPr>
          <w:rFonts w:ascii="Arial Hebrew" w:hAnsi="Arial Hebrew" w:cs="Arial Hebrew" w:hint="cs"/>
          <w:color w:val="000000" w:themeColor="text1"/>
          <w:sz w:val="20"/>
          <w:szCs w:val="20"/>
        </w:rPr>
        <w:t xml:space="preserve">achievements </w:t>
      </w:r>
      <w:r w:rsidR="00B473D8" w:rsidRPr="00147D0A">
        <w:rPr>
          <w:rFonts w:ascii="Arial Hebrew" w:hAnsi="Arial Hebrew" w:cs="Arial Hebrew" w:hint="cs"/>
          <w:color w:val="000000" w:themeColor="text1"/>
          <w:sz w:val="20"/>
          <w:szCs w:val="20"/>
        </w:rPr>
        <w:t xml:space="preserve">in </w:t>
      </w:r>
      <w:r w:rsidR="009E2092" w:rsidRPr="00147D0A">
        <w:rPr>
          <w:rFonts w:ascii="Arial Hebrew" w:hAnsi="Arial Hebrew" w:cs="Arial Hebrew" w:hint="cs"/>
          <w:color w:val="000000" w:themeColor="text1"/>
          <w:sz w:val="20"/>
          <w:szCs w:val="20"/>
        </w:rPr>
        <w:t>social service</w:t>
      </w:r>
      <w:r w:rsidR="00B473D8" w:rsidRPr="00147D0A">
        <w:rPr>
          <w:rFonts w:ascii="Arial Hebrew" w:hAnsi="Arial Hebrew" w:cs="Arial Hebrew" w:hint="cs"/>
          <w:color w:val="000000" w:themeColor="text1"/>
          <w:sz w:val="20"/>
          <w:szCs w:val="20"/>
        </w:rPr>
        <w:t xml:space="preserve"> delivery</w:t>
      </w:r>
      <w:r w:rsidR="009E2092"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(e.g. public health and education)</w:t>
      </w:r>
      <w:r w:rsidR="00B473D8" w:rsidRPr="00147D0A">
        <w:rPr>
          <w:rFonts w:ascii="Arial Hebrew" w:hAnsi="Arial Hebrew" w:cs="Arial Hebrew" w:hint="cs"/>
          <w:color w:val="000000" w:themeColor="text1"/>
          <w:sz w:val="20"/>
          <w:szCs w:val="20"/>
        </w:rPr>
        <w:t>,</w:t>
      </w:r>
      <w:r w:rsidR="000806CF" w:rsidRPr="00147D0A">
        <w:rPr>
          <w:rFonts w:ascii="Arial Hebrew" w:hAnsi="Arial Hebrew" w:cs="Arial Hebrew" w:hint="cs"/>
          <w:color w:val="000000" w:themeColor="text1"/>
          <w:sz w:val="20"/>
          <w:szCs w:val="20"/>
        </w:rPr>
        <w:t xml:space="preserve"> </w:t>
      </w:r>
      <w:r w:rsidR="00B473D8" w:rsidRPr="00147D0A">
        <w:rPr>
          <w:rFonts w:ascii="Arial Hebrew" w:hAnsi="Arial Hebrew" w:cs="Arial Hebrew" w:hint="cs"/>
          <w:color w:val="000000" w:themeColor="text1"/>
          <w:sz w:val="20"/>
          <w:szCs w:val="20"/>
        </w:rPr>
        <w:t>a</w:t>
      </w:r>
      <w:r w:rsidR="002E7E1D" w:rsidRPr="00147D0A">
        <w:rPr>
          <w:rFonts w:ascii="Arial Hebrew" w:hAnsi="Arial Hebrew" w:cs="Arial Hebrew" w:hint="cs"/>
          <w:color w:val="000000" w:themeColor="text1"/>
          <w:sz w:val="20"/>
          <w:szCs w:val="20"/>
        </w:rPr>
        <w:t>s well as</w:t>
      </w:r>
      <w:r w:rsidR="00B473D8" w:rsidRPr="00147D0A">
        <w:rPr>
          <w:rFonts w:ascii="Arial Hebrew" w:hAnsi="Arial Hebrew" w:cs="Arial Hebrew" w:hint="cs"/>
          <w:color w:val="000000" w:themeColor="text1"/>
          <w:sz w:val="20"/>
          <w:szCs w:val="20"/>
        </w:rPr>
        <w:t xml:space="preserve"> </w:t>
      </w:r>
      <w:r w:rsidR="009E2092" w:rsidRPr="00147D0A">
        <w:rPr>
          <w:rFonts w:ascii="Arial Hebrew" w:hAnsi="Arial Hebrew" w:cs="Arial Hebrew" w:hint="cs"/>
          <w:color w:val="000000" w:themeColor="text1"/>
          <w:sz w:val="20"/>
          <w:szCs w:val="20"/>
        </w:rPr>
        <w:t>the speed and transparency of core administrative processes.</w:t>
      </w:r>
      <w:r w:rsidRPr="00147D0A">
        <w:rPr>
          <w:rStyle w:val="FootnoteReference"/>
          <w:rFonts w:ascii="Arial Hebrew" w:hAnsi="Arial Hebrew" w:cs="Arial Hebrew" w:hint="cs"/>
          <w:color w:val="000000" w:themeColor="text1"/>
          <w:sz w:val="20"/>
          <w:szCs w:val="20"/>
        </w:rPr>
        <w:footnoteReference w:id="22"/>
      </w:r>
      <w:r w:rsidR="009E2092" w:rsidRPr="00147D0A">
        <w:rPr>
          <w:rFonts w:ascii="Arial Hebrew" w:hAnsi="Arial Hebrew" w:cs="Arial Hebrew" w:hint="cs"/>
          <w:color w:val="000000" w:themeColor="text1"/>
          <w:sz w:val="20"/>
          <w:szCs w:val="20"/>
        </w:rPr>
        <w:t xml:space="preserve"> </w:t>
      </w:r>
      <w:r w:rsidR="00E86E29" w:rsidRPr="00147D0A">
        <w:rPr>
          <w:rFonts w:ascii="Arial Hebrew" w:hAnsi="Arial Hebrew" w:cs="Arial Hebrew" w:hint="cs"/>
          <w:color w:val="000000" w:themeColor="text1"/>
          <w:sz w:val="20"/>
          <w:szCs w:val="20"/>
        </w:rPr>
        <w:t>The design of this</w:t>
      </w:r>
      <w:r w:rsidR="00CC5710" w:rsidRPr="00147D0A">
        <w:rPr>
          <w:rFonts w:ascii="Arial Hebrew" w:hAnsi="Arial Hebrew" w:cs="Arial Hebrew" w:hint="cs"/>
          <w:color w:val="000000" w:themeColor="text1"/>
          <w:sz w:val="20"/>
          <w:szCs w:val="20"/>
        </w:rPr>
        <w:t xml:space="preserve"> index </w:t>
      </w:r>
      <w:r w:rsidR="003B695C" w:rsidRPr="00147D0A">
        <w:rPr>
          <w:rFonts w:ascii="Arial Hebrew" w:hAnsi="Arial Hebrew" w:cs="Arial Hebrew" w:hint="cs"/>
          <w:color w:val="000000" w:themeColor="text1"/>
          <w:sz w:val="20"/>
          <w:szCs w:val="20"/>
        </w:rPr>
        <w:t xml:space="preserve">would </w:t>
      </w:r>
      <w:r w:rsidR="00CC5710" w:rsidRPr="00147D0A">
        <w:rPr>
          <w:rFonts w:ascii="Arial Hebrew" w:hAnsi="Arial Hebrew" w:cs="Arial Hebrew" w:hint="cs"/>
          <w:color w:val="000000" w:themeColor="text1"/>
          <w:sz w:val="20"/>
          <w:szCs w:val="20"/>
        </w:rPr>
        <w:t xml:space="preserve">also offer an opportunity to incorporate measures of </w:t>
      </w:r>
      <w:r w:rsidR="00CC5710" w:rsidRPr="00147D0A">
        <w:rPr>
          <w:rFonts w:ascii="Arial Hebrew" w:hAnsi="Arial Hebrew" w:cs="Arial Hebrew" w:hint="cs"/>
          <w:i/>
          <w:iCs/>
          <w:color w:val="000000" w:themeColor="text1"/>
          <w:sz w:val="20"/>
          <w:szCs w:val="20"/>
        </w:rPr>
        <w:t>digital trust</w:t>
      </w:r>
      <w:r w:rsidR="00CC5710" w:rsidRPr="00147D0A">
        <w:rPr>
          <w:rFonts w:ascii="Arial Hebrew" w:hAnsi="Arial Hebrew" w:cs="Arial Hebrew" w:hint="cs"/>
          <w:color w:val="000000" w:themeColor="text1"/>
          <w:sz w:val="20"/>
          <w:szCs w:val="20"/>
        </w:rPr>
        <w:t>, reflecting the growing dependence of institutional credibility on</w:t>
      </w:r>
      <w:r w:rsidR="002E7E1D" w:rsidRPr="00147D0A">
        <w:rPr>
          <w:rFonts w:ascii="Arial Hebrew" w:hAnsi="Arial Hebrew" w:cs="Arial Hebrew" w:hint="cs"/>
          <w:color w:val="000000" w:themeColor="text1"/>
          <w:sz w:val="20"/>
          <w:szCs w:val="20"/>
        </w:rPr>
        <w:t xml:space="preserve"> the</w:t>
      </w:r>
      <w:r w:rsidR="00DF7C94" w:rsidRPr="00147D0A">
        <w:rPr>
          <w:rFonts w:ascii="Arial Hebrew" w:hAnsi="Arial Hebrew" w:cs="Arial Hebrew" w:hint="cs"/>
          <w:color w:val="000000" w:themeColor="text1"/>
          <w:sz w:val="20"/>
          <w:szCs w:val="20"/>
        </w:rPr>
        <w:t xml:space="preserve"> </w:t>
      </w:r>
      <w:r w:rsidR="00CC5710" w:rsidRPr="00147D0A">
        <w:rPr>
          <w:rFonts w:ascii="Arial Hebrew" w:hAnsi="Arial Hebrew" w:cs="Arial Hebrew" w:hint="cs"/>
          <w:color w:val="000000" w:themeColor="text1"/>
          <w:sz w:val="20"/>
          <w:szCs w:val="20"/>
        </w:rPr>
        <w:t xml:space="preserve">technological systems </w:t>
      </w:r>
      <w:r w:rsidR="002E7E1D" w:rsidRPr="00147D0A">
        <w:rPr>
          <w:rFonts w:ascii="Arial Hebrew" w:hAnsi="Arial Hebrew" w:cs="Arial Hebrew" w:hint="cs"/>
          <w:color w:val="000000" w:themeColor="text1"/>
          <w:sz w:val="20"/>
          <w:szCs w:val="20"/>
        </w:rPr>
        <w:t xml:space="preserve">that </w:t>
      </w:r>
      <w:r w:rsidR="00CC5710" w:rsidRPr="00147D0A">
        <w:rPr>
          <w:rFonts w:ascii="Arial Hebrew" w:hAnsi="Arial Hebrew" w:cs="Arial Hebrew" w:hint="cs"/>
          <w:color w:val="000000" w:themeColor="text1"/>
          <w:sz w:val="20"/>
          <w:szCs w:val="20"/>
        </w:rPr>
        <w:t>underpin the</w:t>
      </w:r>
      <w:r w:rsidR="002E7E1D" w:rsidRPr="00147D0A">
        <w:rPr>
          <w:rFonts w:ascii="Arial Hebrew" w:hAnsi="Arial Hebrew" w:cs="Arial Hebrew" w:hint="cs"/>
          <w:color w:val="000000" w:themeColor="text1"/>
          <w:sz w:val="20"/>
          <w:szCs w:val="20"/>
        </w:rPr>
        <w:t xml:space="preserve"> critical</w:t>
      </w:r>
      <w:r w:rsidR="00CC5710" w:rsidRPr="00147D0A">
        <w:rPr>
          <w:rFonts w:ascii="Arial Hebrew" w:hAnsi="Arial Hebrew" w:cs="Arial Hebrew" w:hint="cs"/>
          <w:color w:val="000000" w:themeColor="text1"/>
          <w:sz w:val="20"/>
          <w:szCs w:val="20"/>
        </w:rPr>
        <w:t xml:space="preserve"> functions of government</w:t>
      </w:r>
      <w:r w:rsidR="00E86E29" w:rsidRPr="00147D0A">
        <w:rPr>
          <w:rFonts w:ascii="Arial Hebrew" w:hAnsi="Arial Hebrew" w:cs="Arial Hebrew" w:hint="cs"/>
          <w:color w:val="000000" w:themeColor="text1"/>
          <w:sz w:val="20"/>
          <w:szCs w:val="20"/>
        </w:rPr>
        <w:t>,</w:t>
      </w:r>
      <w:r w:rsidR="00CC5710" w:rsidRPr="00147D0A">
        <w:rPr>
          <w:rFonts w:ascii="Arial Hebrew" w:hAnsi="Arial Hebrew" w:cs="Arial Hebrew" w:hint="cs"/>
          <w:color w:val="000000" w:themeColor="text1"/>
          <w:sz w:val="20"/>
          <w:szCs w:val="20"/>
        </w:rPr>
        <w:t xml:space="preserve"> </w:t>
      </w:r>
      <w:r w:rsidR="000565F7" w:rsidRPr="00147D0A">
        <w:rPr>
          <w:rFonts w:ascii="Arial Hebrew" w:hAnsi="Arial Hebrew" w:cs="Arial Hebrew" w:hint="cs"/>
          <w:color w:val="000000" w:themeColor="text1"/>
          <w:sz w:val="20"/>
          <w:szCs w:val="20"/>
        </w:rPr>
        <w:t>an</w:t>
      </w:r>
      <w:r w:rsidR="009E2092" w:rsidRPr="00147D0A">
        <w:rPr>
          <w:rFonts w:ascii="Arial Hebrew" w:hAnsi="Arial Hebrew" w:cs="Arial Hebrew" w:hint="cs"/>
          <w:color w:val="000000" w:themeColor="text1"/>
          <w:sz w:val="20"/>
          <w:szCs w:val="20"/>
        </w:rPr>
        <w:t xml:space="preserve"> </w:t>
      </w:r>
      <w:r w:rsidR="00CC5710" w:rsidRPr="00147D0A">
        <w:rPr>
          <w:rFonts w:ascii="Arial Hebrew" w:hAnsi="Arial Hebrew" w:cs="Arial Hebrew" w:hint="cs"/>
          <w:color w:val="000000" w:themeColor="text1"/>
          <w:sz w:val="20"/>
          <w:szCs w:val="20"/>
        </w:rPr>
        <w:t xml:space="preserve">important </w:t>
      </w:r>
      <w:r w:rsidR="009E2092" w:rsidRPr="00147D0A">
        <w:rPr>
          <w:rFonts w:ascii="Arial Hebrew" w:hAnsi="Arial Hebrew" w:cs="Arial Hebrew" w:hint="cs"/>
          <w:color w:val="000000" w:themeColor="text1"/>
          <w:sz w:val="20"/>
          <w:szCs w:val="20"/>
        </w:rPr>
        <w:t>emerging risk factor</w:t>
      </w:r>
      <w:r w:rsidR="00693533"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that is </w:t>
      </w:r>
      <w:r w:rsidR="000565F7" w:rsidRPr="00147D0A">
        <w:rPr>
          <w:rFonts w:ascii="Arial Hebrew" w:hAnsi="Arial Hebrew" w:cs="Arial Hebrew" w:hint="cs"/>
          <w:color w:val="000000" w:themeColor="text1"/>
          <w:sz w:val="20"/>
          <w:szCs w:val="20"/>
        </w:rPr>
        <w:t xml:space="preserve">not </w:t>
      </w:r>
      <w:r w:rsidR="00B473D8" w:rsidRPr="00147D0A">
        <w:rPr>
          <w:rFonts w:ascii="Arial Hebrew" w:hAnsi="Arial Hebrew" w:cs="Arial Hebrew" w:hint="cs"/>
          <w:color w:val="000000" w:themeColor="text1"/>
          <w:sz w:val="20"/>
          <w:szCs w:val="20"/>
        </w:rPr>
        <w:t xml:space="preserve">yet </w:t>
      </w:r>
      <w:r w:rsidR="002E7E1D" w:rsidRPr="00147D0A">
        <w:rPr>
          <w:rFonts w:ascii="Arial Hebrew" w:hAnsi="Arial Hebrew" w:cs="Arial Hebrew" w:hint="cs"/>
          <w:color w:val="000000" w:themeColor="text1"/>
          <w:sz w:val="20"/>
          <w:szCs w:val="20"/>
        </w:rPr>
        <w:t>adequately considered</w:t>
      </w:r>
      <w:r w:rsidR="000565F7" w:rsidRPr="00147D0A">
        <w:rPr>
          <w:rFonts w:ascii="Arial Hebrew" w:hAnsi="Arial Hebrew" w:cs="Arial Hebrew" w:hint="cs"/>
          <w:color w:val="000000" w:themeColor="text1"/>
          <w:sz w:val="20"/>
          <w:szCs w:val="20"/>
        </w:rPr>
        <w:t xml:space="preserve"> in</w:t>
      </w:r>
      <w:r w:rsidR="00693533" w:rsidRPr="00147D0A">
        <w:rPr>
          <w:rFonts w:ascii="Arial Hebrew" w:hAnsi="Arial Hebrew" w:cs="Arial Hebrew" w:hint="cs"/>
          <w:color w:val="000000" w:themeColor="text1"/>
          <w:sz w:val="20"/>
          <w:szCs w:val="20"/>
        </w:rPr>
        <w:t xml:space="preserve"> credit assessments</w:t>
      </w:r>
      <w:r w:rsidR="009E2092" w:rsidRPr="00147D0A">
        <w:rPr>
          <w:rFonts w:ascii="Arial Hebrew" w:hAnsi="Arial Hebrew" w:cs="Arial Hebrew" w:hint="cs"/>
          <w:color w:val="000000" w:themeColor="text1"/>
          <w:sz w:val="20"/>
          <w:szCs w:val="20"/>
        </w:rPr>
        <w:t>.</w:t>
      </w:r>
      <w:r w:rsidR="009E2092" w:rsidRPr="00147D0A">
        <w:rPr>
          <w:rStyle w:val="FootnoteReference"/>
          <w:rFonts w:ascii="Arial Hebrew" w:hAnsi="Arial Hebrew" w:cs="Arial Hebrew" w:hint="cs"/>
          <w:color w:val="000000" w:themeColor="text1"/>
          <w:sz w:val="20"/>
          <w:szCs w:val="20"/>
        </w:rPr>
        <w:footnoteReference w:id="23"/>
      </w:r>
    </w:p>
    <w:p w14:paraId="60F4922B" w14:textId="60AE527D" w:rsidR="00534E97" w:rsidRPr="00147D0A" w:rsidRDefault="005E1771" w:rsidP="00534E97">
      <w:pPr>
        <w:spacing w:after="24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As an </w:t>
      </w:r>
      <w:r w:rsidR="002E7E1D" w:rsidRPr="00147D0A">
        <w:rPr>
          <w:rFonts w:ascii="Arial Hebrew" w:hAnsi="Arial Hebrew" w:cs="Arial Hebrew" w:hint="cs"/>
          <w:color w:val="000000" w:themeColor="text1"/>
          <w:sz w:val="20"/>
          <w:szCs w:val="20"/>
        </w:rPr>
        <w:t>input</w:t>
      </w:r>
      <w:r w:rsidRPr="00147D0A">
        <w:rPr>
          <w:rFonts w:ascii="Arial Hebrew" w:hAnsi="Arial Hebrew" w:cs="Arial Hebrew" w:hint="cs"/>
          <w:color w:val="000000" w:themeColor="text1"/>
          <w:sz w:val="20"/>
          <w:szCs w:val="20"/>
        </w:rPr>
        <w:t xml:space="preserve"> for credit assessments, </w:t>
      </w:r>
      <w:r w:rsidR="00A135FF" w:rsidRPr="00147D0A">
        <w:rPr>
          <w:rFonts w:ascii="Arial Hebrew" w:hAnsi="Arial Hebrew" w:cs="Arial Hebrew" w:hint="cs"/>
          <w:color w:val="000000" w:themeColor="text1"/>
          <w:sz w:val="20"/>
          <w:szCs w:val="20"/>
        </w:rPr>
        <w:t xml:space="preserve">such a proposed </w:t>
      </w:r>
      <w:r w:rsidR="00A135FF" w:rsidRPr="00147D0A">
        <w:rPr>
          <w:rFonts w:ascii="Arial Hebrew" w:hAnsi="Arial Hebrew" w:cs="Arial Hebrew" w:hint="cs"/>
          <w:i/>
          <w:iCs/>
          <w:color w:val="000000" w:themeColor="text1"/>
          <w:sz w:val="20"/>
          <w:szCs w:val="20"/>
        </w:rPr>
        <w:t>global trust index</w:t>
      </w:r>
      <w:r w:rsidR="00A135FF"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would be superior </w:t>
      </w:r>
      <w:r w:rsidR="00201D5D" w:rsidRPr="00147D0A">
        <w:rPr>
          <w:rFonts w:ascii="Arial Hebrew" w:hAnsi="Arial Hebrew" w:cs="Arial Hebrew" w:hint="cs"/>
          <w:color w:val="000000" w:themeColor="text1"/>
          <w:sz w:val="20"/>
          <w:szCs w:val="20"/>
        </w:rPr>
        <w:t>not</w:t>
      </w:r>
      <w:r w:rsidR="009E2092" w:rsidRPr="00147D0A">
        <w:rPr>
          <w:rFonts w:ascii="Arial Hebrew" w:hAnsi="Arial Hebrew" w:cs="Arial Hebrew" w:hint="cs"/>
          <w:color w:val="000000" w:themeColor="text1"/>
          <w:sz w:val="20"/>
          <w:szCs w:val="20"/>
        </w:rPr>
        <w:t xml:space="preserve"> only </w:t>
      </w:r>
      <w:r w:rsidRPr="00147D0A">
        <w:rPr>
          <w:rFonts w:ascii="Arial Hebrew" w:hAnsi="Arial Hebrew" w:cs="Arial Hebrew" w:hint="cs"/>
          <w:color w:val="000000" w:themeColor="text1"/>
          <w:sz w:val="20"/>
          <w:szCs w:val="20"/>
        </w:rPr>
        <w:t>to</w:t>
      </w:r>
      <w:r w:rsidR="009E2092" w:rsidRPr="00147D0A">
        <w:rPr>
          <w:rFonts w:ascii="Arial Hebrew" w:hAnsi="Arial Hebrew" w:cs="Arial Hebrew" w:hint="cs"/>
          <w:color w:val="000000" w:themeColor="text1"/>
          <w:sz w:val="20"/>
          <w:szCs w:val="20"/>
        </w:rPr>
        <w:t xml:space="preserve"> the </w:t>
      </w:r>
      <w:r w:rsidR="00E45E5F" w:rsidRPr="00147D0A">
        <w:rPr>
          <w:rFonts w:ascii="Arial Hebrew" w:hAnsi="Arial Hebrew" w:cs="Arial Hebrew" w:hint="cs"/>
          <w:color w:val="000000" w:themeColor="text1"/>
          <w:sz w:val="20"/>
          <w:szCs w:val="20"/>
        </w:rPr>
        <w:t xml:space="preserve">World Bank’s </w:t>
      </w:r>
      <w:r w:rsidR="009E2092" w:rsidRPr="00147D0A">
        <w:rPr>
          <w:rFonts w:ascii="Arial Hebrew" w:hAnsi="Arial Hebrew" w:cs="Arial Hebrew" w:hint="cs"/>
          <w:color w:val="000000" w:themeColor="text1"/>
          <w:sz w:val="20"/>
          <w:szCs w:val="20"/>
        </w:rPr>
        <w:t>GE Index, but</w:t>
      </w:r>
      <w:r w:rsidR="00A135FF" w:rsidRPr="00147D0A">
        <w:rPr>
          <w:rFonts w:ascii="Arial Hebrew" w:hAnsi="Arial Hebrew" w:cs="Arial Hebrew" w:hint="cs"/>
          <w:color w:val="000000" w:themeColor="text1"/>
          <w:sz w:val="20"/>
          <w:szCs w:val="20"/>
        </w:rPr>
        <w:t xml:space="preserve"> arguably</w:t>
      </w:r>
      <w:r w:rsidRPr="00147D0A">
        <w:rPr>
          <w:rFonts w:ascii="Arial Hebrew" w:hAnsi="Arial Hebrew" w:cs="Arial Hebrew" w:hint="cs"/>
          <w:color w:val="000000" w:themeColor="text1"/>
          <w:sz w:val="20"/>
          <w:szCs w:val="20"/>
        </w:rPr>
        <w:t xml:space="preserve"> </w:t>
      </w:r>
      <w:r w:rsidR="006E5A42" w:rsidRPr="00147D0A">
        <w:rPr>
          <w:rFonts w:ascii="Arial Hebrew" w:hAnsi="Arial Hebrew" w:cs="Arial Hebrew" w:hint="cs"/>
          <w:color w:val="000000" w:themeColor="text1"/>
          <w:sz w:val="20"/>
          <w:szCs w:val="20"/>
        </w:rPr>
        <w:t xml:space="preserve">to </w:t>
      </w:r>
      <w:r w:rsidR="009E2092" w:rsidRPr="00147D0A">
        <w:rPr>
          <w:rFonts w:ascii="Arial Hebrew" w:hAnsi="Arial Hebrew" w:cs="Arial Hebrew" w:hint="cs"/>
          <w:color w:val="000000" w:themeColor="text1"/>
          <w:sz w:val="20"/>
          <w:szCs w:val="20"/>
        </w:rPr>
        <w:t>the</w:t>
      </w:r>
      <w:r w:rsidR="00086625" w:rsidRPr="00147D0A">
        <w:rPr>
          <w:rFonts w:ascii="Arial Hebrew" w:hAnsi="Arial Hebrew" w:cs="Arial Hebrew" w:hint="cs"/>
          <w:color w:val="000000" w:themeColor="text1"/>
          <w:sz w:val="20"/>
          <w:szCs w:val="20"/>
        </w:rPr>
        <w:t xml:space="preserve"> whole</w:t>
      </w:r>
      <w:r w:rsidR="009E2092" w:rsidRPr="00147D0A">
        <w:rPr>
          <w:rFonts w:ascii="Arial Hebrew" w:hAnsi="Arial Hebrew" w:cs="Arial Hebrew" w:hint="cs"/>
          <w:color w:val="000000" w:themeColor="text1"/>
          <w:sz w:val="20"/>
          <w:szCs w:val="20"/>
        </w:rPr>
        <w:t xml:space="preserve"> </w:t>
      </w:r>
      <w:r w:rsidR="006E5A42" w:rsidRPr="00147D0A">
        <w:rPr>
          <w:rFonts w:ascii="Arial Hebrew" w:hAnsi="Arial Hebrew" w:cs="Arial Hebrew" w:hint="cs"/>
          <w:color w:val="000000" w:themeColor="text1"/>
          <w:sz w:val="20"/>
          <w:szCs w:val="20"/>
        </w:rPr>
        <w:t>collective</w:t>
      </w:r>
      <w:r w:rsidR="009E2092" w:rsidRPr="00147D0A">
        <w:rPr>
          <w:rFonts w:ascii="Arial Hebrew" w:hAnsi="Arial Hebrew" w:cs="Arial Hebrew" w:hint="cs"/>
          <w:color w:val="000000" w:themeColor="text1"/>
          <w:sz w:val="20"/>
          <w:szCs w:val="20"/>
        </w:rPr>
        <w:t xml:space="preserve"> suite of W</w:t>
      </w:r>
      <w:r w:rsidR="006E5A42" w:rsidRPr="00147D0A">
        <w:rPr>
          <w:rFonts w:ascii="Arial Hebrew" w:hAnsi="Arial Hebrew" w:cs="Arial Hebrew" w:hint="cs"/>
          <w:color w:val="000000" w:themeColor="text1"/>
          <w:sz w:val="20"/>
          <w:szCs w:val="20"/>
        </w:rPr>
        <w:t>orldwide Governance Indicators</w:t>
      </w:r>
      <w:r w:rsidR="00E301D5" w:rsidRPr="00147D0A">
        <w:rPr>
          <w:rFonts w:ascii="Arial Hebrew" w:hAnsi="Arial Hebrew" w:cs="Arial Hebrew" w:hint="cs"/>
          <w:color w:val="000000" w:themeColor="text1"/>
          <w:sz w:val="20"/>
          <w:szCs w:val="20"/>
        </w:rPr>
        <w:t>. This is because the WGIs</w:t>
      </w:r>
      <w:r w:rsidR="00AD348E" w:rsidRPr="00147D0A">
        <w:rPr>
          <w:rFonts w:ascii="Arial Hebrew" w:hAnsi="Arial Hebrew" w:cs="Arial Hebrew" w:hint="cs"/>
          <w:color w:val="000000" w:themeColor="text1"/>
          <w:sz w:val="20"/>
          <w:szCs w:val="20"/>
        </w:rPr>
        <w:t xml:space="preserve"> –</w:t>
      </w:r>
      <w:r w:rsidR="00E301D5" w:rsidRPr="00147D0A">
        <w:rPr>
          <w:rFonts w:ascii="Arial Hebrew" w:hAnsi="Arial Hebrew" w:cs="Arial Hebrew" w:hint="cs"/>
          <w:color w:val="000000" w:themeColor="text1"/>
          <w:sz w:val="20"/>
          <w:szCs w:val="20"/>
        </w:rPr>
        <w:t xml:space="preserve"> </w:t>
      </w:r>
      <w:r w:rsidR="00086625" w:rsidRPr="00147D0A">
        <w:rPr>
          <w:rFonts w:ascii="Arial Hebrew" w:hAnsi="Arial Hebrew" w:cs="Arial Hebrew" w:hint="cs"/>
          <w:color w:val="000000" w:themeColor="text1"/>
          <w:sz w:val="20"/>
          <w:szCs w:val="20"/>
        </w:rPr>
        <w:t>which</w:t>
      </w:r>
      <w:r w:rsidRPr="00147D0A">
        <w:rPr>
          <w:rFonts w:ascii="Arial Hebrew" w:hAnsi="Arial Hebrew" w:cs="Arial Hebrew" w:hint="cs"/>
          <w:color w:val="000000" w:themeColor="text1"/>
          <w:sz w:val="20"/>
          <w:szCs w:val="20"/>
        </w:rPr>
        <w:t xml:space="preserve"> purport to measure</w:t>
      </w:r>
      <w:r w:rsidR="006E5A42" w:rsidRPr="00147D0A">
        <w:rPr>
          <w:rFonts w:ascii="Arial Hebrew" w:hAnsi="Arial Hebrew" w:cs="Arial Hebrew" w:hint="cs"/>
          <w:color w:val="000000" w:themeColor="text1"/>
          <w:sz w:val="20"/>
          <w:szCs w:val="20"/>
        </w:rPr>
        <w:t xml:space="preserve"> distinct aspects of governance</w:t>
      </w:r>
      <w:r w:rsidR="00AD348E" w:rsidRPr="00147D0A">
        <w:rPr>
          <w:rFonts w:ascii="Arial Hebrew" w:hAnsi="Arial Hebrew" w:cs="Arial Hebrew" w:hint="cs"/>
          <w:color w:val="000000" w:themeColor="text1"/>
          <w:sz w:val="20"/>
          <w:szCs w:val="20"/>
        </w:rPr>
        <w:t xml:space="preserve"> – </w:t>
      </w:r>
      <w:r w:rsidR="00E45E5F" w:rsidRPr="00147D0A">
        <w:rPr>
          <w:rFonts w:ascii="Arial Hebrew" w:hAnsi="Arial Hebrew" w:cs="Arial Hebrew" w:hint="cs"/>
          <w:color w:val="000000" w:themeColor="text1"/>
          <w:sz w:val="20"/>
          <w:szCs w:val="20"/>
        </w:rPr>
        <w:t>exhibit a</w:t>
      </w:r>
      <w:r w:rsidR="00E301D5" w:rsidRPr="00147D0A">
        <w:rPr>
          <w:rFonts w:ascii="Arial Hebrew" w:hAnsi="Arial Hebrew" w:cs="Arial Hebrew" w:hint="cs"/>
          <w:color w:val="000000" w:themeColor="text1"/>
          <w:sz w:val="20"/>
          <w:szCs w:val="20"/>
        </w:rPr>
        <w:t xml:space="preserve"> very</w:t>
      </w:r>
      <w:r w:rsidR="00E45E5F" w:rsidRPr="00147D0A">
        <w:rPr>
          <w:rFonts w:ascii="Arial Hebrew" w:hAnsi="Arial Hebrew" w:cs="Arial Hebrew" w:hint="cs"/>
          <w:color w:val="000000" w:themeColor="text1"/>
          <w:sz w:val="20"/>
          <w:szCs w:val="20"/>
        </w:rPr>
        <w:t xml:space="preserve"> high degree of cross-correlation</w:t>
      </w:r>
      <w:r w:rsidR="00A135FF" w:rsidRPr="00147D0A">
        <w:rPr>
          <w:rFonts w:ascii="Arial Hebrew" w:hAnsi="Arial Hebrew" w:cs="Arial Hebrew" w:hint="cs"/>
          <w:color w:val="000000" w:themeColor="text1"/>
          <w:sz w:val="20"/>
          <w:szCs w:val="20"/>
        </w:rPr>
        <w:t xml:space="preserve"> (especially when excluding </w:t>
      </w:r>
      <w:r w:rsidR="00A135FF" w:rsidRPr="00147D0A">
        <w:rPr>
          <w:rFonts w:ascii="Arial Hebrew" w:hAnsi="Arial Hebrew" w:cs="Arial Hebrew" w:hint="cs"/>
          <w:i/>
          <w:iCs/>
          <w:color w:val="000000" w:themeColor="text1"/>
          <w:sz w:val="20"/>
          <w:szCs w:val="20"/>
        </w:rPr>
        <w:t>Voice &amp; Accountability</w:t>
      </w:r>
      <w:r w:rsidR="00E86E29" w:rsidRPr="00147D0A">
        <w:rPr>
          <w:rFonts w:ascii="Arial Hebrew" w:hAnsi="Arial Hebrew" w:cs="Arial Hebrew" w:hint="cs"/>
          <w:color w:val="000000" w:themeColor="text1"/>
          <w:sz w:val="20"/>
          <w:szCs w:val="20"/>
        </w:rPr>
        <w:t xml:space="preserve"> –</w:t>
      </w:r>
      <w:r w:rsidR="00A135FF" w:rsidRPr="00147D0A">
        <w:rPr>
          <w:rFonts w:ascii="Arial Hebrew" w:hAnsi="Arial Hebrew" w:cs="Arial Hebrew" w:hint="cs"/>
          <w:color w:val="000000" w:themeColor="text1"/>
          <w:sz w:val="20"/>
          <w:szCs w:val="20"/>
        </w:rPr>
        <w:t xml:space="preserve"> see </w:t>
      </w:r>
      <w:r w:rsidR="00A135FF" w:rsidRPr="00147D0A">
        <w:rPr>
          <w:rFonts w:ascii="Arial Hebrew" w:hAnsi="Arial Hebrew" w:cs="Arial Hebrew" w:hint="cs"/>
          <w:b/>
          <w:bCs/>
          <w:color w:val="000000" w:themeColor="text1"/>
          <w:sz w:val="20"/>
          <w:szCs w:val="20"/>
        </w:rPr>
        <w:t>Table 6)</w:t>
      </w:r>
      <w:r w:rsidR="00AD348E" w:rsidRPr="00147D0A">
        <w:rPr>
          <w:rFonts w:ascii="Arial Hebrew" w:hAnsi="Arial Hebrew" w:cs="Arial Hebrew" w:hint="cs"/>
          <w:color w:val="000000" w:themeColor="text1"/>
          <w:sz w:val="20"/>
          <w:szCs w:val="20"/>
        </w:rPr>
        <w:t>.</w:t>
      </w:r>
      <w:r w:rsidR="00086625"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This </w:t>
      </w:r>
      <w:r w:rsidR="00CC216A" w:rsidRPr="00147D0A">
        <w:rPr>
          <w:rFonts w:ascii="Arial Hebrew" w:hAnsi="Arial Hebrew" w:cs="Arial Hebrew" w:hint="cs"/>
          <w:color w:val="000000" w:themeColor="text1"/>
          <w:sz w:val="20"/>
          <w:szCs w:val="20"/>
        </w:rPr>
        <w:t xml:space="preserve">accords with </w:t>
      </w:r>
      <w:r w:rsidR="00CA0D7D" w:rsidRPr="00147D0A">
        <w:rPr>
          <w:rFonts w:ascii="Arial Hebrew" w:hAnsi="Arial Hebrew" w:cs="Arial Hebrew" w:hint="cs"/>
          <w:color w:val="000000" w:themeColor="text1"/>
          <w:sz w:val="20"/>
          <w:szCs w:val="20"/>
        </w:rPr>
        <w:t xml:space="preserve">the </w:t>
      </w:r>
      <w:r w:rsidR="00E301D5" w:rsidRPr="00147D0A">
        <w:rPr>
          <w:rFonts w:ascii="Arial Hebrew" w:hAnsi="Arial Hebrew" w:cs="Arial Hebrew" w:hint="cs"/>
          <w:color w:val="000000" w:themeColor="text1"/>
          <w:sz w:val="20"/>
          <w:szCs w:val="20"/>
        </w:rPr>
        <w:t>substantial</w:t>
      </w:r>
      <w:r w:rsidR="00CA0D7D" w:rsidRPr="00147D0A">
        <w:rPr>
          <w:rFonts w:ascii="Arial Hebrew" w:hAnsi="Arial Hebrew" w:cs="Arial Hebrew" w:hint="cs"/>
          <w:color w:val="000000" w:themeColor="text1"/>
          <w:sz w:val="20"/>
          <w:szCs w:val="20"/>
        </w:rPr>
        <w:t xml:space="preserve"> degree of</w:t>
      </w:r>
      <w:r w:rsidR="001F5006" w:rsidRPr="00147D0A">
        <w:rPr>
          <w:rFonts w:ascii="Arial Hebrew" w:hAnsi="Arial Hebrew" w:cs="Arial Hebrew" w:hint="cs"/>
          <w:color w:val="000000" w:themeColor="text1"/>
          <w:sz w:val="20"/>
          <w:szCs w:val="20"/>
        </w:rPr>
        <w:t xml:space="preserve"> conceptual overlap in </w:t>
      </w:r>
      <w:r w:rsidR="00AD348E" w:rsidRPr="00147D0A">
        <w:rPr>
          <w:rFonts w:ascii="Arial Hebrew" w:hAnsi="Arial Hebrew" w:cs="Arial Hebrew" w:hint="cs"/>
          <w:color w:val="000000" w:themeColor="text1"/>
          <w:sz w:val="20"/>
          <w:szCs w:val="20"/>
        </w:rPr>
        <w:t>individuals</w:t>
      </w:r>
      <w:r w:rsidR="001F5006" w:rsidRPr="00147D0A">
        <w:rPr>
          <w:rFonts w:ascii="Arial Hebrew" w:hAnsi="Arial Hebrew" w:cs="Arial Hebrew" w:hint="cs"/>
          <w:color w:val="000000" w:themeColor="text1"/>
          <w:sz w:val="20"/>
          <w:szCs w:val="20"/>
        </w:rPr>
        <w:t xml:space="preserve"> WGIs’ definitions</w:t>
      </w:r>
      <w:r w:rsidR="00AD348E"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color w:val="000000" w:themeColor="text1"/>
          <w:sz w:val="20"/>
          <w:szCs w:val="20"/>
        </w:rPr>
        <w:t xml:space="preserve">particularly for the </w:t>
      </w:r>
      <w:r w:rsidR="00534E97" w:rsidRPr="00147D0A">
        <w:rPr>
          <w:rFonts w:ascii="Arial Hebrew" w:hAnsi="Arial Hebrew" w:cs="Arial Hebrew" w:hint="cs"/>
          <w:i/>
          <w:iCs/>
          <w:color w:val="000000" w:themeColor="text1"/>
          <w:sz w:val="20"/>
          <w:szCs w:val="20"/>
        </w:rPr>
        <w:t>core four</w:t>
      </w:r>
      <w:r w:rsidR="00534E97" w:rsidRPr="00147D0A">
        <w:rPr>
          <w:rFonts w:ascii="Arial Hebrew" w:hAnsi="Arial Hebrew" w:cs="Arial Hebrew" w:hint="cs"/>
          <w:color w:val="000000" w:themeColor="text1"/>
          <w:sz w:val="20"/>
          <w:szCs w:val="20"/>
        </w:rPr>
        <w:t xml:space="preserve"> indicators</w:t>
      </w:r>
      <w:r w:rsidR="00E86E29"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i/>
          <w:iCs/>
          <w:color w:val="000000" w:themeColor="text1"/>
          <w:sz w:val="20"/>
          <w:szCs w:val="20"/>
        </w:rPr>
        <w:t>Government Effectiveness</w:t>
      </w:r>
      <w:r w:rsidR="00534E97"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i/>
          <w:iCs/>
          <w:color w:val="000000" w:themeColor="text1"/>
          <w:sz w:val="20"/>
          <w:szCs w:val="20"/>
        </w:rPr>
        <w:t>Regulatory Quality</w:t>
      </w:r>
      <w:r w:rsidR="00534E97" w:rsidRPr="00147D0A">
        <w:rPr>
          <w:rFonts w:ascii="Arial Hebrew" w:hAnsi="Arial Hebrew" w:cs="Arial Hebrew" w:hint="cs"/>
          <w:color w:val="000000" w:themeColor="text1"/>
          <w:sz w:val="20"/>
          <w:szCs w:val="20"/>
        </w:rPr>
        <w:t xml:space="preserve">, </w:t>
      </w:r>
      <w:r w:rsidR="00534E97" w:rsidRPr="00147D0A">
        <w:rPr>
          <w:rFonts w:ascii="Arial Hebrew" w:hAnsi="Arial Hebrew" w:cs="Arial Hebrew" w:hint="cs"/>
          <w:i/>
          <w:iCs/>
          <w:color w:val="000000" w:themeColor="text1"/>
          <w:sz w:val="20"/>
          <w:szCs w:val="20"/>
        </w:rPr>
        <w:t>Rule of Law</w:t>
      </w:r>
      <w:r w:rsidR="00534E97" w:rsidRPr="00147D0A">
        <w:rPr>
          <w:rFonts w:ascii="Arial Hebrew" w:hAnsi="Arial Hebrew" w:cs="Arial Hebrew" w:hint="cs"/>
          <w:color w:val="000000" w:themeColor="text1"/>
          <w:sz w:val="20"/>
          <w:szCs w:val="20"/>
        </w:rPr>
        <w:t xml:space="preserve"> and </w:t>
      </w:r>
      <w:r w:rsidR="00534E97" w:rsidRPr="00147D0A">
        <w:rPr>
          <w:rFonts w:ascii="Arial Hebrew" w:hAnsi="Arial Hebrew" w:cs="Arial Hebrew" w:hint="cs"/>
          <w:i/>
          <w:iCs/>
          <w:color w:val="000000" w:themeColor="text1"/>
          <w:sz w:val="20"/>
          <w:szCs w:val="20"/>
        </w:rPr>
        <w:t>Control of Corruption</w:t>
      </w:r>
      <w:r w:rsidR="00AD348E" w:rsidRPr="00147D0A">
        <w:rPr>
          <w:rFonts w:ascii="Arial Hebrew" w:hAnsi="Arial Hebrew" w:cs="Arial Hebrew" w:hint="cs"/>
          <w:color w:val="000000" w:themeColor="text1"/>
          <w:sz w:val="20"/>
          <w:szCs w:val="20"/>
        </w:rPr>
        <w:t xml:space="preserve">. This overlap </w:t>
      </w:r>
      <w:r w:rsidR="00E86E29" w:rsidRPr="00147D0A">
        <w:rPr>
          <w:rFonts w:ascii="Arial Hebrew" w:hAnsi="Arial Hebrew" w:cs="Arial Hebrew" w:hint="cs"/>
          <w:color w:val="000000" w:themeColor="text1"/>
          <w:sz w:val="20"/>
          <w:szCs w:val="20"/>
        </w:rPr>
        <w:t>mak</w:t>
      </w:r>
      <w:r w:rsidR="00AD348E" w:rsidRPr="00147D0A">
        <w:rPr>
          <w:rFonts w:ascii="Arial Hebrew" w:hAnsi="Arial Hebrew" w:cs="Arial Hebrew" w:hint="cs"/>
          <w:color w:val="000000" w:themeColor="text1"/>
          <w:sz w:val="20"/>
          <w:szCs w:val="20"/>
        </w:rPr>
        <w:t>es</w:t>
      </w:r>
      <w:r w:rsidR="00A135FF" w:rsidRPr="00147D0A">
        <w:rPr>
          <w:rFonts w:ascii="Arial Hebrew" w:hAnsi="Arial Hebrew" w:cs="Arial Hebrew" w:hint="cs"/>
          <w:color w:val="000000" w:themeColor="text1"/>
          <w:sz w:val="20"/>
          <w:szCs w:val="20"/>
        </w:rPr>
        <w:t xml:space="preserve"> </w:t>
      </w:r>
      <w:r w:rsidR="00E86E29" w:rsidRPr="00147D0A">
        <w:rPr>
          <w:rFonts w:ascii="Arial Hebrew" w:hAnsi="Arial Hebrew" w:cs="Arial Hebrew" w:hint="cs"/>
          <w:color w:val="000000" w:themeColor="text1"/>
          <w:sz w:val="20"/>
          <w:szCs w:val="20"/>
        </w:rPr>
        <w:t>many of the</w:t>
      </w:r>
      <w:r w:rsidR="00A135FF" w:rsidRPr="00147D0A">
        <w:rPr>
          <w:rFonts w:ascii="Arial Hebrew" w:hAnsi="Arial Hebrew" w:cs="Arial Hebrew" w:hint="cs"/>
          <w:color w:val="000000" w:themeColor="text1"/>
          <w:sz w:val="20"/>
          <w:szCs w:val="20"/>
        </w:rPr>
        <w:t xml:space="preserve"> underlying input data sources relevant to multiple WGIs</w:t>
      </w:r>
      <w:r w:rsidR="00E86E29" w:rsidRPr="00147D0A">
        <w:rPr>
          <w:rFonts w:ascii="Arial Hebrew" w:hAnsi="Arial Hebrew" w:cs="Arial Hebrew" w:hint="cs"/>
          <w:color w:val="000000" w:themeColor="text1"/>
          <w:sz w:val="20"/>
          <w:szCs w:val="20"/>
        </w:rPr>
        <w:t xml:space="preserve">, </w:t>
      </w:r>
      <w:r w:rsidR="00A135FF" w:rsidRPr="00147D0A">
        <w:rPr>
          <w:rFonts w:ascii="Arial Hebrew" w:hAnsi="Arial Hebrew" w:cs="Arial Hebrew" w:hint="cs"/>
          <w:color w:val="000000" w:themeColor="text1"/>
          <w:sz w:val="20"/>
          <w:szCs w:val="20"/>
        </w:rPr>
        <w:t xml:space="preserve">not only the one to which they </w:t>
      </w:r>
      <w:r w:rsidR="00AD348E" w:rsidRPr="00147D0A">
        <w:rPr>
          <w:rFonts w:ascii="Arial Hebrew" w:hAnsi="Arial Hebrew" w:cs="Arial Hebrew" w:hint="cs"/>
          <w:color w:val="000000" w:themeColor="text1"/>
          <w:sz w:val="20"/>
          <w:szCs w:val="20"/>
        </w:rPr>
        <w:t>were</w:t>
      </w:r>
      <w:r w:rsidR="00A135FF" w:rsidRPr="00147D0A">
        <w:rPr>
          <w:rFonts w:ascii="Arial Hebrew" w:hAnsi="Arial Hebrew" w:cs="Arial Hebrew" w:hint="cs"/>
          <w:color w:val="000000" w:themeColor="text1"/>
          <w:sz w:val="20"/>
          <w:szCs w:val="20"/>
        </w:rPr>
        <w:t xml:space="preserve"> assigned</w:t>
      </w:r>
      <w:r w:rsidR="00534E97" w:rsidRPr="00147D0A">
        <w:rPr>
          <w:rFonts w:ascii="Arial Hebrew" w:hAnsi="Arial Hebrew" w:cs="Arial Hebrew" w:hint="cs"/>
          <w:color w:val="000000" w:themeColor="text1"/>
          <w:sz w:val="20"/>
          <w:szCs w:val="20"/>
        </w:rPr>
        <w:t xml:space="preserve">. </w:t>
      </w:r>
      <w:r w:rsidR="00866664" w:rsidRPr="00147D0A">
        <w:rPr>
          <w:rFonts w:ascii="Arial Hebrew" w:hAnsi="Arial Hebrew" w:cs="Arial Hebrew" w:hint="cs"/>
          <w:color w:val="000000" w:themeColor="text1"/>
          <w:sz w:val="20"/>
          <w:szCs w:val="20"/>
        </w:rPr>
        <w:t>S</w:t>
      </w:r>
      <w:r w:rsidR="00E45E5F" w:rsidRPr="00147D0A">
        <w:rPr>
          <w:rFonts w:ascii="Arial Hebrew" w:hAnsi="Arial Hebrew" w:cs="Arial Hebrew" w:hint="cs"/>
          <w:color w:val="000000" w:themeColor="text1"/>
          <w:sz w:val="20"/>
          <w:szCs w:val="20"/>
        </w:rPr>
        <w:t>tatistical analys</w:t>
      </w:r>
      <w:r w:rsidR="00866664" w:rsidRPr="00147D0A">
        <w:rPr>
          <w:rFonts w:ascii="Arial Hebrew" w:hAnsi="Arial Hebrew" w:cs="Arial Hebrew" w:hint="cs"/>
          <w:color w:val="000000" w:themeColor="text1"/>
          <w:sz w:val="20"/>
          <w:szCs w:val="20"/>
        </w:rPr>
        <w:t>es</w:t>
      </w:r>
      <w:r w:rsidR="00E45E5F" w:rsidRPr="00147D0A">
        <w:rPr>
          <w:rFonts w:ascii="Arial Hebrew" w:hAnsi="Arial Hebrew" w:cs="Arial Hebrew" w:hint="cs"/>
          <w:color w:val="000000" w:themeColor="text1"/>
          <w:sz w:val="20"/>
          <w:szCs w:val="20"/>
        </w:rPr>
        <w:t xml:space="preserve"> </w:t>
      </w:r>
      <w:r w:rsidR="00866664" w:rsidRPr="00147D0A">
        <w:rPr>
          <w:rFonts w:ascii="Arial Hebrew" w:hAnsi="Arial Hebrew" w:cs="Arial Hebrew" w:hint="cs"/>
          <w:color w:val="000000" w:themeColor="text1"/>
          <w:sz w:val="20"/>
          <w:szCs w:val="20"/>
        </w:rPr>
        <w:t xml:space="preserve">of the WGIs suggests that they </w:t>
      </w:r>
      <w:r w:rsidR="00CA0D7D" w:rsidRPr="00147D0A">
        <w:rPr>
          <w:rFonts w:ascii="Arial Hebrew" w:hAnsi="Arial Hebrew" w:cs="Arial Hebrew" w:hint="cs"/>
          <w:color w:val="000000" w:themeColor="text1"/>
          <w:sz w:val="20"/>
          <w:szCs w:val="20"/>
        </w:rPr>
        <w:t>do</w:t>
      </w:r>
      <w:r w:rsidR="00866664" w:rsidRPr="00147D0A">
        <w:rPr>
          <w:rFonts w:ascii="Arial Hebrew" w:hAnsi="Arial Hebrew" w:cs="Arial Hebrew" w:hint="cs"/>
          <w:color w:val="000000" w:themeColor="text1"/>
          <w:sz w:val="20"/>
          <w:szCs w:val="20"/>
        </w:rPr>
        <w:t xml:space="preserve"> not</w:t>
      </w:r>
      <w:r w:rsidR="00534E97"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actually</w:t>
      </w:r>
      <w:r w:rsidR="00866664" w:rsidRPr="00147D0A">
        <w:rPr>
          <w:rFonts w:ascii="Arial Hebrew" w:hAnsi="Arial Hebrew" w:cs="Arial Hebrew" w:hint="cs"/>
          <w:color w:val="000000" w:themeColor="text1"/>
          <w:sz w:val="20"/>
          <w:szCs w:val="20"/>
        </w:rPr>
        <w:t xml:space="preserve"> measur</w:t>
      </w:r>
      <w:r w:rsidR="00CA0D7D" w:rsidRPr="00147D0A">
        <w:rPr>
          <w:rFonts w:ascii="Arial Hebrew" w:hAnsi="Arial Hebrew" w:cs="Arial Hebrew" w:hint="cs"/>
          <w:color w:val="000000" w:themeColor="text1"/>
          <w:sz w:val="20"/>
          <w:szCs w:val="20"/>
        </w:rPr>
        <w:t>e</w:t>
      </w:r>
      <w:r w:rsidR="00866664" w:rsidRPr="00147D0A">
        <w:rPr>
          <w:rFonts w:ascii="Arial Hebrew" w:hAnsi="Arial Hebrew" w:cs="Arial Hebrew" w:hint="cs"/>
          <w:color w:val="000000" w:themeColor="text1"/>
          <w:sz w:val="20"/>
          <w:szCs w:val="20"/>
        </w:rPr>
        <w:t xml:space="preserve"> six meaningfully distinct aspects of governance but are</w:t>
      </w:r>
      <w:r w:rsidR="00CC5710" w:rsidRPr="00147D0A">
        <w:rPr>
          <w:rFonts w:ascii="Arial Hebrew" w:hAnsi="Arial Hebrew" w:cs="Arial Hebrew" w:hint="cs"/>
          <w:color w:val="000000" w:themeColor="text1"/>
          <w:sz w:val="20"/>
          <w:szCs w:val="20"/>
        </w:rPr>
        <w:t xml:space="preserve"> instead</w:t>
      </w:r>
      <w:r w:rsidR="00866664" w:rsidRPr="00147D0A">
        <w:rPr>
          <w:rFonts w:ascii="Arial Hebrew" w:hAnsi="Arial Hebrew" w:cs="Arial Hebrew" w:hint="cs"/>
          <w:color w:val="000000" w:themeColor="text1"/>
          <w:sz w:val="20"/>
          <w:szCs w:val="20"/>
        </w:rPr>
        <w:t xml:space="preserve"> </w:t>
      </w:r>
      <w:r w:rsidR="00030ED8" w:rsidRPr="00147D0A">
        <w:rPr>
          <w:rFonts w:ascii="Arial Hebrew" w:hAnsi="Arial Hebrew" w:cs="Arial Hebrew" w:hint="cs"/>
          <w:color w:val="000000" w:themeColor="text1"/>
          <w:sz w:val="20"/>
          <w:szCs w:val="20"/>
        </w:rPr>
        <w:t>simply</w:t>
      </w:r>
      <w:r w:rsidR="00CA0D7D" w:rsidRPr="00147D0A">
        <w:rPr>
          <w:rFonts w:ascii="Arial Hebrew" w:hAnsi="Arial Hebrew" w:cs="Arial Hebrew" w:hint="cs"/>
          <w:color w:val="000000" w:themeColor="text1"/>
          <w:sz w:val="20"/>
          <w:szCs w:val="20"/>
        </w:rPr>
        <w:t xml:space="preserve"> differently-labelled</w:t>
      </w:r>
      <w:r w:rsidR="00030ED8" w:rsidRPr="00147D0A">
        <w:rPr>
          <w:rFonts w:ascii="Arial Hebrew" w:hAnsi="Arial Hebrew" w:cs="Arial Hebrew" w:hint="cs"/>
          <w:color w:val="000000" w:themeColor="text1"/>
          <w:sz w:val="20"/>
          <w:szCs w:val="20"/>
        </w:rPr>
        <w:t xml:space="preserve"> variations</w:t>
      </w:r>
      <w:r w:rsidR="00CC5710" w:rsidRPr="00147D0A">
        <w:rPr>
          <w:rFonts w:ascii="Arial Hebrew" w:hAnsi="Arial Hebrew" w:cs="Arial Hebrew" w:hint="cs"/>
          <w:color w:val="000000" w:themeColor="text1"/>
          <w:sz w:val="20"/>
          <w:szCs w:val="20"/>
        </w:rPr>
        <w:t xml:space="preserve"> </w:t>
      </w:r>
      <w:r w:rsidR="00030ED8" w:rsidRPr="00147D0A">
        <w:rPr>
          <w:rFonts w:ascii="Arial Hebrew" w:hAnsi="Arial Hebrew" w:cs="Arial Hebrew" w:hint="cs"/>
          <w:color w:val="000000" w:themeColor="text1"/>
          <w:sz w:val="20"/>
          <w:szCs w:val="20"/>
        </w:rPr>
        <w:t xml:space="preserve">on the measurement of </w:t>
      </w:r>
      <w:r w:rsidR="00972E3B" w:rsidRPr="00147D0A">
        <w:rPr>
          <w:rFonts w:ascii="Arial Hebrew" w:hAnsi="Arial Hebrew" w:cs="Arial Hebrew" w:hint="cs"/>
          <w:color w:val="000000" w:themeColor="text1"/>
          <w:sz w:val="20"/>
          <w:szCs w:val="20"/>
        </w:rPr>
        <w:t>the same</w:t>
      </w:r>
      <w:r w:rsidR="00030ED8" w:rsidRPr="00147D0A">
        <w:rPr>
          <w:rFonts w:ascii="Arial Hebrew" w:hAnsi="Arial Hebrew" w:cs="Arial Hebrew" w:hint="cs"/>
          <w:color w:val="000000" w:themeColor="text1"/>
          <w:sz w:val="20"/>
          <w:szCs w:val="20"/>
        </w:rPr>
        <w:t xml:space="preserve"> </w:t>
      </w:r>
      <w:r w:rsidR="00F915A3" w:rsidRPr="00147D0A">
        <w:rPr>
          <w:rFonts w:ascii="Arial Hebrew" w:hAnsi="Arial Hebrew" w:cs="Arial Hebrew" w:hint="cs"/>
          <w:color w:val="000000" w:themeColor="text1"/>
          <w:sz w:val="20"/>
          <w:szCs w:val="20"/>
        </w:rPr>
        <w:t>latent</w:t>
      </w:r>
      <w:r w:rsidR="00AD348E" w:rsidRPr="00147D0A">
        <w:rPr>
          <w:rFonts w:ascii="Arial Hebrew" w:hAnsi="Arial Hebrew" w:cs="Arial Hebrew" w:hint="cs"/>
          <w:color w:val="000000" w:themeColor="text1"/>
          <w:sz w:val="20"/>
          <w:szCs w:val="20"/>
        </w:rPr>
        <w:t xml:space="preserve"> factor –</w:t>
      </w:r>
      <w:r w:rsidR="00406118" w:rsidRPr="00147D0A">
        <w:rPr>
          <w:rFonts w:ascii="Arial Hebrew" w:hAnsi="Arial Hebrew" w:cs="Arial Hebrew" w:hint="cs"/>
          <w:color w:val="000000" w:themeColor="text1"/>
          <w:sz w:val="20"/>
          <w:szCs w:val="20"/>
        </w:rPr>
        <w:t xml:space="preserve"> which could be simply named</w:t>
      </w:r>
      <w:r w:rsidR="00AD348E" w:rsidRPr="00147D0A">
        <w:rPr>
          <w:rFonts w:ascii="Arial Hebrew" w:hAnsi="Arial Hebrew" w:cs="Arial Hebrew" w:hint="cs"/>
          <w:color w:val="000000" w:themeColor="text1"/>
          <w:sz w:val="20"/>
          <w:szCs w:val="20"/>
        </w:rPr>
        <w:t xml:space="preserve"> </w:t>
      </w:r>
      <w:r w:rsidR="00972E3B" w:rsidRPr="00147D0A">
        <w:rPr>
          <w:rFonts w:ascii="Arial Hebrew" w:hAnsi="Arial Hebrew" w:cs="Arial Hebrew" w:hint="cs"/>
          <w:color w:val="000000" w:themeColor="text1"/>
          <w:sz w:val="20"/>
          <w:szCs w:val="20"/>
        </w:rPr>
        <w:t>“</w:t>
      </w:r>
      <w:r w:rsidR="00030ED8" w:rsidRPr="00147D0A">
        <w:rPr>
          <w:rFonts w:ascii="Arial Hebrew" w:hAnsi="Arial Hebrew" w:cs="Arial Hebrew" w:hint="cs"/>
          <w:b/>
          <w:bCs/>
          <w:i/>
          <w:iCs/>
          <w:color w:val="000000" w:themeColor="text1"/>
          <w:sz w:val="20"/>
          <w:szCs w:val="20"/>
        </w:rPr>
        <w:t>good governance</w:t>
      </w:r>
      <w:r w:rsidR="00972E3B" w:rsidRPr="00147D0A">
        <w:rPr>
          <w:rFonts w:ascii="Arial Hebrew" w:hAnsi="Arial Hebrew" w:cs="Arial Hebrew" w:hint="cs"/>
          <w:b/>
          <w:bCs/>
          <w:i/>
          <w:iCs/>
          <w:color w:val="000000" w:themeColor="text1"/>
          <w:sz w:val="20"/>
          <w:szCs w:val="20"/>
        </w:rPr>
        <w:t>”</w:t>
      </w:r>
      <w:r w:rsidR="00AD348E" w:rsidRPr="00147D0A">
        <w:rPr>
          <w:rFonts w:ascii="Arial Hebrew" w:hAnsi="Arial Hebrew" w:cs="Arial Hebrew" w:hint="cs"/>
          <w:b/>
          <w:bCs/>
          <w:i/>
          <w:iCs/>
          <w:color w:val="000000" w:themeColor="text1"/>
          <w:sz w:val="20"/>
          <w:szCs w:val="20"/>
        </w:rPr>
        <w:t xml:space="preserve"> </w:t>
      </w:r>
      <w:r w:rsidR="00AD348E" w:rsidRPr="00AC6700">
        <w:rPr>
          <w:rFonts w:ascii="Arial Hebrew" w:hAnsi="Arial Hebrew" w:cs="Arial Hebrew" w:hint="cs"/>
          <w:i/>
          <w:iCs/>
          <w:color w:val="000000" w:themeColor="text1"/>
          <w:sz w:val="20"/>
          <w:szCs w:val="20"/>
        </w:rPr>
        <w:t>–</w:t>
      </w:r>
      <w:r w:rsidR="00F915A3" w:rsidRPr="00147D0A">
        <w:rPr>
          <w:rFonts w:ascii="Arial Hebrew" w:hAnsi="Arial Hebrew" w:cs="Arial Hebrew" w:hint="cs"/>
          <w:b/>
          <w:bCs/>
          <w:color w:val="000000" w:themeColor="text1"/>
          <w:sz w:val="20"/>
          <w:szCs w:val="20"/>
        </w:rPr>
        <w:t xml:space="preserve"> </w:t>
      </w:r>
      <w:r w:rsidR="00030ED8" w:rsidRPr="00147D0A">
        <w:rPr>
          <w:rFonts w:ascii="Arial Hebrew" w:hAnsi="Arial Hebrew" w:cs="Arial Hebrew" w:hint="cs"/>
          <w:color w:val="000000" w:themeColor="text1"/>
          <w:sz w:val="20"/>
          <w:szCs w:val="20"/>
        </w:rPr>
        <w:t xml:space="preserve">with the </w:t>
      </w:r>
      <w:r w:rsidR="00030ED8" w:rsidRPr="00147D0A">
        <w:rPr>
          <w:rFonts w:ascii="Arial Hebrew" w:hAnsi="Arial Hebrew" w:cs="Arial Hebrew" w:hint="cs"/>
          <w:i/>
          <w:iCs/>
          <w:color w:val="000000" w:themeColor="text1"/>
          <w:sz w:val="20"/>
          <w:szCs w:val="20"/>
        </w:rPr>
        <w:t>co</w:t>
      </w:r>
      <w:r w:rsidR="00CC5710" w:rsidRPr="00147D0A">
        <w:rPr>
          <w:rFonts w:ascii="Arial Hebrew" w:hAnsi="Arial Hebrew" w:cs="Arial Hebrew" w:hint="cs"/>
          <w:i/>
          <w:iCs/>
          <w:color w:val="000000" w:themeColor="text1"/>
          <w:sz w:val="20"/>
          <w:szCs w:val="20"/>
        </w:rPr>
        <w:t>re</w:t>
      </w:r>
      <w:r w:rsidR="00030ED8" w:rsidRPr="00147D0A">
        <w:rPr>
          <w:rFonts w:ascii="Arial Hebrew" w:hAnsi="Arial Hebrew" w:cs="Arial Hebrew" w:hint="cs"/>
          <w:i/>
          <w:iCs/>
          <w:color w:val="000000" w:themeColor="text1"/>
          <w:sz w:val="20"/>
          <w:szCs w:val="20"/>
        </w:rPr>
        <w:t xml:space="preserve"> four</w:t>
      </w:r>
      <w:r w:rsidR="00030ED8"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WGIs </w:t>
      </w:r>
      <w:r w:rsidR="00030ED8" w:rsidRPr="00147D0A">
        <w:rPr>
          <w:rFonts w:ascii="Arial Hebrew" w:hAnsi="Arial Hebrew" w:cs="Arial Hebrew" w:hint="cs"/>
          <w:color w:val="000000" w:themeColor="text1"/>
          <w:sz w:val="20"/>
          <w:szCs w:val="20"/>
        </w:rPr>
        <w:t xml:space="preserve">effectively indistinguishable for </w:t>
      </w:r>
      <w:r w:rsidR="00CA0D7D" w:rsidRPr="00147D0A">
        <w:rPr>
          <w:rFonts w:ascii="Arial Hebrew" w:hAnsi="Arial Hebrew" w:cs="Arial Hebrew" w:hint="cs"/>
          <w:color w:val="000000" w:themeColor="text1"/>
          <w:sz w:val="20"/>
          <w:szCs w:val="20"/>
        </w:rPr>
        <w:t>analytical</w:t>
      </w:r>
      <w:r w:rsidR="00030ED8" w:rsidRPr="00147D0A">
        <w:rPr>
          <w:rFonts w:ascii="Arial Hebrew" w:hAnsi="Arial Hebrew" w:cs="Arial Hebrew" w:hint="cs"/>
          <w:color w:val="000000" w:themeColor="text1"/>
          <w:sz w:val="20"/>
          <w:szCs w:val="20"/>
        </w:rPr>
        <w:t xml:space="preserve"> purposes.</w:t>
      </w:r>
      <w:r w:rsidR="00030ED8" w:rsidRPr="00147D0A">
        <w:rPr>
          <w:rStyle w:val="FootnoteReference"/>
          <w:rFonts w:ascii="Arial Hebrew" w:hAnsi="Arial Hebrew" w:cs="Arial Hebrew" w:hint="cs"/>
          <w:color w:val="000000" w:themeColor="text1"/>
          <w:sz w:val="20"/>
          <w:szCs w:val="20"/>
        </w:rPr>
        <w:footnoteReference w:id="24"/>
      </w:r>
      <w:r w:rsidR="00030ED8" w:rsidRPr="00147D0A">
        <w:rPr>
          <w:rFonts w:ascii="Arial Hebrew" w:hAnsi="Arial Hebrew" w:cs="Arial Hebrew" w:hint="cs"/>
          <w:color w:val="000000" w:themeColor="text1"/>
          <w:sz w:val="20"/>
          <w:szCs w:val="20"/>
        </w:rPr>
        <w:t xml:space="preserve"> </w:t>
      </w:r>
    </w:p>
    <w:p w14:paraId="22CA01B2" w14:textId="52B3D164" w:rsidR="00201D5D" w:rsidRPr="00147D0A" w:rsidRDefault="005E1771" w:rsidP="00795BE5">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Table 6.</w:t>
      </w:r>
      <w:r w:rsidRPr="00147D0A">
        <w:rPr>
          <w:rFonts w:ascii="Arial Hebrew" w:hAnsi="Arial Hebrew" w:cs="Arial Hebrew" w:hint="cs"/>
          <w:i/>
          <w:iCs/>
          <w:sz w:val="16"/>
          <w:szCs w:val="16"/>
        </w:rPr>
        <w:t xml:space="preserve"> Worldwide Governance Indicator Correlation Matrix</w:t>
      </w:r>
    </w:p>
    <w:tbl>
      <w:tblPr>
        <w:tblW w:w="6403" w:type="dxa"/>
        <w:jc w:val="center"/>
        <w:tblLayout w:type="fixed"/>
        <w:tblLook w:val="04A0" w:firstRow="1" w:lastRow="0" w:firstColumn="1" w:lastColumn="0" w:noHBand="0" w:noVBand="1"/>
      </w:tblPr>
      <w:tblGrid>
        <w:gridCol w:w="2977"/>
        <w:gridCol w:w="571"/>
        <w:gridCol w:w="571"/>
        <w:gridCol w:w="571"/>
        <w:gridCol w:w="571"/>
        <w:gridCol w:w="571"/>
        <w:gridCol w:w="571"/>
      </w:tblGrid>
      <w:tr w:rsidR="006970C0" w:rsidRPr="00147D0A" w14:paraId="41302ED3" w14:textId="77777777" w:rsidTr="00795BE5">
        <w:trPr>
          <w:trHeight w:val="234"/>
          <w:jc w:val="center"/>
        </w:trPr>
        <w:tc>
          <w:tcPr>
            <w:tcW w:w="2977" w:type="dxa"/>
            <w:tcBorders>
              <w:top w:val="single" w:sz="4" w:space="0" w:color="auto"/>
              <w:left w:val="nil"/>
              <w:bottom w:val="single" w:sz="4" w:space="0" w:color="auto"/>
              <w:right w:val="nil"/>
            </w:tcBorders>
            <w:shd w:val="clear" w:color="auto" w:fill="F2F2F2" w:themeFill="background1" w:themeFillShade="F2"/>
            <w:noWrap/>
            <w:vAlign w:val="center"/>
            <w:hideMark/>
          </w:tcPr>
          <w:p w14:paraId="13191F17" w14:textId="77777777" w:rsidR="00201D5D" w:rsidRPr="00147D0A" w:rsidRDefault="00201D5D" w:rsidP="006C5CD9">
            <w:pPr>
              <w:jc w:val="right"/>
              <w:rPr>
                <w:rFonts w:ascii="Arial Hebrew" w:hAnsi="Arial Hebrew" w:cs="Arial Hebrew"/>
                <w:sz w:val="14"/>
                <w:szCs w:val="14"/>
              </w:rPr>
            </w:pP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45CA76FE" w14:textId="77777777" w:rsidR="00201D5D" w:rsidRPr="00147D0A" w:rsidRDefault="00201D5D" w:rsidP="006C5CD9">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VA</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0343CC9D" w14:textId="77777777" w:rsidR="00201D5D" w:rsidRPr="00147D0A" w:rsidRDefault="00201D5D" w:rsidP="006C5CD9">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PSV</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5B0D4A72" w14:textId="77777777" w:rsidR="00201D5D" w:rsidRPr="00147D0A" w:rsidRDefault="00201D5D" w:rsidP="006C5CD9">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GE</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27EDE616" w14:textId="77777777" w:rsidR="00201D5D" w:rsidRPr="00147D0A" w:rsidRDefault="00201D5D" w:rsidP="006C5CD9">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RQ</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6CA0AF55" w14:textId="77777777" w:rsidR="00201D5D" w:rsidRPr="00147D0A" w:rsidRDefault="00201D5D" w:rsidP="006C5CD9">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RL</w:t>
            </w:r>
          </w:p>
        </w:tc>
        <w:tc>
          <w:tcPr>
            <w:tcW w:w="571" w:type="dxa"/>
            <w:tcBorders>
              <w:top w:val="single" w:sz="4" w:space="0" w:color="auto"/>
              <w:left w:val="nil"/>
              <w:bottom w:val="single" w:sz="4" w:space="0" w:color="auto"/>
              <w:right w:val="nil"/>
            </w:tcBorders>
            <w:shd w:val="clear" w:color="auto" w:fill="F2F2F2" w:themeFill="background1" w:themeFillShade="F2"/>
            <w:noWrap/>
            <w:vAlign w:val="center"/>
            <w:hideMark/>
          </w:tcPr>
          <w:p w14:paraId="6B734BCF" w14:textId="77777777" w:rsidR="00201D5D" w:rsidRPr="00147D0A" w:rsidRDefault="00201D5D" w:rsidP="006C5CD9">
            <w:pPr>
              <w:jc w:val="center"/>
              <w:rPr>
                <w:rFonts w:ascii="Arial Hebrew" w:hAnsi="Arial Hebrew" w:cs="Arial Hebrew"/>
                <w:color w:val="000000"/>
                <w:sz w:val="14"/>
                <w:szCs w:val="14"/>
              </w:rPr>
            </w:pPr>
            <w:r w:rsidRPr="00147D0A">
              <w:rPr>
                <w:rFonts w:ascii="Arial Hebrew" w:hAnsi="Arial Hebrew" w:cs="Arial Hebrew" w:hint="cs"/>
                <w:color w:val="000000"/>
                <w:sz w:val="14"/>
                <w:szCs w:val="14"/>
              </w:rPr>
              <w:t>CC</w:t>
            </w:r>
          </w:p>
        </w:tc>
      </w:tr>
      <w:tr w:rsidR="006970C0" w:rsidRPr="00147D0A" w14:paraId="5B455E29" w14:textId="77777777" w:rsidTr="00795BE5">
        <w:trPr>
          <w:trHeight w:val="234"/>
          <w:jc w:val="center"/>
        </w:trPr>
        <w:tc>
          <w:tcPr>
            <w:tcW w:w="2977" w:type="dxa"/>
            <w:tcBorders>
              <w:top w:val="single" w:sz="4" w:space="0" w:color="auto"/>
              <w:left w:val="nil"/>
              <w:bottom w:val="nil"/>
              <w:right w:val="nil"/>
            </w:tcBorders>
            <w:shd w:val="clear" w:color="auto" w:fill="F2F2F2" w:themeFill="background1" w:themeFillShade="F2"/>
            <w:noWrap/>
            <w:vAlign w:val="center"/>
            <w:hideMark/>
          </w:tcPr>
          <w:p w14:paraId="70811A68" w14:textId="6C860749" w:rsidR="00201D5D" w:rsidRPr="00147D0A" w:rsidRDefault="006970C0" w:rsidP="006C5CD9">
            <w:pPr>
              <w:jc w:val="right"/>
              <w:rPr>
                <w:rFonts w:ascii="Arial Hebrew" w:hAnsi="Arial Hebrew" w:cs="Arial Hebrew"/>
                <w:color w:val="000000"/>
                <w:sz w:val="14"/>
                <w:szCs w:val="14"/>
              </w:rPr>
            </w:pPr>
            <w:r w:rsidRPr="00147D0A">
              <w:rPr>
                <w:rFonts w:ascii="Arial Hebrew" w:hAnsi="Arial Hebrew" w:cs="Arial Hebrew" w:hint="cs"/>
                <w:color w:val="000000" w:themeColor="text1"/>
                <w:sz w:val="14"/>
                <w:szCs w:val="14"/>
              </w:rPr>
              <w:t>Voice &amp; Accountability</w:t>
            </w:r>
            <w:r w:rsidR="006C5CD9" w:rsidRPr="00147D0A">
              <w:rPr>
                <w:rFonts w:ascii="Arial Hebrew" w:hAnsi="Arial Hebrew" w:cs="Arial Hebrew" w:hint="cs"/>
                <w:color w:val="000000" w:themeColor="text1"/>
                <w:sz w:val="14"/>
                <w:szCs w:val="14"/>
              </w:rPr>
              <w:t xml:space="preserve"> (VA)</w:t>
            </w:r>
          </w:p>
        </w:tc>
        <w:tc>
          <w:tcPr>
            <w:tcW w:w="571" w:type="dxa"/>
            <w:tcBorders>
              <w:top w:val="single" w:sz="4" w:space="0" w:color="auto"/>
              <w:left w:val="nil"/>
              <w:bottom w:val="nil"/>
              <w:right w:val="nil"/>
            </w:tcBorders>
            <w:shd w:val="clear" w:color="000000" w:fill="61CBF3"/>
            <w:noWrap/>
            <w:vAlign w:val="center"/>
            <w:hideMark/>
          </w:tcPr>
          <w:p w14:paraId="23DF0C1B"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single" w:sz="4" w:space="0" w:color="auto"/>
              <w:left w:val="nil"/>
              <w:bottom w:val="nil"/>
              <w:right w:val="nil"/>
            </w:tcBorders>
            <w:shd w:val="clear" w:color="auto" w:fill="FFF8FF"/>
            <w:noWrap/>
            <w:vAlign w:val="center"/>
            <w:hideMark/>
          </w:tcPr>
          <w:p w14:paraId="3EE03942" w14:textId="77777777" w:rsidR="00201D5D" w:rsidRPr="00147D0A" w:rsidRDefault="00201D5D" w:rsidP="006C5CD9">
            <w:pPr>
              <w:jc w:val="center"/>
              <w:rPr>
                <w:rFonts w:ascii="Arial Hebrew" w:hAnsi="Arial Hebrew" w:cs="Arial Hebrew"/>
                <w:b/>
                <w:bCs/>
                <w:color w:val="000000"/>
                <w:sz w:val="16"/>
                <w:szCs w:val="16"/>
              </w:rPr>
            </w:pPr>
          </w:p>
        </w:tc>
        <w:tc>
          <w:tcPr>
            <w:tcW w:w="571" w:type="dxa"/>
            <w:tcBorders>
              <w:top w:val="single" w:sz="4" w:space="0" w:color="auto"/>
              <w:left w:val="nil"/>
              <w:bottom w:val="nil"/>
              <w:right w:val="nil"/>
            </w:tcBorders>
            <w:shd w:val="clear" w:color="auto" w:fill="FFF8FF"/>
            <w:noWrap/>
            <w:vAlign w:val="center"/>
            <w:hideMark/>
          </w:tcPr>
          <w:p w14:paraId="3B015D76" w14:textId="77777777" w:rsidR="00201D5D" w:rsidRPr="00147D0A" w:rsidRDefault="00201D5D" w:rsidP="006C5CD9">
            <w:pPr>
              <w:jc w:val="center"/>
              <w:rPr>
                <w:rFonts w:ascii="Arial Hebrew" w:hAnsi="Arial Hebrew" w:cs="Arial Hebrew"/>
                <w:b/>
                <w:bCs/>
                <w:sz w:val="16"/>
                <w:szCs w:val="16"/>
              </w:rPr>
            </w:pPr>
          </w:p>
        </w:tc>
        <w:tc>
          <w:tcPr>
            <w:tcW w:w="571" w:type="dxa"/>
            <w:tcBorders>
              <w:top w:val="single" w:sz="4" w:space="0" w:color="auto"/>
              <w:left w:val="nil"/>
              <w:bottom w:val="nil"/>
              <w:right w:val="nil"/>
            </w:tcBorders>
            <w:shd w:val="clear" w:color="auto" w:fill="FFF8FF"/>
            <w:noWrap/>
            <w:vAlign w:val="center"/>
            <w:hideMark/>
          </w:tcPr>
          <w:p w14:paraId="3E6B5275" w14:textId="77777777" w:rsidR="00201D5D" w:rsidRPr="00147D0A" w:rsidRDefault="00201D5D" w:rsidP="006C5CD9">
            <w:pPr>
              <w:jc w:val="center"/>
              <w:rPr>
                <w:rFonts w:ascii="Arial Hebrew" w:hAnsi="Arial Hebrew" w:cs="Arial Hebrew"/>
                <w:b/>
                <w:bCs/>
                <w:sz w:val="16"/>
                <w:szCs w:val="16"/>
              </w:rPr>
            </w:pPr>
          </w:p>
        </w:tc>
        <w:tc>
          <w:tcPr>
            <w:tcW w:w="571" w:type="dxa"/>
            <w:tcBorders>
              <w:top w:val="single" w:sz="4" w:space="0" w:color="auto"/>
              <w:left w:val="nil"/>
              <w:bottom w:val="nil"/>
              <w:right w:val="nil"/>
            </w:tcBorders>
            <w:shd w:val="clear" w:color="auto" w:fill="FFF8FF"/>
            <w:noWrap/>
            <w:vAlign w:val="center"/>
            <w:hideMark/>
          </w:tcPr>
          <w:p w14:paraId="36471D22" w14:textId="77777777" w:rsidR="00201D5D" w:rsidRPr="00147D0A" w:rsidRDefault="00201D5D" w:rsidP="006C5CD9">
            <w:pPr>
              <w:jc w:val="center"/>
              <w:rPr>
                <w:rFonts w:ascii="Arial Hebrew" w:hAnsi="Arial Hebrew" w:cs="Arial Hebrew"/>
                <w:b/>
                <w:bCs/>
                <w:sz w:val="16"/>
                <w:szCs w:val="16"/>
              </w:rPr>
            </w:pPr>
          </w:p>
        </w:tc>
        <w:tc>
          <w:tcPr>
            <w:tcW w:w="571" w:type="dxa"/>
            <w:tcBorders>
              <w:top w:val="single" w:sz="4" w:space="0" w:color="auto"/>
              <w:left w:val="nil"/>
              <w:bottom w:val="nil"/>
              <w:right w:val="nil"/>
            </w:tcBorders>
            <w:shd w:val="clear" w:color="auto" w:fill="FFF8FF"/>
            <w:noWrap/>
            <w:vAlign w:val="center"/>
            <w:hideMark/>
          </w:tcPr>
          <w:p w14:paraId="613577E4" w14:textId="77777777" w:rsidR="00201D5D" w:rsidRPr="00147D0A" w:rsidRDefault="00201D5D" w:rsidP="006C5CD9">
            <w:pPr>
              <w:jc w:val="center"/>
              <w:rPr>
                <w:rFonts w:ascii="Arial Hebrew" w:hAnsi="Arial Hebrew" w:cs="Arial Hebrew"/>
                <w:b/>
                <w:bCs/>
                <w:sz w:val="16"/>
                <w:szCs w:val="16"/>
              </w:rPr>
            </w:pPr>
          </w:p>
        </w:tc>
      </w:tr>
      <w:tr w:rsidR="006970C0" w:rsidRPr="00147D0A" w14:paraId="5C0D2617" w14:textId="77777777" w:rsidTr="00795BE5">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0F3A4029" w14:textId="068FFE87" w:rsidR="00201D5D" w:rsidRPr="00147D0A" w:rsidRDefault="006970C0" w:rsidP="006C5CD9">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Political Stability &amp; Absence of Violence (PSV)</w:t>
            </w:r>
          </w:p>
        </w:tc>
        <w:tc>
          <w:tcPr>
            <w:tcW w:w="571" w:type="dxa"/>
            <w:tcBorders>
              <w:top w:val="nil"/>
              <w:left w:val="nil"/>
              <w:bottom w:val="nil"/>
              <w:right w:val="nil"/>
            </w:tcBorders>
            <w:shd w:val="clear" w:color="000000" w:fill="D0F0FC"/>
            <w:noWrap/>
            <w:vAlign w:val="center"/>
            <w:hideMark/>
          </w:tcPr>
          <w:p w14:paraId="48BC22A3"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0.51</w:t>
            </w:r>
          </w:p>
        </w:tc>
        <w:tc>
          <w:tcPr>
            <w:tcW w:w="571" w:type="dxa"/>
            <w:tcBorders>
              <w:top w:val="nil"/>
              <w:left w:val="nil"/>
              <w:bottom w:val="nil"/>
              <w:right w:val="nil"/>
            </w:tcBorders>
            <w:shd w:val="clear" w:color="000000" w:fill="61CBF3"/>
            <w:noWrap/>
            <w:vAlign w:val="center"/>
            <w:hideMark/>
          </w:tcPr>
          <w:p w14:paraId="74899477"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5D117D7C" w14:textId="77777777" w:rsidR="00201D5D" w:rsidRPr="00147D0A" w:rsidRDefault="00201D5D" w:rsidP="006C5CD9">
            <w:pPr>
              <w:jc w:val="center"/>
              <w:rPr>
                <w:rFonts w:ascii="Arial Hebrew" w:hAnsi="Arial Hebrew" w:cs="Arial Hebrew"/>
                <w:b/>
                <w:bCs/>
                <w:color w:val="000000"/>
                <w:sz w:val="16"/>
                <w:szCs w:val="16"/>
              </w:rPr>
            </w:pPr>
          </w:p>
        </w:tc>
        <w:tc>
          <w:tcPr>
            <w:tcW w:w="571" w:type="dxa"/>
            <w:tcBorders>
              <w:top w:val="nil"/>
              <w:left w:val="nil"/>
              <w:bottom w:val="nil"/>
              <w:right w:val="nil"/>
            </w:tcBorders>
            <w:shd w:val="clear" w:color="auto" w:fill="FFF8FF"/>
            <w:noWrap/>
            <w:vAlign w:val="center"/>
            <w:hideMark/>
          </w:tcPr>
          <w:p w14:paraId="0307D963" w14:textId="77777777" w:rsidR="00201D5D" w:rsidRPr="00147D0A" w:rsidRDefault="00201D5D" w:rsidP="006C5CD9">
            <w:pPr>
              <w:jc w:val="center"/>
              <w:rPr>
                <w:rFonts w:ascii="Arial Hebrew" w:hAnsi="Arial Hebrew" w:cs="Arial Hebrew"/>
                <w:b/>
                <w:bCs/>
                <w:sz w:val="16"/>
                <w:szCs w:val="16"/>
              </w:rPr>
            </w:pPr>
          </w:p>
        </w:tc>
        <w:tc>
          <w:tcPr>
            <w:tcW w:w="571" w:type="dxa"/>
            <w:tcBorders>
              <w:top w:val="nil"/>
              <w:left w:val="nil"/>
              <w:bottom w:val="nil"/>
              <w:right w:val="nil"/>
            </w:tcBorders>
            <w:shd w:val="clear" w:color="auto" w:fill="FFF8FF"/>
            <w:noWrap/>
            <w:vAlign w:val="center"/>
            <w:hideMark/>
          </w:tcPr>
          <w:p w14:paraId="5F2B6E8C" w14:textId="77777777" w:rsidR="00201D5D" w:rsidRPr="00147D0A" w:rsidRDefault="00201D5D" w:rsidP="006C5CD9">
            <w:pPr>
              <w:jc w:val="center"/>
              <w:rPr>
                <w:rFonts w:ascii="Arial Hebrew" w:hAnsi="Arial Hebrew" w:cs="Arial Hebrew"/>
                <w:b/>
                <w:bCs/>
                <w:sz w:val="16"/>
                <w:szCs w:val="16"/>
              </w:rPr>
            </w:pPr>
          </w:p>
        </w:tc>
        <w:tc>
          <w:tcPr>
            <w:tcW w:w="571" w:type="dxa"/>
            <w:tcBorders>
              <w:top w:val="nil"/>
              <w:left w:val="nil"/>
              <w:bottom w:val="nil"/>
              <w:right w:val="nil"/>
            </w:tcBorders>
            <w:shd w:val="clear" w:color="auto" w:fill="FFF8FF"/>
            <w:noWrap/>
            <w:vAlign w:val="center"/>
            <w:hideMark/>
          </w:tcPr>
          <w:p w14:paraId="203CEAEC" w14:textId="77777777" w:rsidR="00201D5D" w:rsidRPr="00147D0A" w:rsidRDefault="00201D5D" w:rsidP="006C5CD9">
            <w:pPr>
              <w:jc w:val="center"/>
              <w:rPr>
                <w:rFonts w:ascii="Arial Hebrew" w:hAnsi="Arial Hebrew" w:cs="Arial Hebrew"/>
                <w:b/>
                <w:bCs/>
                <w:sz w:val="16"/>
                <w:szCs w:val="16"/>
              </w:rPr>
            </w:pPr>
          </w:p>
        </w:tc>
      </w:tr>
      <w:tr w:rsidR="006970C0" w:rsidRPr="00147D0A" w14:paraId="5617E16B" w14:textId="77777777" w:rsidTr="00795BE5">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7F7B2FB2" w14:textId="1259840B" w:rsidR="00201D5D" w:rsidRPr="00147D0A" w:rsidRDefault="00201D5D" w:rsidP="006C5CD9">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G</w:t>
            </w:r>
            <w:r w:rsidR="006C5CD9" w:rsidRPr="00147D0A">
              <w:rPr>
                <w:rFonts w:ascii="Arial Hebrew" w:hAnsi="Arial Hebrew" w:cs="Arial Hebrew" w:hint="cs"/>
                <w:color w:val="000000"/>
                <w:sz w:val="14"/>
                <w:szCs w:val="14"/>
              </w:rPr>
              <w:t xml:space="preserve">overnment </w:t>
            </w:r>
            <w:r w:rsidRPr="00147D0A">
              <w:rPr>
                <w:rFonts w:ascii="Arial Hebrew" w:hAnsi="Arial Hebrew" w:cs="Arial Hebrew" w:hint="cs"/>
                <w:color w:val="000000"/>
                <w:sz w:val="14"/>
                <w:szCs w:val="14"/>
              </w:rPr>
              <w:t>E</w:t>
            </w:r>
            <w:r w:rsidR="006C5CD9" w:rsidRPr="00147D0A">
              <w:rPr>
                <w:rFonts w:ascii="Arial Hebrew" w:hAnsi="Arial Hebrew" w:cs="Arial Hebrew" w:hint="cs"/>
                <w:color w:val="000000"/>
                <w:sz w:val="14"/>
                <w:szCs w:val="14"/>
              </w:rPr>
              <w:t>ffectiveness (GA)</w:t>
            </w:r>
          </w:p>
        </w:tc>
        <w:tc>
          <w:tcPr>
            <w:tcW w:w="571" w:type="dxa"/>
            <w:tcBorders>
              <w:top w:val="nil"/>
              <w:left w:val="nil"/>
              <w:bottom w:val="nil"/>
              <w:right w:val="nil"/>
            </w:tcBorders>
            <w:shd w:val="clear" w:color="000000" w:fill="DCF4FD"/>
            <w:noWrap/>
            <w:vAlign w:val="center"/>
            <w:hideMark/>
          </w:tcPr>
          <w:p w14:paraId="33E1BCB8"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0.46</w:t>
            </w:r>
          </w:p>
        </w:tc>
        <w:tc>
          <w:tcPr>
            <w:tcW w:w="571" w:type="dxa"/>
            <w:tcBorders>
              <w:top w:val="nil"/>
              <w:left w:val="nil"/>
              <w:bottom w:val="nil"/>
              <w:right w:val="nil"/>
            </w:tcBorders>
            <w:shd w:val="clear" w:color="000000" w:fill="8CD9F7"/>
            <w:noWrap/>
            <w:vAlign w:val="center"/>
            <w:hideMark/>
          </w:tcPr>
          <w:p w14:paraId="7611BED3"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0.81</w:t>
            </w:r>
          </w:p>
        </w:tc>
        <w:tc>
          <w:tcPr>
            <w:tcW w:w="571" w:type="dxa"/>
            <w:tcBorders>
              <w:top w:val="nil"/>
              <w:left w:val="nil"/>
              <w:bottom w:val="nil"/>
              <w:right w:val="nil"/>
            </w:tcBorders>
            <w:shd w:val="clear" w:color="000000" w:fill="61CBF3"/>
            <w:noWrap/>
            <w:vAlign w:val="center"/>
            <w:hideMark/>
          </w:tcPr>
          <w:p w14:paraId="21D298A5"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2736AC50" w14:textId="77777777" w:rsidR="00201D5D" w:rsidRPr="00147D0A" w:rsidRDefault="00201D5D" w:rsidP="006C5CD9">
            <w:pPr>
              <w:jc w:val="center"/>
              <w:rPr>
                <w:rFonts w:ascii="Arial Hebrew" w:hAnsi="Arial Hebrew" w:cs="Arial Hebrew"/>
                <w:b/>
                <w:bCs/>
                <w:color w:val="000000"/>
                <w:sz w:val="16"/>
                <w:szCs w:val="16"/>
              </w:rPr>
            </w:pPr>
          </w:p>
        </w:tc>
        <w:tc>
          <w:tcPr>
            <w:tcW w:w="571" w:type="dxa"/>
            <w:tcBorders>
              <w:top w:val="nil"/>
              <w:left w:val="nil"/>
              <w:bottom w:val="nil"/>
              <w:right w:val="nil"/>
            </w:tcBorders>
            <w:shd w:val="clear" w:color="auto" w:fill="FFF8FF"/>
            <w:noWrap/>
            <w:vAlign w:val="center"/>
            <w:hideMark/>
          </w:tcPr>
          <w:p w14:paraId="777D3FA4" w14:textId="77777777" w:rsidR="00201D5D" w:rsidRPr="00147D0A" w:rsidRDefault="00201D5D" w:rsidP="006C5CD9">
            <w:pPr>
              <w:jc w:val="center"/>
              <w:rPr>
                <w:rFonts w:ascii="Arial Hebrew" w:hAnsi="Arial Hebrew" w:cs="Arial Hebrew"/>
                <w:b/>
                <w:bCs/>
                <w:sz w:val="16"/>
                <w:szCs w:val="16"/>
              </w:rPr>
            </w:pPr>
          </w:p>
        </w:tc>
        <w:tc>
          <w:tcPr>
            <w:tcW w:w="571" w:type="dxa"/>
            <w:tcBorders>
              <w:top w:val="nil"/>
              <w:left w:val="nil"/>
              <w:bottom w:val="nil"/>
              <w:right w:val="nil"/>
            </w:tcBorders>
            <w:shd w:val="clear" w:color="auto" w:fill="FFF8FF"/>
            <w:noWrap/>
            <w:vAlign w:val="center"/>
            <w:hideMark/>
          </w:tcPr>
          <w:p w14:paraId="1AFF7AD4" w14:textId="77777777" w:rsidR="00201D5D" w:rsidRPr="00147D0A" w:rsidRDefault="00201D5D" w:rsidP="006C5CD9">
            <w:pPr>
              <w:jc w:val="center"/>
              <w:rPr>
                <w:rFonts w:ascii="Arial Hebrew" w:hAnsi="Arial Hebrew" w:cs="Arial Hebrew"/>
                <w:b/>
                <w:bCs/>
                <w:sz w:val="16"/>
                <w:szCs w:val="16"/>
              </w:rPr>
            </w:pPr>
          </w:p>
        </w:tc>
      </w:tr>
      <w:tr w:rsidR="006970C0" w:rsidRPr="00147D0A" w14:paraId="351A5EB6" w14:textId="77777777" w:rsidTr="00795BE5">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6D2FADDE" w14:textId="6B8ABABD" w:rsidR="00201D5D" w:rsidRPr="00147D0A" w:rsidRDefault="00201D5D" w:rsidP="006C5CD9">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R</w:t>
            </w:r>
            <w:r w:rsidR="006C5CD9" w:rsidRPr="00147D0A">
              <w:rPr>
                <w:rFonts w:ascii="Arial Hebrew" w:hAnsi="Arial Hebrew" w:cs="Arial Hebrew" w:hint="cs"/>
                <w:color w:val="000000"/>
                <w:sz w:val="14"/>
                <w:szCs w:val="14"/>
              </w:rPr>
              <w:t>egulatory Quality (RA)</w:t>
            </w:r>
          </w:p>
        </w:tc>
        <w:tc>
          <w:tcPr>
            <w:tcW w:w="571" w:type="dxa"/>
            <w:tcBorders>
              <w:top w:val="nil"/>
              <w:left w:val="nil"/>
              <w:bottom w:val="nil"/>
              <w:right w:val="nil"/>
            </w:tcBorders>
            <w:shd w:val="clear" w:color="000000" w:fill="AEE5F9"/>
            <w:noWrap/>
            <w:vAlign w:val="center"/>
            <w:hideMark/>
          </w:tcPr>
          <w:p w14:paraId="592E2258"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0.66</w:t>
            </w:r>
          </w:p>
        </w:tc>
        <w:tc>
          <w:tcPr>
            <w:tcW w:w="571" w:type="dxa"/>
            <w:tcBorders>
              <w:top w:val="nil"/>
              <w:left w:val="nil"/>
              <w:bottom w:val="nil"/>
              <w:right w:val="nil"/>
            </w:tcBorders>
            <w:shd w:val="clear" w:color="000000" w:fill="8EDAF7"/>
            <w:noWrap/>
            <w:vAlign w:val="center"/>
            <w:hideMark/>
          </w:tcPr>
          <w:p w14:paraId="59E87E2E"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0.80</w:t>
            </w:r>
          </w:p>
        </w:tc>
        <w:tc>
          <w:tcPr>
            <w:tcW w:w="571" w:type="dxa"/>
            <w:tcBorders>
              <w:top w:val="nil"/>
              <w:left w:val="nil"/>
              <w:bottom w:val="nil"/>
              <w:right w:val="nil"/>
            </w:tcBorders>
            <w:shd w:val="clear" w:color="000000" w:fill="7FD5F6"/>
            <w:noWrap/>
            <w:vAlign w:val="center"/>
            <w:hideMark/>
          </w:tcPr>
          <w:p w14:paraId="473DA059"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0.87</w:t>
            </w:r>
          </w:p>
        </w:tc>
        <w:tc>
          <w:tcPr>
            <w:tcW w:w="571" w:type="dxa"/>
            <w:tcBorders>
              <w:top w:val="nil"/>
              <w:left w:val="nil"/>
              <w:bottom w:val="nil"/>
              <w:right w:val="nil"/>
            </w:tcBorders>
            <w:shd w:val="clear" w:color="000000" w:fill="61CBF3"/>
            <w:noWrap/>
            <w:vAlign w:val="center"/>
            <w:hideMark/>
          </w:tcPr>
          <w:p w14:paraId="223D56EB"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263C2E05" w14:textId="77777777" w:rsidR="00201D5D" w:rsidRPr="00147D0A" w:rsidRDefault="00201D5D" w:rsidP="006C5CD9">
            <w:pPr>
              <w:jc w:val="center"/>
              <w:rPr>
                <w:rFonts w:ascii="Arial Hebrew" w:hAnsi="Arial Hebrew" w:cs="Arial Hebrew"/>
                <w:b/>
                <w:bCs/>
                <w:color w:val="000000"/>
                <w:sz w:val="16"/>
                <w:szCs w:val="16"/>
              </w:rPr>
            </w:pPr>
          </w:p>
        </w:tc>
        <w:tc>
          <w:tcPr>
            <w:tcW w:w="571" w:type="dxa"/>
            <w:tcBorders>
              <w:top w:val="nil"/>
              <w:left w:val="nil"/>
              <w:bottom w:val="nil"/>
              <w:right w:val="nil"/>
            </w:tcBorders>
            <w:shd w:val="clear" w:color="auto" w:fill="FFF8FF"/>
            <w:noWrap/>
            <w:vAlign w:val="center"/>
            <w:hideMark/>
          </w:tcPr>
          <w:p w14:paraId="6DBE3594" w14:textId="77777777" w:rsidR="00201D5D" w:rsidRPr="00147D0A" w:rsidRDefault="00201D5D" w:rsidP="006C5CD9">
            <w:pPr>
              <w:jc w:val="center"/>
              <w:rPr>
                <w:rFonts w:ascii="Arial Hebrew" w:hAnsi="Arial Hebrew" w:cs="Arial Hebrew"/>
                <w:b/>
                <w:bCs/>
                <w:sz w:val="16"/>
                <w:szCs w:val="16"/>
              </w:rPr>
            </w:pPr>
          </w:p>
        </w:tc>
      </w:tr>
      <w:tr w:rsidR="006970C0" w:rsidRPr="00147D0A" w14:paraId="2CE45E1D" w14:textId="77777777" w:rsidTr="00795BE5">
        <w:trPr>
          <w:trHeight w:val="234"/>
          <w:jc w:val="center"/>
        </w:trPr>
        <w:tc>
          <w:tcPr>
            <w:tcW w:w="2977" w:type="dxa"/>
            <w:tcBorders>
              <w:top w:val="nil"/>
              <w:left w:val="nil"/>
              <w:bottom w:val="nil"/>
              <w:right w:val="nil"/>
            </w:tcBorders>
            <w:shd w:val="clear" w:color="auto" w:fill="F2F2F2" w:themeFill="background1" w:themeFillShade="F2"/>
            <w:noWrap/>
            <w:vAlign w:val="center"/>
            <w:hideMark/>
          </w:tcPr>
          <w:p w14:paraId="4FB02DFB" w14:textId="189DC7C0" w:rsidR="00201D5D" w:rsidRPr="00147D0A" w:rsidRDefault="00201D5D" w:rsidP="006C5CD9">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R</w:t>
            </w:r>
            <w:r w:rsidR="006C5CD9" w:rsidRPr="00147D0A">
              <w:rPr>
                <w:rFonts w:ascii="Arial Hebrew" w:hAnsi="Arial Hebrew" w:cs="Arial Hebrew" w:hint="cs"/>
                <w:color w:val="000000"/>
                <w:sz w:val="14"/>
                <w:szCs w:val="14"/>
              </w:rPr>
              <w:t>ule of Law (RL)</w:t>
            </w:r>
          </w:p>
        </w:tc>
        <w:tc>
          <w:tcPr>
            <w:tcW w:w="571" w:type="dxa"/>
            <w:tcBorders>
              <w:top w:val="nil"/>
              <w:left w:val="nil"/>
              <w:bottom w:val="nil"/>
              <w:right w:val="nil"/>
            </w:tcBorders>
            <w:shd w:val="clear" w:color="000000" w:fill="B5E7FA"/>
            <w:noWrap/>
            <w:vAlign w:val="center"/>
            <w:hideMark/>
          </w:tcPr>
          <w:p w14:paraId="34E0C310"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0.63</w:t>
            </w:r>
          </w:p>
        </w:tc>
        <w:tc>
          <w:tcPr>
            <w:tcW w:w="571" w:type="dxa"/>
            <w:tcBorders>
              <w:top w:val="nil"/>
              <w:left w:val="nil"/>
              <w:bottom w:val="nil"/>
              <w:right w:val="nil"/>
            </w:tcBorders>
            <w:shd w:val="clear" w:color="000000" w:fill="8AD9F7"/>
            <w:noWrap/>
            <w:vAlign w:val="center"/>
            <w:hideMark/>
          </w:tcPr>
          <w:p w14:paraId="2DA7FE3A"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0.82</w:t>
            </w:r>
          </w:p>
        </w:tc>
        <w:tc>
          <w:tcPr>
            <w:tcW w:w="571" w:type="dxa"/>
            <w:tcBorders>
              <w:top w:val="nil"/>
              <w:left w:val="nil"/>
              <w:bottom w:val="nil"/>
              <w:right w:val="nil"/>
            </w:tcBorders>
            <w:shd w:val="clear" w:color="000000" w:fill="7AD4F5"/>
            <w:noWrap/>
            <w:vAlign w:val="center"/>
            <w:hideMark/>
          </w:tcPr>
          <w:p w14:paraId="20D0C081"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0.89</w:t>
            </w:r>
          </w:p>
        </w:tc>
        <w:tc>
          <w:tcPr>
            <w:tcW w:w="571" w:type="dxa"/>
            <w:tcBorders>
              <w:top w:val="nil"/>
              <w:left w:val="nil"/>
              <w:bottom w:val="nil"/>
              <w:right w:val="nil"/>
            </w:tcBorders>
            <w:shd w:val="clear" w:color="000000" w:fill="7FD5F6"/>
            <w:noWrap/>
            <w:vAlign w:val="center"/>
            <w:hideMark/>
          </w:tcPr>
          <w:p w14:paraId="0375C8A5"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0.87</w:t>
            </w:r>
          </w:p>
        </w:tc>
        <w:tc>
          <w:tcPr>
            <w:tcW w:w="571" w:type="dxa"/>
            <w:tcBorders>
              <w:top w:val="nil"/>
              <w:left w:val="nil"/>
              <w:bottom w:val="nil"/>
              <w:right w:val="nil"/>
            </w:tcBorders>
            <w:shd w:val="clear" w:color="000000" w:fill="61CBF3"/>
            <w:noWrap/>
            <w:vAlign w:val="center"/>
            <w:hideMark/>
          </w:tcPr>
          <w:p w14:paraId="589F02C2"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c>
          <w:tcPr>
            <w:tcW w:w="571" w:type="dxa"/>
            <w:tcBorders>
              <w:top w:val="nil"/>
              <w:left w:val="nil"/>
              <w:bottom w:val="nil"/>
              <w:right w:val="nil"/>
            </w:tcBorders>
            <w:shd w:val="clear" w:color="auto" w:fill="FFF8FF"/>
            <w:noWrap/>
            <w:vAlign w:val="center"/>
            <w:hideMark/>
          </w:tcPr>
          <w:p w14:paraId="6739BBBE" w14:textId="77777777" w:rsidR="00201D5D" w:rsidRPr="00147D0A" w:rsidRDefault="00201D5D" w:rsidP="006C5CD9">
            <w:pPr>
              <w:jc w:val="center"/>
              <w:rPr>
                <w:rFonts w:ascii="Arial Hebrew" w:hAnsi="Arial Hebrew" w:cs="Arial Hebrew"/>
                <w:b/>
                <w:bCs/>
                <w:color w:val="000000"/>
                <w:sz w:val="16"/>
                <w:szCs w:val="16"/>
              </w:rPr>
            </w:pPr>
          </w:p>
        </w:tc>
      </w:tr>
      <w:tr w:rsidR="006970C0" w:rsidRPr="00147D0A" w14:paraId="516EE990" w14:textId="77777777" w:rsidTr="00795BE5">
        <w:trPr>
          <w:trHeight w:val="234"/>
          <w:jc w:val="center"/>
        </w:trPr>
        <w:tc>
          <w:tcPr>
            <w:tcW w:w="2977" w:type="dxa"/>
            <w:tcBorders>
              <w:top w:val="nil"/>
              <w:left w:val="nil"/>
              <w:bottom w:val="double" w:sz="4" w:space="0" w:color="auto"/>
              <w:right w:val="nil"/>
            </w:tcBorders>
            <w:shd w:val="clear" w:color="auto" w:fill="F2F2F2" w:themeFill="background1" w:themeFillShade="F2"/>
            <w:noWrap/>
            <w:vAlign w:val="center"/>
            <w:hideMark/>
          </w:tcPr>
          <w:p w14:paraId="4FFB3C33" w14:textId="37CC4415" w:rsidR="00201D5D" w:rsidRPr="00147D0A" w:rsidRDefault="00201D5D" w:rsidP="006C5CD9">
            <w:pPr>
              <w:jc w:val="right"/>
              <w:rPr>
                <w:rFonts w:ascii="Arial Hebrew" w:hAnsi="Arial Hebrew" w:cs="Arial Hebrew"/>
                <w:color w:val="000000"/>
                <w:sz w:val="14"/>
                <w:szCs w:val="14"/>
              </w:rPr>
            </w:pPr>
            <w:r w:rsidRPr="00147D0A">
              <w:rPr>
                <w:rFonts w:ascii="Arial Hebrew" w:hAnsi="Arial Hebrew" w:cs="Arial Hebrew" w:hint="cs"/>
                <w:color w:val="000000"/>
                <w:sz w:val="14"/>
                <w:szCs w:val="14"/>
              </w:rPr>
              <w:t>C</w:t>
            </w:r>
            <w:r w:rsidR="006C5CD9" w:rsidRPr="00147D0A">
              <w:rPr>
                <w:rFonts w:ascii="Arial Hebrew" w:hAnsi="Arial Hebrew" w:cs="Arial Hebrew" w:hint="cs"/>
                <w:color w:val="000000"/>
                <w:sz w:val="14"/>
                <w:szCs w:val="14"/>
              </w:rPr>
              <w:t>ontrol of Corruption</w:t>
            </w:r>
            <w:r w:rsidR="007F6EC9" w:rsidRPr="00147D0A">
              <w:rPr>
                <w:rFonts w:ascii="Arial Hebrew" w:hAnsi="Arial Hebrew" w:cs="Arial Hebrew" w:hint="cs"/>
                <w:color w:val="000000"/>
                <w:sz w:val="14"/>
                <w:szCs w:val="14"/>
              </w:rPr>
              <w:t xml:space="preserve"> </w:t>
            </w:r>
            <w:r w:rsidR="006C5CD9" w:rsidRPr="00147D0A">
              <w:rPr>
                <w:rFonts w:ascii="Arial Hebrew" w:hAnsi="Arial Hebrew" w:cs="Arial Hebrew" w:hint="cs"/>
                <w:color w:val="000000"/>
                <w:sz w:val="14"/>
                <w:szCs w:val="14"/>
              </w:rPr>
              <w:t>(CC)</w:t>
            </w:r>
          </w:p>
        </w:tc>
        <w:tc>
          <w:tcPr>
            <w:tcW w:w="571" w:type="dxa"/>
            <w:tcBorders>
              <w:top w:val="nil"/>
              <w:left w:val="nil"/>
              <w:bottom w:val="double" w:sz="4" w:space="0" w:color="auto"/>
              <w:right w:val="nil"/>
            </w:tcBorders>
            <w:shd w:val="clear" w:color="000000" w:fill="CDEFFC"/>
            <w:noWrap/>
            <w:vAlign w:val="center"/>
            <w:hideMark/>
          </w:tcPr>
          <w:p w14:paraId="74415D2C"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0.52</w:t>
            </w:r>
          </w:p>
        </w:tc>
        <w:tc>
          <w:tcPr>
            <w:tcW w:w="571" w:type="dxa"/>
            <w:tcBorders>
              <w:top w:val="nil"/>
              <w:left w:val="nil"/>
              <w:bottom w:val="double" w:sz="4" w:space="0" w:color="auto"/>
              <w:right w:val="nil"/>
            </w:tcBorders>
            <w:shd w:val="clear" w:color="000000" w:fill="91DBF7"/>
            <w:noWrap/>
            <w:vAlign w:val="center"/>
            <w:hideMark/>
          </w:tcPr>
          <w:p w14:paraId="0AA0495D"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0.79</w:t>
            </w:r>
          </w:p>
        </w:tc>
        <w:tc>
          <w:tcPr>
            <w:tcW w:w="571" w:type="dxa"/>
            <w:tcBorders>
              <w:top w:val="nil"/>
              <w:left w:val="nil"/>
              <w:bottom w:val="double" w:sz="4" w:space="0" w:color="auto"/>
              <w:right w:val="nil"/>
            </w:tcBorders>
            <w:shd w:val="clear" w:color="000000" w:fill="80D6F6"/>
            <w:noWrap/>
            <w:vAlign w:val="center"/>
            <w:hideMark/>
          </w:tcPr>
          <w:p w14:paraId="422B294F"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0.86</w:t>
            </w:r>
          </w:p>
        </w:tc>
        <w:tc>
          <w:tcPr>
            <w:tcW w:w="571" w:type="dxa"/>
            <w:tcBorders>
              <w:top w:val="nil"/>
              <w:left w:val="nil"/>
              <w:bottom w:val="double" w:sz="4" w:space="0" w:color="auto"/>
              <w:right w:val="nil"/>
            </w:tcBorders>
            <w:shd w:val="clear" w:color="000000" w:fill="7ED5F6"/>
            <w:noWrap/>
            <w:vAlign w:val="center"/>
            <w:hideMark/>
          </w:tcPr>
          <w:p w14:paraId="0CDCA234"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0.87</w:t>
            </w:r>
          </w:p>
        </w:tc>
        <w:tc>
          <w:tcPr>
            <w:tcW w:w="571" w:type="dxa"/>
            <w:tcBorders>
              <w:top w:val="nil"/>
              <w:left w:val="nil"/>
              <w:bottom w:val="double" w:sz="4" w:space="0" w:color="auto"/>
              <w:right w:val="nil"/>
            </w:tcBorders>
            <w:shd w:val="clear" w:color="000000" w:fill="7DD4F6"/>
            <w:noWrap/>
            <w:vAlign w:val="center"/>
            <w:hideMark/>
          </w:tcPr>
          <w:p w14:paraId="07476AF4"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0.88</w:t>
            </w:r>
          </w:p>
        </w:tc>
        <w:tc>
          <w:tcPr>
            <w:tcW w:w="571" w:type="dxa"/>
            <w:tcBorders>
              <w:top w:val="nil"/>
              <w:left w:val="nil"/>
              <w:bottom w:val="double" w:sz="4" w:space="0" w:color="auto"/>
              <w:right w:val="nil"/>
            </w:tcBorders>
            <w:shd w:val="clear" w:color="000000" w:fill="61CBF3"/>
            <w:noWrap/>
            <w:vAlign w:val="center"/>
            <w:hideMark/>
          </w:tcPr>
          <w:p w14:paraId="59DEBFBF" w14:textId="77777777" w:rsidR="00201D5D" w:rsidRPr="00147D0A" w:rsidRDefault="00201D5D" w:rsidP="006C5CD9">
            <w:pPr>
              <w:jc w:val="center"/>
              <w:rPr>
                <w:rFonts w:ascii="Arial Hebrew" w:hAnsi="Arial Hebrew" w:cs="Arial Hebrew"/>
                <w:b/>
                <w:bCs/>
                <w:color w:val="000000"/>
                <w:sz w:val="16"/>
                <w:szCs w:val="16"/>
              </w:rPr>
            </w:pPr>
            <w:r w:rsidRPr="00147D0A">
              <w:rPr>
                <w:rFonts w:ascii="Arial Hebrew" w:hAnsi="Arial Hebrew" w:cs="Arial Hebrew" w:hint="cs"/>
                <w:b/>
                <w:bCs/>
                <w:color w:val="000000"/>
                <w:sz w:val="16"/>
                <w:szCs w:val="16"/>
              </w:rPr>
              <w:t>1</w:t>
            </w:r>
          </w:p>
        </w:tc>
      </w:tr>
    </w:tbl>
    <w:p w14:paraId="4944913B" w14:textId="77777777" w:rsidR="00391F3D" w:rsidRPr="00147D0A" w:rsidRDefault="00391F3D" w:rsidP="00AD348E">
      <w:pPr>
        <w:spacing w:line="360" w:lineRule="auto"/>
        <w:jc w:val="both"/>
        <w:rPr>
          <w:rFonts w:ascii="Arial Hebrew" w:hAnsi="Arial Hebrew" w:cs="Arial Hebrew"/>
          <w:color w:val="000000" w:themeColor="text1"/>
          <w:sz w:val="20"/>
          <w:szCs w:val="20"/>
        </w:rPr>
      </w:pPr>
    </w:p>
    <w:p w14:paraId="58BEAE05" w14:textId="178269A0" w:rsidR="00534E97" w:rsidRPr="00147D0A" w:rsidRDefault="00534E97" w:rsidP="00534E97">
      <w:pPr>
        <w:spacing w:before="24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sz w:val="20"/>
          <w:szCs w:val="20"/>
        </w:rPr>
        <w:t xml:space="preserve">These </w:t>
      </w:r>
      <w:r w:rsidR="00CA0D7D" w:rsidRPr="00147D0A">
        <w:rPr>
          <w:rFonts w:ascii="Arial Hebrew" w:hAnsi="Arial Hebrew" w:cs="Arial Hebrew" w:hint="cs"/>
          <w:sz w:val="20"/>
          <w:szCs w:val="20"/>
        </w:rPr>
        <w:t>results</w:t>
      </w:r>
      <w:r w:rsidRPr="00147D0A">
        <w:rPr>
          <w:rFonts w:ascii="Arial Hebrew" w:hAnsi="Arial Hebrew" w:cs="Arial Hebrew" w:hint="cs"/>
          <w:sz w:val="20"/>
          <w:szCs w:val="20"/>
        </w:rPr>
        <w:t xml:space="preserve"> </w:t>
      </w:r>
      <w:r w:rsidR="003A5817">
        <w:rPr>
          <w:rFonts w:ascii="Cambria" w:hAnsi="Cambria" w:cs="Arial Hebrew"/>
          <w:sz w:val="20"/>
          <w:szCs w:val="20"/>
        </w:rPr>
        <w:t xml:space="preserve">lends </w:t>
      </w:r>
      <w:r w:rsidRPr="00147D0A">
        <w:rPr>
          <w:rFonts w:ascii="Arial Hebrew" w:hAnsi="Arial Hebrew" w:cs="Arial Hebrew" w:hint="cs"/>
          <w:sz w:val="20"/>
          <w:szCs w:val="20"/>
        </w:rPr>
        <w:t>support</w:t>
      </w:r>
      <w:r w:rsidR="003A5817">
        <w:rPr>
          <w:rFonts w:ascii="Arial Hebrew" w:hAnsi="Arial Hebrew" w:cs="Arial Hebrew"/>
          <w:sz w:val="20"/>
          <w:szCs w:val="20"/>
        </w:rPr>
        <w:t xml:space="preserve"> </w:t>
      </w:r>
      <w:r w:rsidR="003A5817">
        <w:rPr>
          <w:rFonts w:ascii="Cambria" w:hAnsi="Cambria" w:cs="Arial Hebrew"/>
          <w:sz w:val="20"/>
          <w:szCs w:val="20"/>
        </w:rPr>
        <w:t>to</w:t>
      </w:r>
      <w:r w:rsidRPr="00147D0A">
        <w:rPr>
          <w:rFonts w:ascii="Arial Hebrew" w:hAnsi="Arial Hebrew" w:cs="Arial Hebrew" w:hint="cs"/>
          <w:sz w:val="20"/>
          <w:szCs w:val="20"/>
        </w:rPr>
        <w:t xml:space="preserve"> the approach taken by</w:t>
      </w:r>
      <w:r w:rsidR="00CA0D7D" w:rsidRPr="00147D0A">
        <w:rPr>
          <w:rFonts w:ascii="Arial Hebrew" w:hAnsi="Arial Hebrew" w:cs="Arial Hebrew" w:hint="cs"/>
          <w:sz w:val="20"/>
          <w:szCs w:val="20"/>
        </w:rPr>
        <w:t xml:space="preserve"> the</w:t>
      </w:r>
      <w:r w:rsidRPr="00147D0A">
        <w:rPr>
          <w:rFonts w:ascii="Arial Hebrew" w:hAnsi="Arial Hebrew" w:cs="Arial Hebrew" w:hint="cs"/>
          <w:sz w:val="20"/>
          <w:szCs w:val="20"/>
        </w:rPr>
        <w:t xml:space="preserve"> Fitch</w:t>
      </w:r>
      <w:r w:rsidR="00CA0D7D" w:rsidRPr="00147D0A">
        <w:rPr>
          <w:rFonts w:ascii="Arial Hebrew" w:hAnsi="Arial Hebrew" w:cs="Arial Hebrew" w:hint="cs"/>
          <w:sz w:val="20"/>
          <w:szCs w:val="20"/>
        </w:rPr>
        <w:t xml:space="preserve"> sovereign assessment framework</w:t>
      </w:r>
      <w:r w:rsidR="00E86E29" w:rsidRPr="00147D0A">
        <w:rPr>
          <w:rFonts w:ascii="Arial Hebrew" w:hAnsi="Arial Hebrew" w:cs="Arial Hebrew" w:hint="cs"/>
          <w:sz w:val="20"/>
          <w:szCs w:val="20"/>
        </w:rPr>
        <w:t>, which</w:t>
      </w:r>
      <w:r w:rsidRPr="00147D0A">
        <w:rPr>
          <w:rFonts w:ascii="Arial Hebrew" w:hAnsi="Arial Hebrew" w:cs="Arial Hebrew" w:hint="cs"/>
          <w:sz w:val="20"/>
          <w:szCs w:val="20"/>
        </w:rPr>
        <w:t xml:space="preserve"> simply averag</w:t>
      </w:r>
      <w:r w:rsidR="00A06ED9" w:rsidRPr="00147D0A">
        <w:rPr>
          <w:rFonts w:ascii="Arial Hebrew" w:hAnsi="Arial Hebrew" w:cs="Arial Hebrew" w:hint="cs"/>
          <w:sz w:val="20"/>
          <w:szCs w:val="20"/>
        </w:rPr>
        <w:t>es</w:t>
      </w:r>
      <w:r w:rsidRPr="00147D0A">
        <w:rPr>
          <w:rFonts w:ascii="Arial Hebrew" w:hAnsi="Arial Hebrew" w:cs="Arial Hebrew" w:hint="cs"/>
          <w:sz w:val="20"/>
          <w:szCs w:val="20"/>
        </w:rPr>
        <w:t xml:space="preserve"> the six WGIs into </w:t>
      </w:r>
      <w:r w:rsidR="00AC6700">
        <w:rPr>
          <w:rFonts w:ascii="Cambria" w:hAnsi="Cambria" w:cs="Arial Hebrew"/>
          <w:sz w:val="20"/>
          <w:szCs w:val="20"/>
        </w:rPr>
        <w:t>a</w:t>
      </w:r>
      <w:r w:rsidRPr="00147D0A">
        <w:rPr>
          <w:rFonts w:ascii="Arial Hebrew" w:hAnsi="Arial Hebrew" w:cs="Arial Hebrew" w:hint="cs"/>
          <w:sz w:val="20"/>
          <w:szCs w:val="20"/>
        </w:rPr>
        <w:t xml:space="preserve"> single </w:t>
      </w:r>
      <w:r w:rsidRPr="00147D0A">
        <w:rPr>
          <w:rFonts w:ascii="Arial Hebrew" w:hAnsi="Arial Hebrew" w:cs="Arial Hebrew" w:hint="cs"/>
          <w:i/>
          <w:iCs/>
          <w:sz w:val="20"/>
          <w:szCs w:val="20"/>
        </w:rPr>
        <w:t>Composite governance indicator</w:t>
      </w:r>
      <w:r w:rsidRPr="00147D0A">
        <w:rPr>
          <w:rFonts w:ascii="Arial Hebrew" w:hAnsi="Arial Hebrew" w:cs="Arial Hebrew" w:hint="cs"/>
          <w:sz w:val="20"/>
          <w:szCs w:val="20"/>
        </w:rPr>
        <w:t>.</w:t>
      </w:r>
      <w:r w:rsidR="001A1E20" w:rsidRPr="00147D0A">
        <w:rPr>
          <w:rStyle w:val="FootnoteReference"/>
          <w:rFonts w:ascii="Arial Hebrew" w:hAnsi="Arial Hebrew" w:cs="Arial Hebrew" w:hint="cs"/>
          <w:sz w:val="20"/>
          <w:szCs w:val="20"/>
        </w:rPr>
        <w:t xml:space="preserve"> </w:t>
      </w:r>
      <w:r w:rsidR="001A1E20" w:rsidRPr="00147D0A">
        <w:rPr>
          <w:rStyle w:val="FootnoteReference"/>
          <w:rFonts w:ascii="Arial Hebrew" w:hAnsi="Arial Hebrew" w:cs="Arial Hebrew" w:hint="cs"/>
          <w:sz w:val="20"/>
          <w:szCs w:val="20"/>
        </w:rPr>
        <w:footnoteReference w:id="25"/>
      </w:r>
      <w:r w:rsidRPr="00147D0A">
        <w:rPr>
          <w:rFonts w:ascii="Arial Hebrew" w:hAnsi="Arial Hebrew" w:cs="Arial Hebrew" w:hint="cs"/>
          <w:sz w:val="20"/>
          <w:szCs w:val="20"/>
        </w:rPr>
        <w:t xml:space="preserve"> </w:t>
      </w:r>
      <w:r w:rsidR="00FA4BD4" w:rsidRPr="00147D0A">
        <w:rPr>
          <w:rFonts w:ascii="Arial Hebrew" w:hAnsi="Arial Hebrew" w:cs="Arial Hebrew" w:hint="cs"/>
          <w:sz w:val="20"/>
          <w:szCs w:val="20"/>
        </w:rPr>
        <w:t>Accordingly, the</w:t>
      </w:r>
      <w:r w:rsidRPr="00147D0A">
        <w:rPr>
          <w:rFonts w:ascii="Arial Hebrew" w:hAnsi="Arial Hebrew" w:cs="Arial Hebrew" w:hint="cs"/>
          <w:color w:val="000000" w:themeColor="text1"/>
          <w:sz w:val="20"/>
          <w:szCs w:val="20"/>
        </w:rPr>
        <w:t xml:space="preserve"> proposed global trust index</w:t>
      </w:r>
      <w:r w:rsidR="00FA4BD4" w:rsidRPr="00147D0A">
        <w:rPr>
          <w:rFonts w:ascii="Arial Hebrew" w:hAnsi="Arial Hebrew" w:cs="Arial Hebrew" w:hint="cs"/>
          <w:color w:val="000000" w:themeColor="text1"/>
          <w:sz w:val="20"/>
          <w:szCs w:val="20"/>
        </w:rPr>
        <w:t xml:space="preserve"> </w:t>
      </w:r>
      <w:r w:rsidR="00E86E29" w:rsidRPr="00147D0A">
        <w:rPr>
          <w:rFonts w:ascii="Arial Hebrew" w:hAnsi="Arial Hebrew" w:cs="Arial Hebrew" w:hint="cs"/>
          <w:color w:val="000000" w:themeColor="text1"/>
          <w:sz w:val="20"/>
          <w:szCs w:val="20"/>
        </w:rPr>
        <w:t xml:space="preserve">should </w:t>
      </w:r>
      <w:r w:rsidRPr="00147D0A">
        <w:rPr>
          <w:rFonts w:ascii="Arial Hebrew" w:hAnsi="Arial Hebrew" w:cs="Arial Hebrew" w:hint="cs"/>
          <w:color w:val="000000" w:themeColor="text1"/>
          <w:sz w:val="20"/>
          <w:szCs w:val="20"/>
        </w:rPr>
        <w:t>promise a more transparent, objective, granular, timely, and verifiable means of assessing not only</w:t>
      </w:r>
      <w:r w:rsidR="00FA4BD4" w:rsidRPr="00147D0A">
        <w:rPr>
          <w:rFonts w:ascii="Arial Hebrew" w:hAnsi="Arial Hebrew" w:cs="Arial Hebrew" w:hint="cs"/>
          <w:color w:val="000000" w:themeColor="text1"/>
          <w:sz w:val="20"/>
          <w:szCs w:val="20"/>
        </w:rPr>
        <w:t xml:space="preserve"> the service-quality aspect of “government effectiveness”, </w:t>
      </w:r>
      <w:r w:rsidRPr="00147D0A">
        <w:rPr>
          <w:rFonts w:ascii="Arial Hebrew" w:hAnsi="Arial Hebrew" w:cs="Arial Hebrew" w:hint="cs"/>
          <w:color w:val="000000" w:themeColor="text1"/>
          <w:sz w:val="20"/>
          <w:szCs w:val="20"/>
        </w:rPr>
        <w:t xml:space="preserve">but </w:t>
      </w:r>
      <w:r w:rsidR="00CA0D7D" w:rsidRPr="00147D0A">
        <w:rPr>
          <w:rFonts w:ascii="Arial Hebrew" w:hAnsi="Arial Hebrew" w:cs="Arial Hebrew" w:hint="cs"/>
          <w:color w:val="000000" w:themeColor="text1"/>
          <w:sz w:val="20"/>
          <w:szCs w:val="20"/>
        </w:rPr>
        <w:t xml:space="preserve">the </w:t>
      </w:r>
      <w:r w:rsidRPr="00147D0A">
        <w:rPr>
          <w:rFonts w:ascii="Arial Hebrew" w:hAnsi="Arial Hebrew" w:cs="Arial Hebrew" w:hint="cs"/>
          <w:color w:val="000000" w:themeColor="text1"/>
          <w:sz w:val="20"/>
          <w:szCs w:val="20"/>
        </w:rPr>
        <w:t xml:space="preserve">credit-relevant institutional and governance qualities </w:t>
      </w:r>
      <w:r w:rsidR="00CA0D7D" w:rsidRPr="00147D0A">
        <w:rPr>
          <w:rFonts w:ascii="Arial Hebrew" w:hAnsi="Arial Hebrew" w:cs="Arial Hebrew" w:hint="cs"/>
          <w:color w:val="000000" w:themeColor="text1"/>
          <w:sz w:val="20"/>
          <w:szCs w:val="20"/>
        </w:rPr>
        <w:t>of sovereigns generally.</w:t>
      </w:r>
    </w:p>
    <w:p w14:paraId="456B7236" w14:textId="77777777" w:rsidR="00534E97" w:rsidRPr="00147D0A" w:rsidRDefault="00534E97" w:rsidP="00976965">
      <w:pPr>
        <w:spacing w:line="360" w:lineRule="auto"/>
        <w:ind w:firstLine="720"/>
        <w:jc w:val="both"/>
        <w:rPr>
          <w:rFonts w:ascii="Arial Hebrew" w:hAnsi="Arial Hebrew" w:cs="Arial Hebrew"/>
          <w:color w:val="000000" w:themeColor="text1"/>
          <w:sz w:val="20"/>
          <w:szCs w:val="20"/>
        </w:rPr>
      </w:pPr>
    </w:p>
    <w:p w14:paraId="2A2FE0C0" w14:textId="77777777" w:rsidR="00D9086B" w:rsidRPr="00147D0A" w:rsidRDefault="00534E97" w:rsidP="00D9086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Outside of the</w:t>
      </w:r>
      <w:r w:rsidR="00976965" w:rsidRPr="00147D0A">
        <w:rPr>
          <w:rFonts w:ascii="Arial Hebrew" w:hAnsi="Arial Hebrew" w:cs="Arial Hebrew" w:hint="cs"/>
          <w:color w:val="000000" w:themeColor="text1"/>
          <w:sz w:val="20"/>
          <w:szCs w:val="20"/>
        </w:rPr>
        <w:t xml:space="preserve"> W</w:t>
      </w:r>
      <w:r w:rsidRPr="00147D0A">
        <w:rPr>
          <w:rFonts w:ascii="Arial Hebrew" w:hAnsi="Arial Hebrew" w:cs="Arial Hebrew" w:hint="cs"/>
          <w:color w:val="000000" w:themeColor="text1"/>
          <w:sz w:val="20"/>
          <w:szCs w:val="20"/>
        </w:rPr>
        <w:t>orld Bank’s Worldwide Governance Indicators</w:t>
      </w:r>
      <w:r w:rsidR="00976965"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 xml:space="preserve">few </w:t>
      </w:r>
      <w:r w:rsidR="00E86E29" w:rsidRPr="00147D0A">
        <w:rPr>
          <w:rFonts w:ascii="Arial Hebrew" w:hAnsi="Arial Hebrew" w:cs="Arial Hebrew" w:hint="cs"/>
          <w:color w:val="000000" w:themeColor="text1"/>
          <w:sz w:val="20"/>
          <w:szCs w:val="20"/>
        </w:rPr>
        <w:t>attempts have been made at comparative cross-country</w:t>
      </w:r>
      <w:r w:rsidR="00CA0D7D" w:rsidRPr="00147D0A">
        <w:rPr>
          <w:rFonts w:ascii="Arial Hebrew" w:hAnsi="Arial Hebrew" w:cs="Arial Hebrew" w:hint="cs"/>
          <w:color w:val="000000" w:themeColor="text1"/>
          <w:sz w:val="20"/>
          <w:szCs w:val="20"/>
        </w:rPr>
        <w:t>,</w:t>
      </w:r>
      <w:r w:rsidR="00E86E29" w:rsidRPr="00147D0A">
        <w:rPr>
          <w:rFonts w:ascii="Arial Hebrew" w:hAnsi="Arial Hebrew" w:cs="Arial Hebrew" w:hint="cs"/>
          <w:color w:val="000000" w:themeColor="text1"/>
          <w:sz w:val="20"/>
          <w:szCs w:val="20"/>
        </w:rPr>
        <w:t xml:space="preserve"> or intra-country</w:t>
      </w:r>
      <w:r w:rsidR="00CA0D7D" w:rsidRPr="00147D0A">
        <w:rPr>
          <w:rFonts w:ascii="Arial Hebrew" w:hAnsi="Arial Hebrew" w:cs="Arial Hebrew" w:hint="cs"/>
          <w:color w:val="000000" w:themeColor="text1"/>
          <w:sz w:val="20"/>
          <w:szCs w:val="20"/>
        </w:rPr>
        <w:t>,</w:t>
      </w:r>
      <w:r w:rsidR="00E86E29" w:rsidRPr="00147D0A">
        <w:rPr>
          <w:rFonts w:ascii="Arial Hebrew" w:hAnsi="Arial Hebrew" w:cs="Arial Hebrew" w:hint="cs"/>
          <w:color w:val="000000" w:themeColor="text1"/>
          <w:sz w:val="20"/>
          <w:szCs w:val="20"/>
        </w:rPr>
        <w:t xml:space="preserve"> comparisons of</w:t>
      </w:r>
      <w:r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 xml:space="preserve">government service </w:t>
      </w:r>
      <w:r w:rsidR="00E86E29" w:rsidRPr="00147D0A">
        <w:rPr>
          <w:rFonts w:ascii="Arial Hebrew" w:hAnsi="Arial Hebrew" w:cs="Arial Hebrew" w:hint="cs"/>
          <w:color w:val="000000" w:themeColor="text1"/>
          <w:sz w:val="20"/>
          <w:szCs w:val="20"/>
        </w:rPr>
        <w:t>standards</w:t>
      </w:r>
      <w:r w:rsidR="00976965"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The World Bank’s </w:t>
      </w:r>
      <w:r w:rsidR="00A06ED9" w:rsidRPr="00147D0A">
        <w:rPr>
          <w:rFonts w:ascii="Arial Hebrew" w:hAnsi="Arial Hebrew" w:cs="Arial Hebrew" w:hint="cs"/>
          <w:b/>
          <w:bCs/>
          <w:color w:val="000000" w:themeColor="text1"/>
          <w:sz w:val="20"/>
          <w:szCs w:val="20"/>
        </w:rPr>
        <w:t xml:space="preserve">Service Delivery Indicators (SDI) </w:t>
      </w:r>
      <w:r w:rsidR="00A06ED9" w:rsidRPr="00147D0A">
        <w:rPr>
          <w:rFonts w:ascii="Arial Hebrew" w:hAnsi="Arial Hebrew" w:cs="Arial Hebrew" w:hint="cs"/>
          <w:color w:val="000000" w:themeColor="text1"/>
          <w:sz w:val="20"/>
          <w:szCs w:val="20"/>
        </w:rPr>
        <w:t xml:space="preserve">program </w:t>
      </w:r>
      <w:r w:rsidR="00015919" w:rsidRPr="00147D0A">
        <w:rPr>
          <w:rFonts w:ascii="Arial Hebrew" w:hAnsi="Arial Hebrew" w:cs="Arial Hebrew" w:hint="cs"/>
          <w:color w:val="000000" w:themeColor="text1"/>
          <w:sz w:val="20"/>
          <w:szCs w:val="20"/>
        </w:rPr>
        <w:t xml:space="preserve">audits frontline education and healthcare provision in lower-income countries that lack domestic </w:t>
      </w:r>
      <w:r w:rsidR="00CA0D7D" w:rsidRPr="00147D0A">
        <w:rPr>
          <w:rFonts w:ascii="Arial Hebrew" w:hAnsi="Arial Hebrew" w:cs="Arial Hebrew" w:hint="cs"/>
          <w:color w:val="000000" w:themeColor="text1"/>
          <w:sz w:val="20"/>
          <w:szCs w:val="20"/>
        </w:rPr>
        <w:t xml:space="preserve">monitoring </w:t>
      </w:r>
      <w:r w:rsidR="00015919" w:rsidRPr="00147D0A">
        <w:rPr>
          <w:rFonts w:ascii="Arial Hebrew" w:hAnsi="Arial Hebrew" w:cs="Arial Hebrew" w:hint="cs"/>
          <w:color w:val="000000" w:themeColor="text1"/>
          <w:sz w:val="20"/>
          <w:szCs w:val="20"/>
        </w:rPr>
        <w:t>capacity</w:t>
      </w:r>
      <w:r w:rsidR="00795BE5" w:rsidRPr="00147D0A">
        <w:rPr>
          <w:rFonts w:ascii="Arial Hebrew" w:hAnsi="Arial Hebrew" w:cs="Arial Hebrew" w:hint="cs"/>
          <w:color w:val="000000" w:themeColor="text1"/>
          <w:sz w:val="20"/>
          <w:szCs w:val="20"/>
        </w:rPr>
        <w:t xml:space="preserve">, but </w:t>
      </w:r>
      <w:r w:rsidR="00CA0D7D" w:rsidRPr="00147D0A">
        <w:rPr>
          <w:rFonts w:ascii="Arial Hebrew" w:hAnsi="Arial Hebrew" w:cs="Arial Hebrew" w:hint="cs"/>
          <w:color w:val="000000" w:themeColor="text1"/>
          <w:sz w:val="20"/>
          <w:szCs w:val="20"/>
        </w:rPr>
        <w:t>the SDIs</w:t>
      </w:r>
      <w:r w:rsidR="00795BE5" w:rsidRPr="00147D0A">
        <w:rPr>
          <w:rFonts w:ascii="Arial Hebrew" w:hAnsi="Arial Hebrew" w:cs="Arial Hebrew" w:hint="cs"/>
          <w:color w:val="000000" w:themeColor="text1"/>
          <w:sz w:val="20"/>
          <w:szCs w:val="20"/>
        </w:rPr>
        <w:t xml:space="preserve"> </w:t>
      </w:r>
      <w:r w:rsidR="003E2C21" w:rsidRPr="00147D0A">
        <w:rPr>
          <w:rFonts w:ascii="Arial Hebrew" w:hAnsi="Arial Hebrew" w:cs="Arial Hebrew" w:hint="cs"/>
          <w:color w:val="000000" w:themeColor="text1"/>
          <w:sz w:val="20"/>
          <w:szCs w:val="20"/>
        </w:rPr>
        <w:t xml:space="preserve">frequency, </w:t>
      </w:r>
      <w:r w:rsidR="00795BE5" w:rsidRPr="00147D0A">
        <w:rPr>
          <w:rFonts w:ascii="Arial Hebrew" w:hAnsi="Arial Hebrew" w:cs="Arial Hebrew" w:hint="cs"/>
          <w:color w:val="000000" w:themeColor="text1"/>
          <w:sz w:val="20"/>
          <w:szCs w:val="20"/>
        </w:rPr>
        <w:t>coverage</w:t>
      </w:r>
      <w:r w:rsidR="003E2C21" w:rsidRPr="00147D0A">
        <w:rPr>
          <w:rFonts w:ascii="Arial Hebrew" w:hAnsi="Arial Hebrew" w:cs="Arial Hebrew" w:hint="cs"/>
          <w:color w:val="000000" w:themeColor="text1"/>
          <w:sz w:val="20"/>
          <w:szCs w:val="20"/>
        </w:rPr>
        <w:t>,</w:t>
      </w:r>
      <w:r w:rsidR="00795BE5" w:rsidRPr="00147D0A">
        <w:rPr>
          <w:rFonts w:ascii="Arial Hebrew" w:hAnsi="Arial Hebrew" w:cs="Arial Hebrew" w:hint="cs"/>
          <w:color w:val="000000" w:themeColor="text1"/>
          <w:sz w:val="20"/>
          <w:szCs w:val="20"/>
        </w:rPr>
        <w:t xml:space="preserve"> and scope is too limited </w:t>
      </w:r>
      <w:r w:rsidR="003E2C21" w:rsidRPr="00147D0A">
        <w:rPr>
          <w:rFonts w:ascii="Arial Hebrew" w:hAnsi="Arial Hebrew" w:cs="Arial Hebrew" w:hint="cs"/>
          <w:color w:val="000000" w:themeColor="text1"/>
          <w:sz w:val="20"/>
          <w:szCs w:val="20"/>
        </w:rPr>
        <w:t xml:space="preserve">to be considered as a general measure of service quality for </w:t>
      </w:r>
      <w:r w:rsidR="00AD348E" w:rsidRPr="00147D0A">
        <w:rPr>
          <w:rFonts w:ascii="Arial Hebrew" w:hAnsi="Arial Hebrew" w:cs="Arial Hebrew" w:hint="cs"/>
          <w:color w:val="000000" w:themeColor="text1"/>
          <w:sz w:val="20"/>
          <w:szCs w:val="20"/>
        </w:rPr>
        <w:t xml:space="preserve">international </w:t>
      </w:r>
      <w:r w:rsidR="003E2C21" w:rsidRPr="00147D0A">
        <w:rPr>
          <w:rFonts w:ascii="Arial Hebrew" w:hAnsi="Arial Hebrew" w:cs="Arial Hebrew" w:hint="cs"/>
          <w:color w:val="000000" w:themeColor="text1"/>
          <w:sz w:val="20"/>
          <w:szCs w:val="20"/>
        </w:rPr>
        <w:t>comparisons.</w:t>
      </w:r>
      <w:r w:rsidR="00795BE5" w:rsidRPr="00147D0A">
        <w:rPr>
          <w:rFonts w:ascii="Arial Hebrew" w:hAnsi="Arial Hebrew" w:cs="Arial Hebrew" w:hint="cs"/>
          <w:color w:val="000000" w:themeColor="text1"/>
          <w:sz w:val="20"/>
          <w:szCs w:val="20"/>
        </w:rPr>
        <w:t xml:space="preserve"> </w:t>
      </w:r>
    </w:p>
    <w:p w14:paraId="5D1ED8F9" w14:textId="35D43CDE" w:rsidR="003B695C" w:rsidRPr="00147D0A" w:rsidRDefault="00EC6103" w:rsidP="00D9086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For developed economies, t</w:t>
      </w:r>
      <w:r w:rsidR="00976965" w:rsidRPr="00147D0A">
        <w:rPr>
          <w:rFonts w:ascii="Arial Hebrew" w:hAnsi="Arial Hebrew" w:cs="Arial Hebrew" w:hint="cs"/>
          <w:color w:val="000000" w:themeColor="text1"/>
          <w:sz w:val="20"/>
          <w:szCs w:val="20"/>
        </w:rPr>
        <w:t>he O</w:t>
      </w:r>
      <w:r w:rsidR="00E86E29" w:rsidRPr="00147D0A">
        <w:rPr>
          <w:rFonts w:ascii="Arial Hebrew" w:hAnsi="Arial Hebrew" w:cs="Arial Hebrew" w:hint="cs"/>
          <w:color w:val="000000" w:themeColor="text1"/>
          <w:sz w:val="20"/>
          <w:szCs w:val="20"/>
        </w:rPr>
        <w:t xml:space="preserve">rganisation of </w:t>
      </w:r>
      <w:r w:rsidR="00976965" w:rsidRPr="00147D0A">
        <w:rPr>
          <w:rFonts w:ascii="Arial Hebrew" w:hAnsi="Arial Hebrew" w:cs="Arial Hebrew" w:hint="cs"/>
          <w:color w:val="000000" w:themeColor="text1"/>
          <w:sz w:val="20"/>
          <w:szCs w:val="20"/>
        </w:rPr>
        <w:t>E</w:t>
      </w:r>
      <w:r w:rsidR="00E86E29" w:rsidRPr="00147D0A">
        <w:rPr>
          <w:rFonts w:ascii="Arial Hebrew" w:hAnsi="Arial Hebrew" w:cs="Arial Hebrew" w:hint="cs"/>
          <w:color w:val="000000" w:themeColor="text1"/>
          <w:sz w:val="20"/>
          <w:szCs w:val="20"/>
        </w:rPr>
        <w:t xml:space="preserve">conomic </w:t>
      </w:r>
      <w:r w:rsidR="00976965" w:rsidRPr="00147D0A">
        <w:rPr>
          <w:rFonts w:ascii="Arial Hebrew" w:hAnsi="Arial Hebrew" w:cs="Arial Hebrew" w:hint="cs"/>
          <w:color w:val="000000" w:themeColor="text1"/>
          <w:sz w:val="20"/>
          <w:szCs w:val="20"/>
        </w:rPr>
        <w:t>C</w:t>
      </w:r>
      <w:r w:rsidR="00E86E29" w:rsidRPr="00147D0A">
        <w:rPr>
          <w:rFonts w:ascii="Arial Hebrew" w:hAnsi="Arial Hebrew" w:cs="Arial Hebrew" w:hint="cs"/>
          <w:color w:val="000000" w:themeColor="text1"/>
          <w:sz w:val="20"/>
          <w:szCs w:val="20"/>
        </w:rPr>
        <w:t xml:space="preserve">ooperation and </w:t>
      </w:r>
      <w:r w:rsidR="00976965" w:rsidRPr="00147D0A">
        <w:rPr>
          <w:rFonts w:ascii="Arial Hebrew" w:hAnsi="Arial Hebrew" w:cs="Arial Hebrew" w:hint="cs"/>
          <w:color w:val="000000" w:themeColor="text1"/>
          <w:sz w:val="20"/>
          <w:szCs w:val="20"/>
        </w:rPr>
        <w:t>D</w:t>
      </w:r>
      <w:r w:rsidR="00E86E29" w:rsidRPr="00147D0A">
        <w:rPr>
          <w:rFonts w:ascii="Arial Hebrew" w:hAnsi="Arial Hebrew" w:cs="Arial Hebrew" w:hint="cs"/>
          <w:color w:val="000000" w:themeColor="text1"/>
          <w:sz w:val="20"/>
          <w:szCs w:val="20"/>
        </w:rPr>
        <w:t>evelopment</w:t>
      </w:r>
      <w:r w:rsidR="00DC4426" w:rsidRPr="00147D0A">
        <w:rPr>
          <w:rFonts w:ascii="Arial Hebrew" w:hAnsi="Arial Hebrew" w:cs="Arial Hebrew" w:hint="cs"/>
          <w:color w:val="000000" w:themeColor="text1"/>
          <w:sz w:val="20"/>
          <w:szCs w:val="20"/>
        </w:rPr>
        <w:t xml:space="preserve"> (OECD) produces a biennial publication </w:t>
      </w:r>
      <w:r w:rsidRPr="00147D0A">
        <w:rPr>
          <w:rFonts w:ascii="Arial Hebrew" w:hAnsi="Arial Hebrew" w:cs="Arial Hebrew" w:hint="cs"/>
          <w:color w:val="000000" w:themeColor="text1"/>
          <w:sz w:val="20"/>
          <w:szCs w:val="20"/>
        </w:rPr>
        <w:t xml:space="preserve">– </w:t>
      </w:r>
      <w:r w:rsidRPr="00147D0A">
        <w:rPr>
          <w:rFonts w:ascii="Arial Hebrew" w:hAnsi="Arial Hebrew" w:cs="Arial Hebrew" w:hint="cs"/>
          <w:b/>
          <w:bCs/>
          <w:i/>
          <w:iCs/>
          <w:color w:val="000000" w:themeColor="text1"/>
          <w:sz w:val="20"/>
          <w:szCs w:val="20"/>
        </w:rPr>
        <w:t>Government at a Glance</w:t>
      </w:r>
      <w:r w:rsidRPr="00147D0A">
        <w:rPr>
          <w:rFonts w:ascii="Arial Hebrew" w:hAnsi="Arial Hebrew" w:cs="Arial Hebrew" w:hint="cs"/>
          <w:b/>
          <w:bCs/>
          <w:color w:val="000000" w:themeColor="text1"/>
          <w:sz w:val="20"/>
          <w:szCs w:val="20"/>
        </w:rPr>
        <w:t xml:space="preserve"> </w:t>
      </w:r>
      <w:r w:rsidRPr="00147D0A">
        <w:rPr>
          <w:rFonts w:ascii="Arial Hebrew" w:hAnsi="Arial Hebrew" w:cs="Arial Hebrew" w:hint="cs"/>
          <w:color w:val="000000" w:themeColor="text1"/>
          <w:sz w:val="20"/>
          <w:szCs w:val="20"/>
        </w:rPr>
        <w:t xml:space="preserve">– </w:t>
      </w:r>
      <w:r w:rsidR="00DC4426" w:rsidRPr="00147D0A">
        <w:rPr>
          <w:rFonts w:ascii="Arial Hebrew" w:hAnsi="Arial Hebrew" w:cs="Arial Hebrew" w:hint="cs"/>
          <w:color w:val="000000" w:themeColor="text1"/>
          <w:sz w:val="20"/>
          <w:szCs w:val="20"/>
        </w:rPr>
        <w:t xml:space="preserve">benchmarking </w:t>
      </w:r>
      <w:r w:rsidRPr="00147D0A">
        <w:rPr>
          <w:rFonts w:ascii="Arial Hebrew" w:hAnsi="Arial Hebrew" w:cs="Arial Hebrew" w:hint="cs"/>
          <w:color w:val="000000" w:themeColor="text1"/>
          <w:sz w:val="20"/>
          <w:szCs w:val="20"/>
        </w:rPr>
        <w:t xml:space="preserve">members’ </w:t>
      </w:r>
      <w:r w:rsidR="00DC4426" w:rsidRPr="00147D0A">
        <w:rPr>
          <w:rFonts w:ascii="Arial Hebrew" w:hAnsi="Arial Hebrew" w:cs="Arial Hebrew" w:hint="cs"/>
          <w:color w:val="000000" w:themeColor="text1"/>
          <w:sz w:val="20"/>
          <w:szCs w:val="20"/>
        </w:rPr>
        <w:t>public-sector performance</w:t>
      </w:r>
      <w:r w:rsidRPr="00147D0A">
        <w:rPr>
          <w:rFonts w:ascii="Arial Hebrew" w:hAnsi="Arial Hebrew" w:cs="Arial Hebrew" w:hint="cs"/>
          <w:color w:val="000000" w:themeColor="text1"/>
          <w:sz w:val="20"/>
          <w:szCs w:val="20"/>
        </w:rPr>
        <w:t>. T</w:t>
      </w:r>
      <w:r w:rsidR="00795BE5" w:rsidRPr="00147D0A">
        <w:rPr>
          <w:rFonts w:ascii="Arial Hebrew" w:hAnsi="Arial Hebrew" w:cs="Arial Hebrew" w:hint="cs"/>
          <w:color w:val="000000" w:themeColor="text1"/>
          <w:sz w:val="20"/>
          <w:szCs w:val="20"/>
        </w:rPr>
        <w:t>he</w:t>
      </w:r>
      <w:r w:rsidRPr="00147D0A">
        <w:rPr>
          <w:rFonts w:ascii="Arial Hebrew" w:hAnsi="Arial Hebrew" w:cs="Arial Hebrew" w:hint="cs"/>
          <w:color w:val="000000" w:themeColor="text1"/>
          <w:sz w:val="20"/>
          <w:szCs w:val="20"/>
        </w:rPr>
        <w:t xml:space="preserve"> initiative</w:t>
      </w:r>
      <w:r w:rsidR="00DC4426" w:rsidRPr="00147D0A">
        <w:rPr>
          <w:rFonts w:ascii="Arial Hebrew" w:hAnsi="Arial Hebrew" w:cs="Arial Hebrew" w:hint="cs"/>
          <w:color w:val="000000" w:themeColor="text1"/>
          <w:sz w:val="20"/>
          <w:szCs w:val="20"/>
        </w:rPr>
        <w:t xml:space="preserve"> collects several hundred internationally comparable indicators</w:t>
      </w:r>
      <w:r w:rsidR="0086616D" w:rsidRPr="00147D0A">
        <w:rPr>
          <w:rFonts w:ascii="Arial Hebrew" w:hAnsi="Arial Hebrew" w:cs="Arial Hebrew" w:hint="cs"/>
          <w:color w:val="000000" w:themeColor="text1"/>
          <w:sz w:val="20"/>
          <w:szCs w:val="20"/>
        </w:rPr>
        <w:t xml:space="preserve"> </w:t>
      </w:r>
      <w:r w:rsidR="00B647A2" w:rsidRPr="00147D0A">
        <w:rPr>
          <w:rFonts w:ascii="Arial Hebrew" w:hAnsi="Arial Hebrew" w:cs="Arial Hebrew" w:hint="cs"/>
          <w:color w:val="000000" w:themeColor="text1"/>
          <w:sz w:val="20"/>
          <w:szCs w:val="20"/>
        </w:rPr>
        <w:t xml:space="preserve">that </w:t>
      </w:r>
      <w:r w:rsidR="0086616D" w:rsidRPr="00147D0A">
        <w:rPr>
          <w:rFonts w:ascii="Arial Hebrew" w:hAnsi="Arial Hebrew" w:cs="Arial Hebrew" w:hint="cs"/>
          <w:color w:val="000000" w:themeColor="text1"/>
          <w:sz w:val="20"/>
          <w:szCs w:val="20"/>
        </w:rPr>
        <w:t>captur</w:t>
      </w:r>
      <w:r w:rsidR="00B647A2" w:rsidRPr="00147D0A">
        <w:rPr>
          <w:rFonts w:ascii="Arial Hebrew" w:hAnsi="Arial Hebrew" w:cs="Arial Hebrew" w:hint="cs"/>
          <w:color w:val="000000" w:themeColor="text1"/>
          <w:sz w:val="20"/>
          <w:szCs w:val="20"/>
        </w:rPr>
        <w:t>e</w:t>
      </w:r>
      <w:r w:rsidR="00DC4426" w:rsidRPr="00147D0A">
        <w:rPr>
          <w:rFonts w:ascii="Arial Hebrew" w:hAnsi="Arial Hebrew" w:cs="Arial Hebrew" w:hint="cs"/>
          <w:color w:val="000000" w:themeColor="text1"/>
          <w:sz w:val="20"/>
          <w:szCs w:val="20"/>
        </w:rPr>
        <w:t xml:space="preserve"> </w:t>
      </w:r>
      <w:r w:rsidR="0086616D" w:rsidRPr="00147D0A">
        <w:rPr>
          <w:rFonts w:ascii="Arial Hebrew" w:hAnsi="Arial Hebrew" w:cs="Arial Hebrew" w:hint="cs"/>
          <w:color w:val="000000" w:themeColor="text1"/>
          <w:sz w:val="20"/>
          <w:szCs w:val="20"/>
        </w:rPr>
        <w:t xml:space="preserve">institutional inputs and processes </w:t>
      </w:r>
      <w:r w:rsidR="00B647A2" w:rsidRPr="00147D0A">
        <w:rPr>
          <w:rFonts w:ascii="Arial Hebrew" w:hAnsi="Arial Hebrew" w:cs="Arial Hebrew" w:hint="cs"/>
          <w:color w:val="000000" w:themeColor="text1"/>
          <w:sz w:val="20"/>
          <w:szCs w:val="20"/>
        </w:rPr>
        <w:t>(</w:t>
      </w:r>
      <w:r w:rsidR="00DC4426" w:rsidRPr="00147D0A">
        <w:rPr>
          <w:rFonts w:ascii="Arial Hebrew" w:hAnsi="Arial Hebrew" w:cs="Arial Hebrew" w:hint="cs"/>
          <w:color w:val="000000" w:themeColor="text1"/>
          <w:sz w:val="20"/>
          <w:szCs w:val="20"/>
        </w:rPr>
        <w:t>drawn mainly from administrative data supplied by</w:t>
      </w:r>
      <w:r w:rsidRPr="00147D0A">
        <w:rPr>
          <w:rFonts w:ascii="Arial Hebrew" w:hAnsi="Arial Hebrew" w:cs="Arial Hebrew" w:hint="cs"/>
          <w:color w:val="000000" w:themeColor="text1"/>
          <w:sz w:val="20"/>
          <w:szCs w:val="20"/>
        </w:rPr>
        <w:t xml:space="preserve"> member</w:t>
      </w:r>
      <w:r w:rsidR="00DC4426" w:rsidRPr="00147D0A">
        <w:rPr>
          <w:rFonts w:ascii="Arial Hebrew" w:hAnsi="Arial Hebrew" w:cs="Arial Hebrew" w:hint="cs"/>
          <w:color w:val="000000" w:themeColor="text1"/>
          <w:sz w:val="20"/>
          <w:szCs w:val="20"/>
        </w:rPr>
        <w:t xml:space="preserve"> governments</w:t>
      </w:r>
      <w:r w:rsidR="00B647A2" w:rsidRPr="00147D0A">
        <w:rPr>
          <w:rFonts w:ascii="Arial Hebrew" w:hAnsi="Arial Hebrew" w:cs="Arial Hebrew" w:hint="cs"/>
          <w:color w:val="000000" w:themeColor="text1"/>
          <w:sz w:val="20"/>
          <w:szCs w:val="20"/>
        </w:rPr>
        <w:t>)</w:t>
      </w:r>
      <w:r w:rsidR="00CA0D7D"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but</w:t>
      </w:r>
      <w:r w:rsidR="00DC4426" w:rsidRPr="00147D0A">
        <w:rPr>
          <w:rFonts w:ascii="Arial Hebrew" w:hAnsi="Arial Hebrew" w:cs="Arial Hebrew" w:hint="cs"/>
          <w:color w:val="000000" w:themeColor="text1"/>
          <w:sz w:val="20"/>
          <w:szCs w:val="20"/>
        </w:rPr>
        <w:t xml:space="preserve"> does not attempt to</w:t>
      </w:r>
      <w:r w:rsidRPr="00147D0A">
        <w:rPr>
          <w:rFonts w:ascii="Arial Hebrew" w:hAnsi="Arial Hebrew" w:cs="Arial Hebrew" w:hint="cs"/>
          <w:color w:val="000000" w:themeColor="text1"/>
          <w:sz w:val="20"/>
          <w:szCs w:val="20"/>
        </w:rPr>
        <w:t xml:space="preserve"> construct</w:t>
      </w:r>
      <w:r w:rsidR="00DC4426"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general </w:t>
      </w:r>
      <w:r w:rsidR="00DC4426" w:rsidRPr="00147D0A">
        <w:rPr>
          <w:rFonts w:ascii="Arial Hebrew" w:hAnsi="Arial Hebrew" w:cs="Arial Hebrew" w:hint="cs"/>
          <w:color w:val="000000" w:themeColor="text1"/>
          <w:sz w:val="20"/>
          <w:szCs w:val="20"/>
        </w:rPr>
        <w:t>ind</w:t>
      </w:r>
      <w:r w:rsidRPr="00147D0A">
        <w:rPr>
          <w:rFonts w:ascii="Arial Hebrew" w:hAnsi="Arial Hebrew" w:cs="Arial Hebrew" w:hint="cs"/>
          <w:color w:val="000000" w:themeColor="text1"/>
          <w:sz w:val="20"/>
          <w:szCs w:val="20"/>
        </w:rPr>
        <w:t>ices of</w:t>
      </w:r>
      <w:r w:rsidR="00DC4426" w:rsidRPr="00147D0A">
        <w:rPr>
          <w:rFonts w:ascii="Arial Hebrew" w:hAnsi="Arial Hebrew" w:cs="Arial Hebrew" w:hint="cs"/>
          <w:color w:val="000000" w:themeColor="text1"/>
          <w:sz w:val="20"/>
          <w:szCs w:val="20"/>
        </w:rPr>
        <w:t xml:space="preserve"> service </w:t>
      </w:r>
      <w:r w:rsidR="00AD348E" w:rsidRPr="00147D0A">
        <w:rPr>
          <w:rFonts w:ascii="Arial Hebrew" w:hAnsi="Arial Hebrew" w:cs="Arial Hebrew" w:hint="cs"/>
          <w:color w:val="000000" w:themeColor="text1"/>
          <w:sz w:val="20"/>
          <w:szCs w:val="20"/>
        </w:rPr>
        <w:t xml:space="preserve">(or institutional) </w:t>
      </w:r>
      <w:r w:rsidR="00DC4426" w:rsidRPr="00147D0A">
        <w:rPr>
          <w:rFonts w:ascii="Arial Hebrew" w:hAnsi="Arial Hebrew" w:cs="Arial Hebrew" w:hint="cs"/>
          <w:color w:val="000000" w:themeColor="text1"/>
          <w:sz w:val="20"/>
          <w:szCs w:val="20"/>
        </w:rPr>
        <w:t xml:space="preserve">quality. </w:t>
      </w:r>
      <w:r w:rsidR="0086616D" w:rsidRPr="00147D0A">
        <w:rPr>
          <w:rFonts w:ascii="Arial Hebrew" w:hAnsi="Arial Hebrew" w:cs="Arial Hebrew" w:hint="cs"/>
          <w:color w:val="000000" w:themeColor="text1"/>
          <w:sz w:val="20"/>
          <w:szCs w:val="20"/>
        </w:rPr>
        <w:t xml:space="preserve">Separately, the OECD produces a biennial </w:t>
      </w:r>
      <w:r w:rsidR="0086616D" w:rsidRPr="00147D0A">
        <w:rPr>
          <w:rFonts w:ascii="Arial Hebrew" w:hAnsi="Arial Hebrew" w:cs="Arial Hebrew" w:hint="cs"/>
          <w:b/>
          <w:bCs/>
          <w:i/>
          <w:iCs/>
          <w:color w:val="000000" w:themeColor="text1"/>
          <w:sz w:val="20"/>
          <w:szCs w:val="20"/>
        </w:rPr>
        <w:t>Survey on the Drivers of Trust in Public Institutions</w:t>
      </w:r>
      <w:r w:rsidR="0086616D" w:rsidRPr="00147D0A">
        <w:rPr>
          <w:rFonts w:ascii="Arial Hebrew" w:hAnsi="Arial Hebrew" w:cs="Arial Hebrew" w:hint="cs"/>
          <w:color w:val="000000" w:themeColor="text1"/>
          <w:sz w:val="20"/>
          <w:szCs w:val="20"/>
        </w:rPr>
        <w:t xml:space="preserve">, which </w:t>
      </w:r>
      <w:r w:rsidRPr="00147D0A">
        <w:rPr>
          <w:rFonts w:ascii="Arial Hebrew" w:hAnsi="Arial Hebrew" w:cs="Arial Hebrew" w:hint="cs"/>
          <w:color w:val="000000" w:themeColor="text1"/>
          <w:sz w:val="20"/>
          <w:szCs w:val="20"/>
        </w:rPr>
        <w:t>polls public</w:t>
      </w:r>
      <w:r w:rsidR="0086616D" w:rsidRPr="00147D0A">
        <w:rPr>
          <w:rFonts w:ascii="Arial Hebrew" w:hAnsi="Arial Hebrew" w:cs="Arial Hebrew" w:hint="cs"/>
          <w:color w:val="000000" w:themeColor="text1"/>
          <w:sz w:val="20"/>
          <w:szCs w:val="20"/>
        </w:rPr>
        <w:t xml:space="preserve"> </w:t>
      </w:r>
      <w:r w:rsidR="00005E90" w:rsidRPr="00147D0A">
        <w:rPr>
          <w:rFonts w:ascii="Arial Hebrew" w:hAnsi="Arial Hebrew" w:cs="Arial Hebrew" w:hint="cs"/>
          <w:color w:val="000000" w:themeColor="text1"/>
          <w:sz w:val="20"/>
          <w:szCs w:val="20"/>
        </w:rPr>
        <w:t>trust in government</w:t>
      </w:r>
      <w:r w:rsidRPr="00147D0A">
        <w:rPr>
          <w:rFonts w:ascii="Arial Hebrew" w:hAnsi="Arial Hebrew" w:cs="Arial Hebrew" w:hint="cs"/>
          <w:color w:val="000000" w:themeColor="text1"/>
          <w:sz w:val="20"/>
          <w:szCs w:val="20"/>
        </w:rPr>
        <w:t>s</w:t>
      </w:r>
      <w:r w:rsidR="00005E90" w:rsidRPr="00147D0A">
        <w:rPr>
          <w:rFonts w:ascii="Arial Hebrew" w:hAnsi="Arial Hebrew" w:cs="Arial Hebrew" w:hint="cs"/>
          <w:color w:val="000000" w:themeColor="text1"/>
          <w:sz w:val="20"/>
          <w:szCs w:val="20"/>
        </w:rPr>
        <w:t xml:space="preserve"> </w:t>
      </w:r>
      <w:r w:rsidR="00B647A2" w:rsidRPr="00147D0A">
        <w:rPr>
          <w:rFonts w:ascii="Arial Hebrew" w:hAnsi="Arial Hebrew" w:cs="Arial Hebrew" w:hint="cs"/>
          <w:color w:val="000000" w:themeColor="text1"/>
          <w:sz w:val="20"/>
          <w:szCs w:val="20"/>
        </w:rPr>
        <w:t xml:space="preserve">(and government services) </w:t>
      </w:r>
      <w:r w:rsidR="00A06ED9" w:rsidRPr="00147D0A">
        <w:rPr>
          <w:rFonts w:ascii="Arial Hebrew" w:hAnsi="Arial Hebrew" w:cs="Arial Hebrew" w:hint="cs"/>
          <w:color w:val="000000" w:themeColor="text1"/>
          <w:sz w:val="20"/>
          <w:szCs w:val="20"/>
        </w:rPr>
        <w:t xml:space="preserve">but does not incorporate </w:t>
      </w:r>
      <w:r w:rsidR="00015919" w:rsidRPr="00147D0A">
        <w:rPr>
          <w:rFonts w:ascii="Arial Hebrew" w:hAnsi="Arial Hebrew" w:cs="Arial Hebrew" w:hint="cs"/>
          <w:color w:val="000000" w:themeColor="text1"/>
          <w:sz w:val="20"/>
          <w:szCs w:val="20"/>
        </w:rPr>
        <w:t xml:space="preserve">service </w:t>
      </w:r>
      <w:r w:rsidR="00A06ED9" w:rsidRPr="00147D0A">
        <w:rPr>
          <w:rFonts w:ascii="Arial Hebrew" w:hAnsi="Arial Hebrew" w:cs="Arial Hebrew" w:hint="cs"/>
          <w:color w:val="000000" w:themeColor="text1"/>
          <w:sz w:val="20"/>
          <w:szCs w:val="20"/>
        </w:rPr>
        <w:t>outcome metrics</w:t>
      </w:r>
      <w:r w:rsidR="00005E90" w:rsidRPr="00147D0A">
        <w:rPr>
          <w:rFonts w:ascii="Arial Hebrew" w:hAnsi="Arial Hebrew" w:cs="Arial Hebrew" w:hint="cs"/>
          <w:color w:val="000000" w:themeColor="text1"/>
          <w:sz w:val="20"/>
          <w:szCs w:val="20"/>
        </w:rPr>
        <w:t>.</w:t>
      </w:r>
      <w:r w:rsidR="00A06ED9" w:rsidRPr="00147D0A">
        <w:rPr>
          <w:rFonts w:ascii="Arial Hebrew" w:hAnsi="Arial Hebrew" w:cs="Arial Hebrew" w:hint="cs"/>
          <w:color w:val="000000" w:themeColor="text1"/>
          <w:sz w:val="20"/>
          <w:szCs w:val="20"/>
        </w:rPr>
        <w:t xml:space="preserve"> Various OECD </w:t>
      </w:r>
      <w:r w:rsidRPr="00147D0A">
        <w:rPr>
          <w:rFonts w:ascii="Arial Hebrew" w:hAnsi="Arial Hebrew" w:cs="Arial Hebrew" w:hint="cs"/>
          <w:color w:val="000000" w:themeColor="text1"/>
          <w:sz w:val="20"/>
          <w:szCs w:val="20"/>
        </w:rPr>
        <w:t xml:space="preserve">initiatives </w:t>
      </w:r>
      <w:r w:rsidR="00B647A2" w:rsidRPr="00147D0A">
        <w:rPr>
          <w:rFonts w:ascii="Arial Hebrew" w:hAnsi="Arial Hebrew" w:cs="Arial Hebrew" w:hint="cs"/>
          <w:color w:val="000000" w:themeColor="text1"/>
          <w:sz w:val="20"/>
          <w:szCs w:val="20"/>
        </w:rPr>
        <w:t xml:space="preserve">gather </w:t>
      </w:r>
      <w:r w:rsidR="00015919" w:rsidRPr="00147D0A">
        <w:rPr>
          <w:rFonts w:ascii="Arial Hebrew" w:hAnsi="Arial Hebrew" w:cs="Arial Hebrew" w:hint="cs"/>
          <w:color w:val="000000" w:themeColor="text1"/>
          <w:sz w:val="20"/>
          <w:szCs w:val="20"/>
        </w:rPr>
        <w:t xml:space="preserve">survey and administrative </w:t>
      </w:r>
      <w:r w:rsidR="00B647A2" w:rsidRPr="00147D0A">
        <w:rPr>
          <w:rFonts w:ascii="Arial Hebrew" w:hAnsi="Arial Hebrew" w:cs="Arial Hebrew" w:hint="cs"/>
          <w:color w:val="000000" w:themeColor="text1"/>
          <w:sz w:val="20"/>
          <w:szCs w:val="20"/>
        </w:rPr>
        <w:t>data relating to</w:t>
      </w:r>
      <w:r w:rsidR="00015919" w:rsidRPr="00147D0A">
        <w:rPr>
          <w:rFonts w:ascii="Arial Hebrew" w:hAnsi="Arial Hebrew" w:cs="Arial Hebrew" w:hint="cs"/>
          <w:color w:val="000000" w:themeColor="text1"/>
          <w:sz w:val="20"/>
          <w:szCs w:val="20"/>
        </w:rPr>
        <w:t xml:space="preserve"> the provision of particular </w:t>
      </w:r>
      <w:r w:rsidR="00B647A2" w:rsidRPr="00147D0A">
        <w:rPr>
          <w:rFonts w:ascii="Arial Hebrew" w:hAnsi="Arial Hebrew" w:cs="Arial Hebrew" w:hint="cs"/>
          <w:color w:val="000000" w:themeColor="text1"/>
          <w:sz w:val="20"/>
          <w:szCs w:val="20"/>
        </w:rPr>
        <w:t>service</w:t>
      </w:r>
      <w:r w:rsidR="00015919" w:rsidRPr="00147D0A">
        <w:rPr>
          <w:rFonts w:ascii="Arial Hebrew" w:hAnsi="Arial Hebrew" w:cs="Arial Hebrew" w:hint="cs"/>
          <w:color w:val="000000" w:themeColor="text1"/>
          <w:sz w:val="20"/>
          <w:szCs w:val="20"/>
        </w:rPr>
        <w:t>s</w:t>
      </w:r>
      <w:r w:rsidR="00B647A2" w:rsidRPr="00147D0A">
        <w:rPr>
          <w:rFonts w:ascii="Arial Hebrew" w:hAnsi="Arial Hebrew" w:cs="Arial Hebrew" w:hint="cs"/>
          <w:color w:val="000000" w:themeColor="text1"/>
          <w:sz w:val="20"/>
          <w:szCs w:val="20"/>
        </w:rPr>
        <w:t xml:space="preserve"> </w:t>
      </w:r>
      <w:r w:rsidR="00795BE5" w:rsidRPr="00147D0A">
        <w:rPr>
          <w:rFonts w:ascii="Arial Hebrew" w:hAnsi="Arial Hebrew" w:cs="Arial Hebrew" w:hint="cs"/>
          <w:color w:val="000000" w:themeColor="text1"/>
          <w:sz w:val="20"/>
          <w:szCs w:val="20"/>
        </w:rPr>
        <w:t xml:space="preserve">– </w:t>
      </w:r>
      <w:r w:rsidR="00015919" w:rsidRPr="00147D0A">
        <w:rPr>
          <w:rFonts w:ascii="Arial Hebrew" w:hAnsi="Arial Hebrew" w:cs="Arial Hebrew" w:hint="cs"/>
          <w:color w:val="000000" w:themeColor="text1"/>
          <w:sz w:val="20"/>
          <w:szCs w:val="20"/>
        </w:rPr>
        <w:t>mainly</w:t>
      </w:r>
      <w:r w:rsidR="00795BE5" w:rsidRPr="00147D0A">
        <w:rPr>
          <w:rFonts w:ascii="Arial Hebrew" w:hAnsi="Arial Hebrew" w:cs="Arial Hebrew" w:hint="cs"/>
          <w:color w:val="000000" w:themeColor="text1"/>
          <w:sz w:val="20"/>
          <w:szCs w:val="20"/>
        </w:rPr>
        <w:t xml:space="preserve"> </w:t>
      </w:r>
      <w:r w:rsidR="00015919" w:rsidRPr="00147D0A">
        <w:rPr>
          <w:rFonts w:ascii="Arial Hebrew" w:hAnsi="Arial Hebrew" w:cs="Arial Hebrew" w:hint="cs"/>
          <w:color w:val="000000" w:themeColor="text1"/>
          <w:sz w:val="20"/>
          <w:szCs w:val="20"/>
        </w:rPr>
        <w:t>health</w:t>
      </w:r>
      <w:r w:rsidR="00795BE5" w:rsidRPr="00147D0A">
        <w:rPr>
          <w:rFonts w:ascii="Arial Hebrew" w:hAnsi="Arial Hebrew" w:cs="Arial Hebrew" w:hint="cs"/>
          <w:color w:val="000000" w:themeColor="text1"/>
          <w:sz w:val="20"/>
          <w:szCs w:val="20"/>
        </w:rPr>
        <w:t>care</w:t>
      </w:r>
      <w:r w:rsidR="00015919" w:rsidRPr="00147D0A">
        <w:rPr>
          <w:rFonts w:ascii="Arial Hebrew" w:hAnsi="Arial Hebrew" w:cs="Arial Hebrew" w:hint="cs"/>
          <w:color w:val="000000" w:themeColor="text1"/>
          <w:sz w:val="20"/>
          <w:szCs w:val="20"/>
        </w:rPr>
        <w:t xml:space="preserve"> and education</w:t>
      </w:r>
      <w:r w:rsidR="00795BE5"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with some </w:t>
      </w:r>
      <w:r w:rsidR="00953A29" w:rsidRPr="00147D0A">
        <w:rPr>
          <w:rFonts w:ascii="Arial Hebrew" w:hAnsi="Arial Hebrew" w:cs="Arial Hebrew" w:hint="cs"/>
          <w:color w:val="000000" w:themeColor="text1"/>
          <w:sz w:val="20"/>
          <w:szCs w:val="20"/>
        </w:rPr>
        <w:t>producing</w:t>
      </w:r>
      <w:r w:rsidR="00AD348E" w:rsidRPr="00147D0A">
        <w:rPr>
          <w:rFonts w:ascii="Arial Hebrew" w:hAnsi="Arial Hebrew" w:cs="Arial Hebrew" w:hint="cs"/>
          <w:color w:val="000000" w:themeColor="text1"/>
          <w:sz w:val="20"/>
          <w:szCs w:val="20"/>
        </w:rPr>
        <w:t xml:space="preserve"> composite </w:t>
      </w:r>
      <w:r w:rsidR="00291C10" w:rsidRPr="00147D0A">
        <w:rPr>
          <w:rFonts w:ascii="Arial Hebrew" w:hAnsi="Arial Hebrew" w:cs="Arial Hebrew" w:hint="cs"/>
          <w:color w:val="000000" w:themeColor="text1"/>
          <w:sz w:val="20"/>
          <w:szCs w:val="20"/>
        </w:rPr>
        <w:t xml:space="preserve">outcome-oriented </w:t>
      </w:r>
      <w:r w:rsidR="00AD348E" w:rsidRPr="00147D0A">
        <w:rPr>
          <w:rFonts w:ascii="Arial Hebrew" w:hAnsi="Arial Hebrew" w:cs="Arial Hebrew" w:hint="cs"/>
          <w:color w:val="000000" w:themeColor="text1"/>
          <w:sz w:val="20"/>
          <w:szCs w:val="20"/>
        </w:rPr>
        <w:t xml:space="preserve">indices </w:t>
      </w:r>
      <w:r w:rsidR="00FC7987" w:rsidRPr="00147D0A">
        <w:rPr>
          <w:rFonts w:ascii="Arial Hebrew" w:hAnsi="Arial Hebrew" w:cs="Arial Hebrew" w:hint="cs"/>
          <w:color w:val="000000" w:themeColor="text1"/>
          <w:sz w:val="20"/>
          <w:szCs w:val="20"/>
        </w:rPr>
        <w:t xml:space="preserve">useful </w:t>
      </w:r>
      <w:r w:rsidR="00AD348E" w:rsidRPr="00147D0A">
        <w:rPr>
          <w:rFonts w:ascii="Arial Hebrew" w:hAnsi="Arial Hebrew" w:cs="Arial Hebrew" w:hint="cs"/>
          <w:color w:val="000000" w:themeColor="text1"/>
          <w:sz w:val="20"/>
          <w:szCs w:val="20"/>
        </w:rPr>
        <w:t>for cross-country comparison</w:t>
      </w:r>
      <w:r w:rsidR="00FC7987" w:rsidRPr="00147D0A">
        <w:rPr>
          <w:rFonts w:ascii="Arial Hebrew" w:hAnsi="Arial Hebrew" w:cs="Arial Hebrew" w:hint="cs"/>
          <w:color w:val="000000" w:themeColor="text1"/>
          <w:sz w:val="20"/>
          <w:szCs w:val="20"/>
        </w:rPr>
        <w:t>s</w:t>
      </w:r>
      <w:r w:rsidR="00AD348E"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but</w:t>
      </w:r>
      <w:r w:rsidR="00015919" w:rsidRPr="00147D0A">
        <w:rPr>
          <w:rFonts w:ascii="Arial Hebrew" w:hAnsi="Arial Hebrew" w:cs="Arial Hebrew" w:hint="cs"/>
          <w:color w:val="000000" w:themeColor="text1"/>
          <w:sz w:val="20"/>
          <w:szCs w:val="20"/>
        </w:rPr>
        <w:t xml:space="preserve"> none</w:t>
      </w:r>
      <w:r w:rsidR="00A06ED9" w:rsidRPr="00147D0A">
        <w:rPr>
          <w:rFonts w:ascii="Arial Hebrew" w:hAnsi="Arial Hebrew" w:cs="Arial Hebrew" w:hint="cs"/>
          <w:color w:val="000000" w:themeColor="text1"/>
          <w:sz w:val="20"/>
          <w:szCs w:val="20"/>
        </w:rPr>
        <w:t xml:space="preserve"> </w:t>
      </w:r>
      <w:r w:rsidR="00015919" w:rsidRPr="00147D0A">
        <w:rPr>
          <w:rFonts w:ascii="Arial Hebrew" w:hAnsi="Arial Hebrew" w:cs="Arial Hebrew" w:hint="cs"/>
          <w:color w:val="000000" w:themeColor="text1"/>
          <w:sz w:val="20"/>
          <w:szCs w:val="20"/>
        </w:rPr>
        <w:t>are comprehensive</w:t>
      </w:r>
      <w:r w:rsidR="00795BE5" w:rsidRPr="00147D0A">
        <w:rPr>
          <w:rFonts w:ascii="Arial Hebrew" w:hAnsi="Arial Hebrew" w:cs="Arial Hebrew" w:hint="cs"/>
          <w:color w:val="000000" w:themeColor="text1"/>
          <w:sz w:val="20"/>
          <w:szCs w:val="20"/>
        </w:rPr>
        <w:t xml:space="preserve"> or</w:t>
      </w:r>
      <w:r w:rsidR="00015919" w:rsidRPr="00147D0A">
        <w:rPr>
          <w:rFonts w:ascii="Arial Hebrew" w:hAnsi="Arial Hebrew" w:cs="Arial Hebrew" w:hint="cs"/>
          <w:color w:val="000000" w:themeColor="text1"/>
          <w:sz w:val="20"/>
          <w:szCs w:val="20"/>
        </w:rPr>
        <w:t xml:space="preserve"> </w:t>
      </w:r>
      <w:r w:rsidR="00A06ED9" w:rsidRPr="00147D0A">
        <w:rPr>
          <w:rFonts w:ascii="Arial Hebrew" w:hAnsi="Arial Hebrew" w:cs="Arial Hebrew" w:hint="cs"/>
          <w:color w:val="000000" w:themeColor="text1"/>
          <w:sz w:val="20"/>
          <w:szCs w:val="20"/>
        </w:rPr>
        <w:t xml:space="preserve">released at a high </w:t>
      </w:r>
      <w:r w:rsidR="00795BE5" w:rsidRPr="00147D0A">
        <w:rPr>
          <w:rFonts w:ascii="Arial Hebrew" w:hAnsi="Arial Hebrew" w:cs="Arial Hebrew" w:hint="cs"/>
          <w:color w:val="000000" w:themeColor="text1"/>
          <w:sz w:val="20"/>
          <w:szCs w:val="20"/>
        </w:rPr>
        <w:t>(</w:t>
      </w:r>
      <w:r w:rsidR="00A06ED9" w:rsidRPr="00147D0A">
        <w:rPr>
          <w:rFonts w:ascii="Arial Hebrew" w:hAnsi="Arial Hebrew" w:cs="Arial Hebrew" w:hint="cs"/>
          <w:color w:val="000000" w:themeColor="text1"/>
          <w:sz w:val="20"/>
          <w:szCs w:val="20"/>
        </w:rPr>
        <w:t>or even medium</w:t>
      </w:r>
      <w:r w:rsidR="00795BE5" w:rsidRPr="00147D0A">
        <w:rPr>
          <w:rFonts w:ascii="Arial Hebrew" w:hAnsi="Arial Hebrew" w:cs="Arial Hebrew" w:hint="cs"/>
          <w:color w:val="000000" w:themeColor="text1"/>
          <w:sz w:val="20"/>
          <w:szCs w:val="20"/>
        </w:rPr>
        <w:t>)</w:t>
      </w:r>
      <w:r w:rsidR="00A06ED9" w:rsidRPr="00147D0A">
        <w:rPr>
          <w:rFonts w:ascii="Arial Hebrew" w:hAnsi="Arial Hebrew" w:cs="Arial Hebrew" w:hint="cs"/>
          <w:color w:val="000000" w:themeColor="text1"/>
          <w:sz w:val="20"/>
          <w:szCs w:val="20"/>
        </w:rPr>
        <w:t xml:space="preserve"> frequency.</w:t>
      </w:r>
      <w:r w:rsidR="009010BF"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In Europe, the University of Gothenburg’s</w:t>
      </w:r>
      <w:r w:rsidR="0086616D"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b/>
          <w:bCs/>
          <w:color w:val="000000" w:themeColor="text1"/>
          <w:sz w:val="20"/>
          <w:szCs w:val="20"/>
        </w:rPr>
        <w:t xml:space="preserve">European Quality of Government Index (EQI) </w:t>
      </w:r>
      <w:r w:rsidR="0086616D" w:rsidRPr="00147D0A">
        <w:rPr>
          <w:rFonts w:ascii="Arial Hebrew" w:hAnsi="Arial Hebrew" w:cs="Arial Hebrew" w:hint="cs"/>
          <w:color w:val="000000" w:themeColor="text1"/>
          <w:sz w:val="20"/>
          <w:szCs w:val="20"/>
        </w:rPr>
        <w:t xml:space="preserve">is </w:t>
      </w:r>
      <w:r w:rsidR="00005E90" w:rsidRPr="00147D0A">
        <w:rPr>
          <w:rFonts w:ascii="Arial Hebrew" w:hAnsi="Arial Hebrew" w:cs="Arial Hebrew" w:hint="cs"/>
          <w:color w:val="000000" w:themeColor="text1"/>
          <w:sz w:val="20"/>
          <w:szCs w:val="20"/>
        </w:rPr>
        <w:t xml:space="preserve">a </w:t>
      </w:r>
      <w:r w:rsidR="0086616D" w:rsidRPr="00147D0A">
        <w:rPr>
          <w:rFonts w:ascii="Arial Hebrew" w:hAnsi="Arial Hebrew" w:cs="Arial Hebrew" w:hint="cs"/>
          <w:color w:val="000000" w:themeColor="text1"/>
          <w:sz w:val="20"/>
          <w:szCs w:val="20"/>
        </w:rPr>
        <w:t>unique</w:t>
      </w:r>
      <w:r w:rsidR="00005E90" w:rsidRPr="00147D0A">
        <w:rPr>
          <w:rFonts w:ascii="Arial Hebrew" w:hAnsi="Arial Hebrew" w:cs="Arial Hebrew" w:hint="cs"/>
          <w:color w:val="000000" w:themeColor="text1"/>
          <w:sz w:val="20"/>
          <w:szCs w:val="20"/>
        </w:rPr>
        <w:t xml:space="preserve">ly granular international release, </w:t>
      </w:r>
      <w:r w:rsidR="009010BF" w:rsidRPr="00147D0A">
        <w:rPr>
          <w:rFonts w:ascii="Arial Hebrew" w:hAnsi="Arial Hebrew" w:cs="Arial Hebrew" w:hint="cs"/>
          <w:color w:val="000000" w:themeColor="text1"/>
          <w:sz w:val="20"/>
          <w:szCs w:val="20"/>
        </w:rPr>
        <w:t xml:space="preserve">polling around 130,000 </w:t>
      </w:r>
      <w:r w:rsidR="00972E3B" w:rsidRPr="00147D0A">
        <w:rPr>
          <w:rFonts w:ascii="Arial Hebrew" w:hAnsi="Arial Hebrew" w:cs="Arial Hebrew" w:hint="cs"/>
          <w:color w:val="000000" w:themeColor="text1"/>
          <w:sz w:val="20"/>
          <w:szCs w:val="20"/>
        </w:rPr>
        <w:t xml:space="preserve">European Union </w:t>
      </w:r>
      <w:r w:rsidR="009010BF" w:rsidRPr="00147D0A">
        <w:rPr>
          <w:rFonts w:ascii="Arial Hebrew" w:hAnsi="Arial Hebrew" w:cs="Arial Hebrew" w:hint="cs"/>
          <w:color w:val="000000" w:themeColor="text1"/>
          <w:sz w:val="20"/>
          <w:szCs w:val="20"/>
        </w:rPr>
        <w:t>citizens</w:t>
      </w:r>
      <w:r w:rsidR="008D3358"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o</w:t>
      </w:r>
      <w:r w:rsidR="009010BF" w:rsidRPr="00147D0A">
        <w:rPr>
          <w:rFonts w:ascii="Arial Hebrew" w:hAnsi="Arial Hebrew" w:cs="Arial Hebrew" w:hint="cs"/>
          <w:color w:val="000000" w:themeColor="text1"/>
          <w:sz w:val="20"/>
          <w:szCs w:val="20"/>
        </w:rPr>
        <w:t>n</w:t>
      </w:r>
      <w:r w:rsidR="00184B6A" w:rsidRPr="00147D0A">
        <w:rPr>
          <w:rFonts w:ascii="Arial Hebrew" w:hAnsi="Arial Hebrew" w:cs="Arial Hebrew" w:hint="cs"/>
          <w:color w:val="000000" w:themeColor="text1"/>
          <w:sz w:val="20"/>
          <w:szCs w:val="20"/>
        </w:rPr>
        <w:t xml:space="preserve"> </w:t>
      </w:r>
      <w:r w:rsidR="00AD348E" w:rsidRPr="00147D0A">
        <w:rPr>
          <w:rFonts w:ascii="Arial Hebrew" w:hAnsi="Arial Hebrew" w:cs="Arial Hebrew" w:hint="cs"/>
          <w:color w:val="000000" w:themeColor="text1"/>
          <w:sz w:val="20"/>
          <w:szCs w:val="20"/>
        </w:rPr>
        <w:t xml:space="preserve">service and governance quality </w:t>
      </w:r>
      <w:r w:rsidR="00005E90" w:rsidRPr="00147D0A">
        <w:rPr>
          <w:rFonts w:ascii="Arial Hebrew" w:hAnsi="Arial Hebrew" w:cs="Arial Hebrew" w:hint="cs"/>
          <w:color w:val="000000" w:themeColor="text1"/>
          <w:sz w:val="20"/>
          <w:szCs w:val="20"/>
        </w:rPr>
        <w:t>across</w:t>
      </w:r>
      <w:r w:rsidR="0086616D" w:rsidRPr="00147D0A">
        <w:rPr>
          <w:rFonts w:ascii="Arial Hebrew" w:hAnsi="Arial Hebrew" w:cs="Arial Hebrew" w:hint="cs"/>
          <w:color w:val="000000" w:themeColor="text1"/>
          <w:sz w:val="20"/>
          <w:szCs w:val="20"/>
        </w:rPr>
        <w:t xml:space="preserve"> </w:t>
      </w:r>
      <w:r w:rsidR="008D3358" w:rsidRPr="00147D0A">
        <w:rPr>
          <w:rFonts w:ascii="Arial Hebrew" w:hAnsi="Arial Hebrew" w:cs="Arial Hebrew" w:hint="cs"/>
          <w:color w:val="000000" w:themeColor="text1"/>
          <w:sz w:val="20"/>
          <w:szCs w:val="20"/>
        </w:rPr>
        <w:t>more than 200 subnational regions</w:t>
      </w:r>
      <w:r w:rsidR="00005E90" w:rsidRPr="00147D0A">
        <w:rPr>
          <w:rFonts w:ascii="Arial Hebrew" w:hAnsi="Arial Hebrew" w:cs="Arial Hebrew" w:hint="cs"/>
          <w:color w:val="000000" w:themeColor="text1"/>
          <w:sz w:val="20"/>
          <w:szCs w:val="20"/>
        </w:rPr>
        <w:t xml:space="preserve"> </w:t>
      </w:r>
      <w:r w:rsidR="008D3358" w:rsidRPr="00147D0A">
        <w:rPr>
          <w:rFonts w:ascii="Arial Hebrew" w:hAnsi="Arial Hebrew" w:cs="Arial Hebrew" w:hint="cs"/>
          <w:color w:val="000000" w:themeColor="text1"/>
          <w:sz w:val="20"/>
          <w:szCs w:val="20"/>
        </w:rPr>
        <w:t>spanning</w:t>
      </w:r>
      <w:r w:rsidR="0086616D" w:rsidRPr="00147D0A">
        <w:rPr>
          <w:rFonts w:ascii="Arial Hebrew" w:hAnsi="Arial Hebrew" w:cs="Arial Hebrew" w:hint="cs"/>
          <w:color w:val="000000" w:themeColor="text1"/>
          <w:sz w:val="20"/>
          <w:szCs w:val="20"/>
        </w:rPr>
        <w:t xml:space="preserve"> multiple countries</w:t>
      </w:r>
      <w:r w:rsidR="00317B98" w:rsidRPr="00147D0A">
        <w:rPr>
          <w:rFonts w:ascii="Arial Hebrew" w:hAnsi="Arial Hebrew" w:cs="Arial Hebrew" w:hint="cs"/>
          <w:color w:val="000000" w:themeColor="text1"/>
          <w:sz w:val="20"/>
          <w:szCs w:val="20"/>
        </w:rPr>
        <w:t xml:space="preserve">. </w:t>
      </w:r>
      <w:r w:rsidR="009010BF" w:rsidRPr="00147D0A">
        <w:rPr>
          <w:rFonts w:ascii="Arial Hebrew" w:hAnsi="Arial Hebrew" w:cs="Arial Hebrew" w:hint="cs"/>
          <w:color w:val="000000" w:themeColor="text1"/>
          <w:sz w:val="20"/>
          <w:szCs w:val="20"/>
        </w:rPr>
        <w:t xml:space="preserve">However, the EQI relies almost entirely on respondents’ subjective perceptions, without </w:t>
      </w:r>
      <w:r w:rsidR="00972E3B" w:rsidRPr="00147D0A">
        <w:rPr>
          <w:rFonts w:ascii="Arial Hebrew" w:hAnsi="Arial Hebrew" w:cs="Arial Hebrew" w:hint="cs"/>
          <w:color w:val="000000" w:themeColor="text1"/>
          <w:sz w:val="20"/>
          <w:szCs w:val="20"/>
        </w:rPr>
        <w:t>incorporating</w:t>
      </w:r>
      <w:r w:rsidR="009010BF" w:rsidRPr="00147D0A">
        <w:rPr>
          <w:rFonts w:ascii="Arial Hebrew" w:hAnsi="Arial Hebrew" w:cs="Arial Hebrew" w:hint="cs"/>
          <w:color w:val="000000" w:themeColor="text1"/>
          <w:sz w:val="20"/>
          <w:szCs w:val="20"/>
        </w:rPr>
        <w:t xml:space="preserve"> data on service processes or outcomes</w:t>
      </w:r>
      <w:r w:rsidR="00972E3B" w:rsidRPr="00147D0A">
        <w:rPr>
          <w:rFonts w:ascii="Arial Hebrew" w:hAnsi="Arial Hebrew" w:cs="Arial Hebrew" w:hint="cs"/>
          <w:color w:val="000000" w:themeColor="text1"/>
          <w:sz w:val="20"/>
          <w:szCs w:val="20"/>
        </w:rPr>
        <w:t>, and is</w:t>
      </w:r>
      <w:r w:rsidR="009010BF" w:rsidRPr="00147D0A">
        <w:rPr>
          <w:rFonts w:ascii="Arial Hebrew" w:hAnsi="Arial Hebrew" w:cs="Arial Hebrew" w:hint="cs"/>
          <w:color w:val="000000" w:themeColor="text1"/>
          <w:sz w:val="20"/>
          <w:szCs w:val="20"/>
        </w:rPr>
        <w:t xml:space="preserve"> conducted infrequently</w:t>
      </w:r>
      <w:r w:rsidR="00972E3B" w:rsidRPr="00147D0A">
        <w:rPr>
          <w:rFonts w:ascii="Arial Hebrew" w:hAnsi="Arial Hebrew" w:cs="Arial Hebrew" w:hint="cs"/>
          <w:color w:val="000000" w:themeColor="text1"/>
          <w:sz w:val="20"/>
          <w:szCs w:val="20"/>
        </w:rPr>
        <w:t xml:space="preserve"> –</w:t>
      </w:r>
      <w:r w:rsidR="009010BF" w:rsidRPr="00147D0A">
        <w:rPr>
          <w:rFonts w:ascii="Arial Hebrew" w:hAnsi="Arial Hebrew" w:cs="Arial Hebrew" w:hint="cs"/>
          <w:color w:val="000000" w:themeColor="text1"/>
          <w:sz w:val="20"/>
          <w:szCs w:val="20"/>
        </w:rPr>
        <w:t xml:space="preserve"> with a two-to-three-year gap between waves</w:t>
      </w:r>
      <w:r w:rsidR="00972E3B" w:rsidRPr="00147D0A">
        <w:rPr>
          <w:rFonts w:ascii="Arial Hebrew" w:hAnsi="Arial Hebrew" w:cs="Arial Hebrew" w:hint="cs"/>
          <w:color w:val="000000" w:themeColor="text1"/>
          <w:sz w:val="20"/>
          <w:szCs w:val="20"/>
        </w:rPr>
        <w:t xml:space="preserve"> – limiting its relevance for credit assessments</w:t>
      </w:r>
      <w:r w:rsidR="009010BF" w:rsidRPr="00147D0A">
        <w:rPr>
          <w:rFonts w:ascii="Arial Hebrew" w:hAnsi="Arial Hebrew" w:cs="Arial Hebrew" w:hint="cs"/>
          <w:color w:val="000000" w:themeColor="text1"/>
          <w:sz w:val="20"/>
          <w:szCs w:val="20"/>
        </w:rPr>
        <w:t>.</w:t>
      </w:r>
    </w:p>
    <w:p w14:paraId="722B3845" w14:textId="011AD11B" w:rsidR="001D11EB" w:rsidRPr="00147D0A" w:rsidRDefault="00317B98" w:rsidP="00D9086B">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Even at the level of individual nations, i</w:t>
      </w:r>
      <w:r w:rsidR="00972E3B" w:rsidRPr="00147D0A">
        <w:rPr>
          <w:rFonts w:ascii="Arial Hebrew" w:hAnsi="Arial Hebrew" w:cs="Arial Hebrew" w:hint="cs"/>
          <w:color w:val="000000" w:themeColor="text1"/>
          <w:sz w:val="20"/>
          <w:szCs w:val="20"/>
        </w:rPr>
        <w:t xml:space="preserve">nitiatives redolent of </w:t>
      </w:r>
      <w:r w:rsidR="001E3B81" w:rsidRPr="00147D0A">
        <w:rPr>
          <w:rFonts w:ascii="Arial Hebrew" w:hAnsi="Arial Hebrew" w:cs="Arial Hebrew" w:hint="cs"/>
          <w:color w:val="000000" w:themeColor="text1"/>
          <w:sz w:val="20"/>
          <w:szCs w:val="20"/>
        </w:rPr>
        <w:t xml:space="preserve">a service quality index </w:t>
      </w:r>
      <w:r w:rsidR="00972E3B" w:rsidRPr="00147D0A">
        <w:rPr>
          <w:rFonts w:ascii="Arial Hebrew" w:hAnsi="Arial Hebrew" w:cs="Arial Hebrew" w:hint="cs"/>
          <w:color w:val="000000" w:themeColor="text1"/>
          <w:sz w:val="20"/>
          <w:szCs w:val="20"/>
        </w:rPr>
        <w:t>are scarce</w:t>
      </w:r>
      <w:r w:rsidRPr="00147D0A">
        <w:rPr>
          <w:rFonts w:ascii="Arial Hebrew" w:hAnsi="Arial Hebrew" w:cs="Arial Hebrew" w:hint="cs"/>
          <w:color w:val="000000" w:themeColor="text1"/>
          <w:sz w:val="20"/>
          <w:szCs w:val="20"/>
        </w:rPr>
        <w:t>. However</w:t>
      </w:r>
      <w:r w:rsidR="001D19D6"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A94BC4" w:rsidRPr="00147D0A">
        <w:rPr>
          <w:rFonts w:ascii="Arial Hebrew" w:hAnsi="Arial Hebrew" w:cs="Arial Hebrew" w:hint="cs"/>
          <w:color w:val="000000" w:themeColor="text1"/>
          <w:sz w:val="20"/>
          <w:szCs w:val="20"/>
        </w:rPr>
        <w:t>a few</w:t>
      </w:r>
      <w:r w:rsidR="00604841" w:rsidRPr="00147D0A">
        <w:rPr>
          <w:rFonts w:ascii="Arial Hebrew" w:hAnsi="Arial Hebrew" w:cs="Arial Hebrew" w:hint="cs"/>
          <w:color w:val="000000" w:themeColor="text1"/>
          <w:sz w:val="20"/>
          <w:szCs w:val="20"/>
        </w:rPr>
        <w:t xml:space="preserve"> national statistical agencies have </w:t>
      </w:r>
      <w:r w:rsidR="00A94BC4" w:rsidRPr="00147D0A">
        <w:rPr>
          <w:rFonts w:ascii="Arial Hebrew" w:hAnsi="Arial Hebrew" w:cs="Arial Hebrew" w:hint="cs"/>
          <w:color w:val="000000" w:themeColor="text1"/>
          <w:sz w:val="20"/>
          <w:szCs w:val="20"/>
        </w:rPr>
        <w:t xml:space="preserve">in </w:t>
      </w:r>
      <w:r w:rsidR="00604841" w:rsidRPr="00147D0A">
        <w:rPr>
          <w:rFonts w:ascii="Arial Hebrew" w:hAnsi="Arial Hebrew" w:cs="Arial Hebrew" w:hint="cs"/>
          <w:color w:val="000000" w:themeColor="text1"/>
          <w:sz w:val="20"/>
          <w:szCs w:val="20"/>
        </w:rPr>
        <w:t>recent</w:t>
      </w:r>
      <w:r w:rsidR="00A94BC4" w:rsidRPr="00147D0A">
        <w:rPr>
          <w:rFonts w:ascii="Arial Hebrew" w:hAnsi="Arial Hebrew" w:cs="Arial Hebrew" w:hint="cs"/>
          <w:color w:val="000000" w:themeColor="text1"/>
          <w:sz w:val="20"/>
          <w:szCs w:val="20"/>
        </w:rPr>
        <w:t xml:space="preserve"> years</w:t>
      </w:r>
      <w:r w:rsidR="00604841" w:rsidRPr="00147D0A">
        <w:rPr>
          <w:rFonts w:ascii="Arial Hebrew" w:hAnsi="Arial Hebrew" w:cs="Arial Hebrew" w:hint="cs"/>
          <w:color w:val="000000" w:themeColor="text1"/>
          <w:sz w:val="20"/>
          <w:szCs w:val="20"/>
        </w:rPr>
        <w:t xml:space="preserve"> begun publishing official </w:t>
      </w:r>
      <w:r w:rsidRPr="00147D0A">
        <w:rPr>
          <w:rFonts w:ascii="Arial Hebrew" w:hAnsi="Arial Hebrew" w:cs="Arial Hebrew" w:hint="cs"/>
          <w:b/>
          <w:bCs/>
          <w:i/>
          <w:iCs/>
          <w:color w:val="000000" w:themeColor="text1"/>
          <w:sz w:val="20"/>
          <w:szCs w:val="20"/>
        </w:rPr>
        <w:t>public sector productivity</w:t>
      </w:r>
      <w:r w:rsidR="00A94BC4" w:rsidRPr="00147D0A">
        <w:rPr>
          <w:rFonts w:ascii="Arial Hebrew" w:hAnsi="Arial Hebrew" w:cs="Arial Hebrew" w:hint="cs"/>
          <w:color w:val="000000" w:themeColor="text1"/>
          <w:sz w:val="20"/>
          <w:szCs w:val="20"/>
        </w:rPr>
        <w:t xml:space="preserve"> </w:t>
      </w:r>
      <w:r w:rsidR="00604841" w:rsidRPr="00147D0A">
        <w:rPr>
          <w:rFonts w:ascii="Arial Hebrew" w:hAnsi="Arial Hebrew" w:cs="Arial Hebrew" w:hint="cs"/>
          <w:color w:val="000000" w:themeColor="text1"/>
          <w:sz w:val="20"/>
          <w:szCs w:val="20"/>
        </w:rPr>
        <w:t xml:space="preserve">indices as a complement to their official national accounts </w:t>
      </w:r>
      <w:r w:rsidR="00A94BC4" w:rsidRPr="00147D0A">
        <w:rPr>
          <w:rFonts w:ascii="Arial Hebrew" w:hAnsi="Arial Hebrew" w:cs="Arial Hebrew" w:hint="cs"/>
          <w:color w:val="000000" w:themeColor="text1"/>
          <w:sz w:val="20"/>
          <w:szCs w:val="20"/>
        </w:rPr>
        <w:t>statistics</w:t>
      </w:r>
      <w:r w:rsidR="00604841" w:rsidRPr="00147D0A">
        <w:rPr>
          <w:rFonts w:ascii="Arial Hebrew" w:hAnsi="Arial Hebrew" w:cs="Arial Hebrew" w:hint="cs"/>
          <w:color w:val="000000" w:themeColor="text1"/>
          <w:sz w:val="20"/>
          <w:szCs w:val="20"/>
        </w:rPr>
        <w:t xml:space="preserve"> (e.g. GDP). Producing meaningful estimates of </w:t>
      </w:r>
      <w:r w:rsidR="00A94BC4" w:rsidRPr="00147D0A">
        <w:rPr>
          <w:rFonts w:ascii="Arial Hebrew" w:hAnsi="Arial Hebrew" w:cs="Arial Hebrew" w:hint="cs"/>
          <w:color w:val="000000" w:themeColor="text1"/>
          <w:sz w:val="20"/>
          <w:szCs w:val="20"/>
        </w:rPr>
        <w:t xml:space="preserve">the real value of </w:t>
      </w:r>
      <w:r w:rsidR="00604841" w:rsidRPr="00147D0A">
        <w:rPr>
          <w:rFonts w:ascii="Arial Hebrew" w:hAnsi="Arial Hebrew" w:cs="Arial Hebrew" w:hint="cs"/>
          <w:color w:val="000000" w:themeColor="text1"/>
          <w:sz w:val="20"/>
          <w:szCs w:val="20"/>
        </w:rPr>
        <w:t>public sector</w:t>
      </w:r>
      <w:r w:rsidR="00A94BC4" w:rsidRPr="00147D0A">
        <w:rPr>
          <w:rFonts w:ascii="Arial Hebrew" w:hAnsi="Arial Hebrew" w:cs="Arial Hebrew" w:hint="cs"/>
          <w:color w:val="000000" w:themeColor="text1"/>
          <w:sz w:val="20"/>
          <w:szCs w:val="20"/>
        </w:rPr>
        <w:t xml:space="preserve"> </w:t>
      </w:r>
      <w:r w:rsidR="00A94BC4" w:rsidRPr="00147D0A">
        <w:rPr>
          <w:rFonts w:ascii="Arial Hebrew" w:hAnsi="Arial Hebrew" w:cs="Arial Hebrew" w:hint="cs"/>
          <w:b/>
          <w:bCs/>
          <w:i/>
          <w:iCs/>
          <w:color w:val="000000" w:themeColor="text1"/>
          <w:sz w:val="20"/>
          <w:szCs w:val="20"/>
        </w:rPr>
        <w:t>output</w:t>
      </w:r>
      <w:r w:rsidR="00464FD8" w:rsidRPr="00147D0A">
        <w:rPr>
          <w:rFonts w:ascii="Arial Hebrew" w:hAnsi="Arial Hebrew" w:cs="Arial Hebrew" w:hint="cs"/>
          <w:b/>
          <w:bCs/>
          <w:i/>
          <w:iCs/>
          <w:color w:val="000000" w:themeColor="text1"/>
          <w:sz w:val="20"/>
          <w:szCs w:val="20"/>
        </w:rPr>
        <w:t xml:space="preserve"> volume</w:t>
      </w:r>
      <w:r w:rsidR="00A94BC4" w:rsidRPr="00147D0A">
        <w:rPr>
          <w:rFonts w:ascii="Arial Hebrew" w:hAnsi="Arial Hebrew" w:cs="Arial Hebrew" w:hint="cs"/>
          <w:color w:val="000000" w:themeColor="text1"/>
          <w:sz w:val="20"/>
          <w:szCs w:val="20"/>
        </w:rPr>
        <w:t xml:space="preserve"> (a requirement for measuring public sector</w:t>
      </w:r>
      <w:r w:rsidR="00604841" w:rsidRPr="00147D0A">
        <w:rPr>
          <w:rFonts w:ascii="Arial Hebrew" w:hAnsi="Arial Hebrew" w:cs="Arial Hebrew" w:hint="cs"/>
          <w:color w:val="000000" w:themeColor="text1"/>
          <w:sz w:val="20"/>
          <w:szCs w:val="20"/>
        </w:rPr>
        <w:t xml:space="preserve"> productivity</w:t>
      </w:r>
      <w:r w:rsidR="00A94BC4" w:rsidRPr="00147D0A">
        <w:rPr>
          <w:rFonts w:ascii="Arial Hebrew" w:hAnsi="Arial Hebrew" w:cs="Arial Hebrew" w:hint="cs"/>
          <w:color w:val="000000" w:themeColor="text1"/>
          <w:sz w:val="20"/>
          <w:szCs w:val="20"/>
        </w:rPr>
        <w:t>)</w:t>
      </w:r>
      <w:r w:rsidR="00604841" w:rsidRPr="00147D0A">
        <w:rPr>
          <w:rFonts w:ascii="Arial Hebrew" w:hAnsi="Arial Hebrew" w:cs="Arial Hebrew" w:hint="cs"/>
          <w:color w:val="000000" w:themeColor="text1"/>
          <w:sz w:val="20"/>
          <w:szCs w:val="20"/>
        </w:rPr>
        <w:t xml:space="preserve"> is </w:t>
      </w:r>
      <w:r w:rsidR="00A94BC4" w:rsidRPr="00147D0A">
        <w:rPr>
          <w:rFonts w:ascii="Arial Hebrew" w:hAnsi="Arial Hebrew" w:cs="Arial Hebrew" w:hint="cs"/>
          <w:color w:val="000000" w:themeColor="text1"/>
          <w:sz w:val="20"/>
          <w:szCs w:val="20"/>
        </w:rPr>
        <w:t>challenging</w:t>
      </w:r>
      <w:r w:rsidR="00604841" w:rsidRPr="00147D0A">
        <w:rPr>
          <w:rFonts w:ascii="Arial Hebrew" w:hAnsi="Arial Hebrew" w:cs="Arial Hebrew" w:hint="cs"/>
          <w:color w:val="000000" w:themeColor="text1"/>
          <w:sz w:val="20"/>
          <w:szCs w:val="20"/>
        </w:rPr>
        <w:t xml:space="preserve"> statistical undertaking</w:t>
      </w:r>
      <w:r w:rsidR="00A94BC4" w:rsidRPr="00147D0A">
        <w:rPr>
          <w:rFonts w:ascii="Arial Hebrew" w:hAnsi="Arial Hebrew" w:cs="Arial Hebrew" w:hint="cs"/>
          <w:color w:val="000000" w:themeColor="text1"/>
          <w:sz w:val="20"/>
          <w:szCs w:val="20"/>
        </w:rPr>
        <w:t xml:space="preserve"> </w:t>
      </w:r>
      <w:r w:rsidR="00291C10" w:rsidRPr="00147D0A">
        <w:rPr>
          <w:rFonts w:ascii="Arial Hebrew" w:hAnsi="Arial Hebrew" w:cs="Arial Hebrew" w:hint="cs"/>
          <w:color w:val="000000" w:themeColor="text1"/>
          <w:sz w:val="20"/>
          <w:szCs w:val="20"/>
        </w:rPr>
        <w:t xml:space="preserve">that </w:t>
      </w:r>
      <w:r w:rsidR="00604841" w:rsidRPr="00147D0A">
        <w:rPr>
          <w:rFonts w:ascii="Arial Hebrew" w:hAnsi="Arial Hebrew" w:cs="Arial Hebrew" w:hint="cs"/>
          <w:color w:val="000000" w:themeColor="text1"/>
          <w:sz w:val="20"/>
          <w:szCs w:val="20"/>
        </w:rPr>
        <w:t>requir</w:t>
      </w:r>
      <w:r w:rsidR="00291C10" w:rsidRPr="00147D0A">
        <w:rPr>
          <w:rFonts w:ascii="Arial Hebrew" w:hAnsi="Arial Hebrew" w:cs="Arial Hebrew" w:hint="cs"/>
          <w:color w:val="000000" w:themeColor="text1"/>
          <w:sz w:val="20"/>
          <w:szCs w:val="20"/>
        </w:rPr>
        <w:t>es</w:t>
      </w:r>
      <w:r w:rsidR="00604841" w:rsidRPr="00147D0A">
        <w:rPr>
          <w:rFonts w:ascii="Arial Hebrew" w:hAnsi="Arial Hebrew" w:cs="Arial Hebrew" w:hint="cs"/>
          <w:color w:val="000000" w:themeColor="text1"/>
          <w:sz w:val="20"/>
          <w:szCs w:val="20"/>
        </w:rPr>
        <w:t xml:space="preserve"> the systematic </w:t>
      </w:r>
      <w:r w:rsidR="00291C10" w:rsidRPr="00147D0A">
        <w:rPr>
          <w:rFonts w:ascii="Arial Hebrew" w:hAnsi="Arial Hebrew" w:cs="Arial Hebrew" w:hint="cs"/>
          <w:color w:val="000000" w:themeColor="text1"/>
          <w:sz w:val="20"/>
          <w:szCs w:val="20"/>
        </w:rPr>
        <w:t>analysis</w:t>
      </w:r>
      <w:r w:rsidR="00604841" w:rsidRPr="00147D0A">
        <w:rPr>
          <w:rFonts w:ascii="Arial Hebrew" w:hAnsi="Arial Hebrew" w:cs="Arial Hebrew" w:hint="cs"/>
          <w:color w:val="000000" w:themeColor="text1"/>
          <w:sz w:val="20"/>
          <w:szCs w:val="20"/>
        </w:rPr>
        <w:t xml:space="preserve"> of service</w:t>
      </w:r>
      <w:r w:rsidR="002B5B31" w:rsidRPr="00147D0A">
        <w:rPr>
          <w:rFonts w:ascii="Arial Hebrew" w:hAnsi="Arial Hebrew" w:cs="Arial Hebrew" w:hint="cs"/>
          <w:color w:val="000000" w:themeColor="text1"/>
          <w:sz w:val="20"/>
          <w:szCs w:val="20"/>
        </w:rPr>
        <w:t>-</w:t>
      </w:r>
      <w:r w:rsidR="00604841" w:rsidRPr="00147D0A">
        <w:rPr>
          <w:rFonts w:ascii="Arial Hebrew" w:hAnsi="Arial Hebrew" w:cs="Arial Hebrew" w:hint="cs"/>
          <w:color w:val="000000" w:themeColor="text1"/>
          <w:sz w:val="20"/>
          <w:szCs w:val="20"/>
        </w:rPr>
        <w:t xml:space="preserve">quality </w:t>
      </w:r>
      <w:r w:rsidR="00A94BC4" w:rsidRPr="00147D0A">
        <w:rPr>
          <w:rFonts w:ascii="Arial Hebrew" w:hAnsi="Arial Hebrew" w:cs="Arial Hebrew" w:hint="cs"/>
          <w:color w:val="000000" w:themeColor="text1"/>
          <w:sz w:val="20"/>
          <w:szCs w:val="20"/>
        </w:rPr>
        <w:t>indicators</w:t>
      </w:r>
      <w:r w:rsidR="00604841" w:rsidRPr="00147D0A">
        <w:rPr>
          <w:rFonts w:ascii="Arial Hebrew" w:hAnsi="Arial Hebrew" w:cs="Arial Hebrew" w:hint="cs"/>
          <w:color w:val="000000" w:themeColor="text1"/>
          <w:sz w:val="20"/>
          <w:szCs w:val="20"/>
        </w:rPr>
        <w:t>.</w:t>
      </w:r>
      <w:r w:rsidR="00604841" w:rsidRPr="00147D0A">
        <w:rPr>
          <w:rStyle w:val="FootnoteReference"/>
          <w:rFonts w:ascii="Arial Hebrew" w:hAnsi="Arial Hebrew" w:cs="Arial Hebrew" w:hint="cs"/>
          <w:color w:val="000000" w:themeColor="text1"/>
          <w:sz w:val="20"/>
          <w:szCs w:val="20"/>
        </w:rPr>
        <w:footnoteReference w:id="26"/>
      </w:r>
      <w:r w:rsidR="00604841" w:rsidRPr="00147D0A">
        <w:rPr>
          <w:rFonts w:ascii="Arial Hebrew" w:hAnsi="Arial Hebrew" w:cs="Arial Hebrew" w:hint="cs"/>
          <w:color w:val="000000" w:themeColor="text1"/>
          <w:sz w:val="20"/>
          <w:szCs w:val="20"/>
        </w:rPr>
        <w:t xml:space="preserve"> </w:t>
      </w:r>
      <w:r w:rsidR="00A94BC4" w:rsidRPr="00147D0A">
        <w:rPr>
          <w:rFonts w:ascii="Arial Hebrew" w:hAnsi="Arial Hebrew" w:cs="Arial Hebrew" w:hint="cs"/>
          <w:color w:val="000000" w:themeColor="text1"/>
          <w:sz w:val="20"/>
          <w:szCs w:val="20"/>
        </w:rPr>
        <w:t>These indicators – such as patient survival and educational attainment rates – are used to adjust the ‘value’ of quantitative service ‘production’</w:t>
      </w:r>
      <w:r w:rsidR="00953A29" w:rsidRPr="00147D0A">
        <w:rPr>
          <w:rFonts w:ascii="Arial Hebrew" w:hAnsi="Arial Hebrew" w:cs="Arial Hebrew" w:hint="cs"/>
          <w:color w:val="000000" w:themeColor="text1"/>
          <w:sz w:val="20"/>
          <w:szCs w:val="20"/>
        </w:rPr>
        <w:t xml:space="preserve"> indicators </w:t>
      </w:r>
      <w:r w:rsidR="00A94BC4" w:rsidRPr="00147D0A">
        <w:rPr>
          <w:rFonts w:ascii="Arial Hebrew" w:hAnsi="Arial Hebrew" w:cs="Arial Hebrew" w:hint="cs"/>
          <w:color w:val="000000" w:themeColor="text1"/>
          <w:sz w:val="20"/>
          <w:szCs w:val="20"/>
        </w:rPr>
        <w:t>– such as patient or student numbers.</w:t>
      </w:r>
      <w:r w:rsidR="00291C10" w:rsidRPr="00147D0A">
        <w:rPr>
          <w:rStyle w:val="FootnoteReference"/>
          <w:rFonts w:ascii="Arial Hebrew" w:hAnsi="Arial Hebrew" w:cs="Arial Hebrew" w:hint="cs"/>
          <w:color w:val="000000" w:themeColor="text1"/>
          <w:sz w:val="20"/>
          <w:szCs w:val="20"/>
        </w:rPr>
        <w:footnoteReference w:id="27"/>
      </w:r>
      <w:r w:rsidR="00A94BC4" w:rsidRPr="00147D0A">
        <w:rPr>
          <w:rFonts w:ascii="Arial Hebrew" w:hAnsi="Arial Hebrew" w:cs="Arial Hebrew" w:hint="cs"/>
          <w:color w:val="000000" w:themeColor="text1"/>
          <w:sz w:val="20"/>
          <w:szCs w:val="20"/>
        </w:rPr>
        <w:t xml:space="preserve"> </w:t>
      </w:r>
      <w:r w:rsidR="00D9086B" w:rsidRPr="00147D0A">
        <w:rPr>
          <w:rFonts w:ascii="Arial Hebrew" w:hAnsi="Arial Hebrew" w:cs="Arial Hebrew" w:hint="cs"/>
          <w:color w:val="000000" w:themeColor="text1"/>
          <w:sz w:val="20"/>
          <w:szCs w:val="20"/>
        </w:rPr>
        <w:t xml:space="preserve"> </w:t>
      </w:r>
      <w:r w:rsidR="0021376F" w:rsidRPr="00147D0A">
        <w:rPr>
          <w:rFonts w:ascii="Arial Hebrew" w:hAnsi="Arial Hebrew" w:cs="Arial Hebrew" w:hint="cs"/>
          <w:color w:val="000000" w:themeColor="text1"/>
          <w:sz w:val="20"/>
          <w:szCs w:val="20"/>
        </w:rPr>
        <w:t xml:space="preserve">Few countries have the statistical capacity to </w:t>
      </w:r>
      <w:r w:rsidR="00464FD8" w:rsidRPr="00147D0A">
        <w:rPr>
          <w:rFonts w:ascii="Arial Hebrew" w:hAnsi="Arial Hebrew" w:cs="Arial Hebrew" w:hint="cs"/>
          <w:color w:val="000000" w:themeColor="text1"/>
          <w:sz w:val="20"/>
          <w:szCs w:val="20"/>
        </w:rPr>
        <w:t xml:space="preserve">produce credible measures of public sector output volume with even </w:t>
      </w:r>
      <w:r w:rsidR="00D76ADD" w:rsidRPr="00147D0A">
        <w:rPr>
          <w:rFonts w:ascii="Arial Hebrew" w:hAnsi="Arial Hebrew" w:cs="Arial Hebrew" w:hint="cs"/>
          <w:color w:val="000000" w:themeColor="text1"/>
          <w:sz w:val="20"/>
          <w:szCs w:val="20"/>
        </w:rPr>
        <w:t xml:space="preserve">limited </w:t>
      </w:r>
      <w:r w:rsidR="00464FD8" w:rsidRPr="00147D0A">
        <w:rPr>
          <w:rFonts w:ascii="Arial Hebrew" w:hAnsi="Arial Hebrew" w:cs="Arial Hebrew" w:hint="cs"/>
          <w:color w:val="000000" w:themeColor="text1"/>
          <w:sz w:val="20"/>
          <w:szCs w:val="20"/>
        </w:rPr>
        <w:t xml:space="preserve">coverage, and only </w:t>
      </w:r>
      <w:r w:rsidR="0021376F" w:rsidRPr="00147D0A">
        <w:rPr>
          <w:rFonts w:ascii="Arial Hebrew" w:hAnsi="Arial Hebrew" w:cs="Arial Hebrew" w:hint="cs"/>
          <w:color w:val="000000" w:themeColor="text1"/>
          <w:sz w:val="20"/>
          <w:szCs w:val="20"/>
        </w:rPr>
        <w:t xml:space="preserve">a handful of </w:t>
      </w:r>
      <w:r w:rsidR="00464FD8" w:rsidRPr="00147D0A">
        <w:rPr>
          <w:rFonts w:ascii="Arial Hebrew" w:hAnsi="Arial Hebrew" w:cs="Arial Hebrew" w:hint="cs"/>
          <w:color w:val="000000" w:themeColor="text1"/>
          <w:sz w:val="20"/>
          <w:szCs w:val="20"/>
        </w:rPr>
        <w:t xml:space="preserve">countries currently publish </w:t>
      </w:r>
      <w:r w:rsidR="00D76ADD" w:rsidRPr="00147D0A">
        <w:rPr>
          <w:rFonts w:ascii="Arial Hebrew" w:hAnsi="Arial Hebrew" w:cs="Arial Hebrew" w:hint="cs"/>
          <w:color w:val="000000" w:themeColor="text1"/>
          <w:sz w:val="20"/>
          <w:szCs w:val="20"/>
        </w:rPr>
        <w:t xml:space="preserve">extensive </w:t>
      </w:r>
      <w:r w:rsidR="000B0E8A" w:rsidRPr="00147D0A">
        <w:rPr>
          <w:rFonts w:ascii="Arial Hebrew" w:hAnsi="Arial Hebrew" w:cs="Arial Hebrew" w:hint="cs"/>
          <w:color w:val="000000" w:themeColor="text1"/>
          <w:sz w:val="20"/>
          <w:szCs w:val="20"/>
        </w:rPr>
        <w:t>metrics</w:t>
      </w:r>
      <w:r w:rsidR="001D11EB" w:rsidRPr="00147D0A">
        <w:rPr>
          <w:rFonts w:ascii="Arial Hebrew" w:hAnsi="Arial Hebrew" w:cs="Arial Hebrew" w:hint="cs"/>
          <w:color w:val="000000" w:themeColor="text1"/>
          <w:sz w:val="20"/>
          <w:szCs w:val="20"/>
        </w:rPr>
        <w:t xml:space="preserve"> (the most extensive being by the United Kingdom, which pioneered the measurement of government output and productivity beginning with the Atkinson Review in 2005)</w:t>
      </w:r>
      <w:r w:rsidR="00D76ADD" w:rsidRPr="00147D0A">
        <w:rPr>
          <w:rFonts w:ascii="Arial Hebrew" w:hAnsi="Arial Hebrew" w:cs="Arial Hebrew" w:hint="cs"/>
          <w:color w:val="000000" w:themeColor="text1"/>
          <w:sz w:val="20"/>
          <w:szCs w:val="20"/>
        </w:rPr>
        <w:t>.</w:t>
      </w:r>
      <w:r w:rsidR="00464FD8" w:rsidRPr="00147D0A">
        <w:rPr>
          <w:rFonts w:ascii="Arial Hebrew" w:hAnsi="Arial Hebrew" w:cs="Arial Hebrew" w:hint="cs"/>
          <w:color w:val="000000" w:themeColor="text1"/>
          <w:sz w:val="20"/>
          <w:szCs w:val="20"/>
        </w:rPr>
        <w:t xml:space="preserve"> The</w:t>
      </w:r>
      <w:r w:rsidR="001D11EB" w:rsidRPr="00147D0A">
        <w:rPr>
          <w:rFonts w:ascii="Arial Hebrew" w:hAnsi="Arial Hebrew" w:cs="Arial Hebrew" w:hint="cs"/>
          <w:color w:val="000000" w:themeColor="text1"/>
          <w:sz w:val="20"/>
          <w:szCs w:val="20"/>
        </w:rPr>
        <w:t xml:space="preserve"> </w:t>
      </w:r>
      <w:r w:rsidR="00464FD8" w:rsidRPr="00147D0A">
        <w:rPr>
          <w:rFonts w:ascii="Arial Hebrew" w:hAnsi="Arial Hebrew" w:cs="Arial Hebrew" w:hint="cs"/>
          <w:color w:val="000000" w:themeColor="text1"/>
          <w:sz w:val="20"/>
          <w:szCs w:val="20"/>
        </w:rPr>
        <w:t>countries</w:t>
      </w:r>
      <w:r w:rsidR="00291C10" w:rsidRPr="00147D0A">
        <w:rPr>
          <w:rFonts w:ascii="Arial Hebrew" w:hAnsi="Arial Hebrew" w:cs="Arial Hebrew" w:hint="cs"/>
          <w:color w:val="000000" w:themeColor="text1"/>
          <w:sz w:val="20"/>
          <w:szCs w:val="20"/>
        </w:rPr>
        <w:t xml:space="preserve"> that are</w:t>
      </w:r>
      <w:r w:rsidR="001D11EB" w:rsidRPr="00147D0A">
        <w:rPr>
          <w:rFonts w:ascii="Arial Hebrew" w:hAnsi="Arial Hebrew" w:cs="Arial Hebrew" w:hint="cs"/>
          <w:color w:val="000000" w:themeColor="text1"/>
          <w:sz w:val="20"/>
          <w:szCs w:val="20"/>
        </w:rPr>
        <w:t xml:space="preserve"> most advanced in terms of the</w:t>
      </w:r>
      <w:r w:rsidR="00DF5143" w:rsidRPr="00147D0A">
        <w:rPr>
          <w:rFonts w:ascii="Arial Hebrew" w:hAnsi="Arial Hebrew" w:cs="Arial Hebrew" w:hint="cs"/>
          <w:color w:val="000000" w:themeColor="text1"/>
          <w:sz w:val="20"/>
          <w:szCs w:val="20"/>
        </w:rPr>
        <w:t xml:space="preserve"> systematic</w:t>
      </w:r>
      <w:r w:rsidR="001D11EB" w:rsidRPr="00147D0A">
        <w:rPr>
          <w:rFonts w:ascii="Arial Hebrew" w:hAnsi="Arial Hebrew" w:cs="Arial Hebrew" w:hint="cs"/>
          <w:color w:val="000000" w:themeColor="text1"/>
          <w:sz w:val="20"/>
          <w:szCs w:val="20"/>
        </w:rPr>
        <w:t xml:space="preserve"> collection and publication of public service quality </w:t>
      </w:r>
      <w:r w:rsidR="00DF5143" w:rsidRPr="00147D0A">
        <w:rPr>
          <w:rFonts w:ascii="Arial Hebrew" w:hAnsi="Arial Hebrew" w:cs="Arial Hebrew" w:hint="cs"/>
          <w:color w:val="000000" w:themeColor="text1"/>
          <w:sz w:val="20"/>
          <w:szCs w:val="20"/>
        </w:rPr>
        <w:t>metri</w:t>
      </w:r>
      <w:r w:rsidR="007967FD" w:rsidRPr="00147D0A">
        <w:rPr>
          <w:rFonts w:ascii="Arial Hebrew" w:hAnsi="Arial Hebrew" w:cs="Arial Hebrew" w:hint="cs"/>
          <w:color w:val="000000" w:themeColor="text1"/>
          <w:sz w:val="20"/>
          <w:szCs w:val="20"/>
        </w:rPr>
        <w:t>c</w:t>
      </w:r>
      <w:r w:rsidR="00DF5143" w:rsidRPr="00147D0A">
        <w:rPr>
          <w:rFonts w:ascii="Arial Hebrew" w:hAnsi="Arial Hebrew" w:cs="Arial Hebrew" w:hint="cs"/>
          <w:color w:val="000000" w:themeColor="text1"/>
          <w:sz w:val="20"/>
          <w:szCs w:val="20"/>
        </w:rPr>
        <w:t>s</w:t>
      </w:r>
      <w:r w:rsidR="00D76ADD" w:rsidRPr="00147D0A">
        <w:rPr>
          <w:rFonts w:ascii="Arial Hebrew" w:hAnsi="Arial Hebrew" w:cs="Arial Hebrew" w:hint="cs"/>
          <w:color w:val="000000" w:themeColor="text1"/>
          <w:sz w:val="20"/>
          <w:szCs w:val="20"/>
        </w:rPr>
        <w:t xml:space="preserve"> are shown in </w:t>
      </w:r>
      <w:r w:rsidR="00D76ADD" w:rsidRPr="00147D0A">
        <w:rPr>
          <w:rFonts w:ascii="Arial Hebrew" w:hAnsi="Arial Hebrew" w:cs="Arial Hebrew" w:hint="cs"/>
          <w:b/>
          <w:bCs/>
          <w:color w:val="000000" w:themeColor="text1"/>
          <w:sz w:val="20"/>
          <w:szCs w:val="20"/>
        </w:rPr>
        <w:t>Table</w:t>
      </w:r>
      <w:r w:rsidR="000B0E8A" w:rsidRPr="00147D0A">
        <w:rPr>
          <w:rFonts w:ascii="Arial Hebrew" w:hAnsi="Arial Hebrew" w:cs="Arial Hebrew" w:hint="cs"/>
          <w:b/>
          <w:bCs/>
          <w:color w:val="000000" w:themeColor="text1"/>
          <w:sz w:val="20"/>
          <w:szCs w:val="20"/>
        </w:rPr>
        <w:t> </w:t>
      </w:r>
      <w:r w:rsidR="00D76ADD" w:rsidRPr="00147D0A">
        <w:rPr>
          <w:rFonts w:ascii="Arial Hebrew" w:hAnsi="Arial Hebrew" w:cs="Arial Hebrew" w:hint="cs"/>
          <w:b/>
          <w:bCs/>
          <w:color w:val="000000" w:themeColor="text1"/>
          <w:sz w:val="20"/>
          <w:szCs w:val="20"/>
        </w:rPr>
        <w:t>7</w:t>
      </w:r>
      <w:r w:rsidR="000B0E8A" w:rsidRPr="00147D0A">
        <w:rPr>
          <w:rFonts w:ascii="Arial Hebrew" w:hAnsi="Arial Hebrew" w:cs="Arial Hebrew" w:hint="cs"/>
          <w:color w:val="000000" w:themeColor="text1"/>
          <w:sz w:val="20"/>
          <w:szCs w:val="20"/>
        </w:rPr>
        <w:t>,</w:t>
      </w:r>
      <w:r w:rsidR="00D76ADD" w:rsidRPr="00147D0A">
        <w:rPr>
          <w:rFonts w:ascii="Arial Hebrew" w:hAnsi="Arial Hebrew" w:cs="Arial Hebrew" w:hint="cs"/>
          <w:color w:val="000000" w:themeColor="text1"/>
          <w:sz w:val="20"/>
          <w:szCs w:val="20"/>
        </w:rPr>
        <w:t xml:space="preserve"> with</w:t>
      </w:r>
      <w:r w:rsidR="001D11EB" w:rsidRPr="00147D0A">
        <w:rPr>
          <w:rFonts w:ascii="Arial Hebrew" w:hAnsi="Arial Hebrew" w:cs="Arial Hebrew" w:hint="cs"/>
          <w:color w:val="000000" w:themeColor="text1"/>
          <w:sz w:val="20"/>
          <w:szCs w:val="20"/>
        </w:rPr>
        <w:t xml:space="preserve"> some</w:t>
      </w:r>
      <w:r w:rsidR="00464FD8" w:rsidRPr="00147D0A">
        <w:rPr>
          <w:rFonts w:ascii="Arial Hebrew" w:hAnsi="Arial Hebrew" w:cs="Arial Hebrew" w:hint="cs"/>
          <w:color w:val="000000" w:themeColor="text1"/>
          <w:sz w:val="20"/>
          <w:szCs w:val="20"/>
        </w:rPr>
        <w:t xml:space="preserve"> examples of the </w:t>
      </w:r>
      <w:r w:rsidR="001D11EB" w:rsidRPr="00147D0A">
        <w:rPr>
          <w:rFonts w:ascii="Arial Hebrew" w:hAnsi="Arial Hebrew" w:cs="Arial Hebrew" w:hint="cs"/>
          <w:color w:val="000000" w:themeColor="text1"/>
          <w:sz w:val="20"/>
          <w:szCs w:val="20"/>
        </w:rPr>
        <w:t>metrics used by their respective</w:t>
      </w:r>
      <w:r w:rsidR="00291C10" w:rsidRPr="00147D0A">
        <w:rPr>
          <w:rFonts w:ascii="Arial Hebrew" w:hAnsi="Arial Hebrew" w:cs="Arial Hebrew" w:hint="cs"/>
          <w:color w:val="000000" w:themeColor="text1"/>
          <w:sz w:val="20"/>
          <w:szCs w:val="20"/>
        </w:rPr>
        <w:t xml:space="preserve"> national statistical</w:t>
      </w:r>
      <w:r w:rsidR="001D11EB" w:rsidRPr="00147D0A">
        <w:rPr>
          <w:rFonts w:ascii="Arial Hebrew" w:hAnsi="Arial Hebrew" w:cs="Arial Hebrew" w:hint="cs"/>
          <w:color w:val="000000" w:themeColor="text1"/>
          <w:sz w:val="20"/>
          <w:szCs w:val="20"/>
        </w:rPr>
        <w:t xml:space="preserve"> agencies </w:t>
      </w:r>
      <w:r w:rsidR="00291C10" w:rsidRPr="00147D0A">
        <w:rPr>
          <w:rFonts w:ascii="Arial Hebrew" w:hAnsi="Arial Hebrew" w:cs="Arial Hebrew" w:hint="cs"/>
          <w:color w:val="000000" w:themeColor="text1"/>
          <w:sz w:val="20"/>
          <w:szCs w:val="20"/>
        </w:rPr>
        <w:t>in</w:t>
      </w:r>
      <w:r w:rsidR="001D11EB" w:rsidRPr="00147D0A">
        <w:rPr>
          <w:rFonts w:ascii="Arial Hebrew" w:hAnsi="Arial Hebrew" w:cs="Arial Hebrew" w:hint="cs"/>
          <w:color w:val="000000" w:themeColor="text1"/>
          <w:sz w:val="20"/>
          <w:szCs w:val="20"/>
        </w:rPr>
        <w:t xml:space="preserve"> </w:t>
      </w:r>
      <w:r w:rsidR="00291C10" w:rsidRPr="00147D0A">
        <w:rPr>
          <w:rFonts w:ascii="Arial Hebrew" w:hAnsi="Arial Hebrew" w:cs="Arial Hebrew" w:hint="cs"/>
          <w:color w:val="000000" w:themeColor="text1"/>
          <w:sz w:val="20"/>
          <w:szCs w:val="20"/>
        </w:rPr>
        <w:t xml:space="preserve">government </w:t>
      </w:r>
      <w:r w:rsidR="001D11EB" w:rsidRPr="00147D0A">
        <w:rPr>
          <w:rFonts w:ascii="Arial Hebrew" w:hAnsi="Arial Hebrew" w:cs="Arial Hebrew" w:hint="cs"/>
          <w:color w:val="000000" w:themeColor="text1"/>
          <w:sz w:val="20"/>
          <w:szCs w:val="20"/>
        </w:rPr>
        <w:t>output</w:t>
      </w:r>
      <w:r w:rsidR="00464FD8" w:rsidRPr="00147D0A">
        <w:rPr>
          <w:rFonts w:ascii="Arial Hebrew" w:hAnsi="Arial Hebrew" w:cs="Arial Hebrew" w:hint="cs"/>
          <w:color w:val="000000" w:themeColor="text1"/>
          <w:sz w:val="20"/>
          <w:szCs w:val="20"/>
        </w:rPr>
        <w:t xml:space="preserve"> quality</w:t>
      </w:r>
      <w:r w:rsidR="00CC216A" w:rsidRPr="00147D0A">
        <w:rPr>
          <w:rFonts w:ascii="Arial Hebrew" w:hAnsi="Arial Hebrew" w:cs="Arial Hebrew" w:hint="cs"/>
          <w:color w:val="000000" w:themeColor="text1"/>
          <w:sz w:val="20"/>
          <w:szCs w:val="20"/>
        </w:rPr>
        <w:t>-adjustment</w:t>
      </w:r>
      <w:r w:rsidR="00464FD8" w:rsidRPr="00147D0A">
        <w:rPr>
          <w:rFonts w:ascii="Arial Hebrew" w:hAnsi="Arial Hebrew" w:cs="Arial Hebrew" w:hint="cs"/>
          <w:color w:val="000000" w:themeColor="text1"/>
          <w:sz w:val="20"/>
          <w:szCs w:val="20"/>
        </w:rPr>
        <w:t xml:space="preserve"> measures</w:t>
      </w:r>
      <w:r w:rsidR="00D76ADD" w:rsidRPr="00147D0A">
        <w:rPr>
          <w:rFonts w:ascii="Arial Hebrew" w:hAnsi="Arial Hebrew" w:cs="Arial Hebrew" w:hint="cs"/>
          <w:color w:val="000000" w:themeColor="text1"/>
          <w:sz w:val="20"/>
          <w:szCs w:val="20"/>
        </w:rPr>
        <w:t>.</w:t>
      </w:r>
      <w:r w:rsidR="003A5817">
        <w:rPr>
          <w:rStyle w:val="FootnoteReference"/>
          <w:rFonts w:ascii="Arial Hebrew" w:hAnsi="Arial Hebrew" w:cs="Arial Hebrew"/>
          <w:color w:val="000000" w:themeColor="text1"/>
          <w:sz w:val="20"/>
          <w:szCs w:val="20"/>
        </w:rPr>
        <w:footnoteReference w:id="28"/>
      </w:r>
      <w:r w:rsidR="00291C10" w:rsidRPr="00147D0A">
        <w:rPr>
          <w:rFonts w:ascii="Arial Hebrew" w:hAnsi="Arial Hebrew" w:cs="Arial Hebrew" w:hint="cs"/>
          <w:color w:val="000000" w:themeColor="text1"/>
          <w:sz w:val="20"/>
          <w:szCs w:val="20"/>
        </w:rPr>
        <w:t xml:space="preserve"> </w:t>
      </w:r>
    </w:p>
    <w:p w14:paraId="3A132C3C" w14:textId="77777777" w:rsidR="00D9086B" w:rsidRPr="00147D0A" w:rsidRDefault="00D9086B" w:rsidP="00D9086B">
      <w:pPr>
        <w:spacing w:line="360" w:lineRule="auto"/>
        <w:ind w:firstLine="720"/>
        <w:jc w:val="both"/>
        <w:rPr>
          <w:rFonts w:ascii="Arial Hebrew" w:hAnsi="Arial Hebrew" w:cs="Arial Hebrew"/>
          <w:color w:val="000000" w:themeColor="text1"/>
          <w:sz w:val="20"/>
          <w:szCs w:val="20"/>
        </w:rPr>
      </w:pPr>
    </w:p>
    <w:p w14:paraId="5A370200" w14:textId="5F2E3A8A" w:rsidR="000B0E8A" w:rsidRPr="00147D0A" w:rsidRDefault="000B0E8A" w:rsidP="000B0E8A">
      <w:pPr>
        <w:spacing w:before="240"/>
        <w:jc w:val="center"/>
        <w:rPr>
          <w:rFonts w:ascii="Arial Hebrew" w:hAnsi="Arial Hebrew" w:cs="Arial Hebrew"/>
          <w:i/>
          <w:iCs/>
          <w:sz w:val="16"/>
          <w:szCs w:val="16"/>
        </w:rPr>
      </w:pPr>
      <w:r w:rsidRPr="00147D0A">
        <w:rPr>
          <w:rFonts w:ascii="Arial Hebrew" w:hAnsi="Arial Hebrew" w:cs="Arial Hebrew" w:hint="cs"/>
          <w:b/>
          <w:bCs/>
          <w:i/>
          <w:iCs/>
          <w:sz w:val="16"/>
          <w:szCs w:val="16"/>
        </w:rPr>
        <w:t xml:space="preserve">Table </w:t>
      </w:r>
      <w:r w:rsidR="008B5017" w:rsidRPr="00147D0A">
        <w:rPr>
          <w:rFonts w:ascii="Arial Hebrew" w:hAnsi="Arial Hebrew" w:cs="Arial Hebrew" w:hint="cs"/>
          <w:b/>
          <w:bCs/>
          <w:i/>
          <w:iCs/>
          <w:sz w:val="16"/>
          <w:szCs w:val="16"/>
        </w:rPr>
        <w:t>7</w:t>
      </w:r>
      <w:r w:rsidRPr="00147D0A">
        <w:rPr>
          <w:rFonts w:ascii="Arial Hebrew" w:hAnsi="Arial Hebrew" w:cs="Arial Hebrew" w:hint="cs"/>
          <w:b/>
          <w:bCs/>
          <w:i/>
          <w:iCs/>
          <w:sz w:val="16"/>
          <w:szCs w:val="16"/>
        </w:rPr>
        <w:t>.</w:t>
      </w:r>
      <w:r w:rsidRPr="00147D0A">
        <w:rPr>
          <w:rFonts w:ascii="Arial Hebrew" w:hAnsi="Arial Hebrew" w:cs="Arial Hebrew" w:hint="cs"/>
          <w:i/>
          <w:iCs/>
          <w:sz w:val="16"/>
          <w:szCs w:val="16"/>
        </w:rPr>
        <w:t xml:space="preserve"> </w:t>
      </w:r>
      <w:r w:rsidR="005E7234" w:rsidRPr="00147D0A">
        <w:rPr>
          <w:rFonts w:ascii="Arial Hebrew" w:hAnsi="Arial Hebrew" w:cs="Arial Hebrew" w:hint="cs"/>
          <w:i/>
          <w:iCs/>
          <w:sz w:val="16"/>
          <w:szCs w:val="16"/>
        </w:rPr>
        <w:t xml:space="preserve">Public Service Quality Indicators used by </w:t>
      </w:r>
      <w:r w:rsidR="00D9086B" w:rsidRPr="00147D0A">
        <w:rPr>
          <w:rFonts w:ascii="Arial Hebrew" w:hAnsi="Arial Hebrew" w:cs="Arial Hebrew" w:hint="cs"/>
          <w:i/>
          <w:iCs/>
          <w:sz w:val="16"/>
          <w:szCs w:val="16"/>
        </w:rPr>
        <w:t>Official</w:t>
      </w:r>
      <w:r w:rsidR="005E7234" w:rsidRPr="00147D0A">
        <w:rPr>
          <w:rFonts w:ascii="Arial Hebrew" w:hAnsi="Arial Hebrew" w:cs="Arial Hebrew" w:hint="cs"/>
          <w:i/>
          <w:iCs/>
          <w:sz w:val="16"/>
          <w:szCs w:val="16"/>
        </w:rPr>
        <w:t xml:space="preserve"> Agencies</w:t>
      </w:r>
    </w:p>
    <w:tbl>
      <w:tblPr>
        <w:tblStyle w:val="TableGrid"/>
        <w:tblW w:w="9026" w:type="dxa"/>
        <w:tblLayout w:type="fixed"/>
        <w:tblLook w:val="04A0" w:firstRow="1" w:lastRow="0" w:firstColumn="1" w:lastColumn="0" w:noHBand="0" w:noVBand="1"/>
      </w:tblPr>
      <w:tblGrid>
        <w:gridCol w:w="1134"/>
        <w:gridCol w:w="1973"/>
        <w:gridCol w:w="1973"/>
        <w:gridCol w:w="1973"/>
        <w:gridCol w:w="1973"/>
      </w:tblGrid>
      <w:tr w:rsidR="000B0E8A" w:rsidRPr="00147D0A" w14:paraId="600970DB" w14:textId="77777777" w:rsidTr="0031570D">
        <w:trPr>
          <w:trHeight w:val="139"/>
        </w:trPr>
        <w:tc>
          <w:tcPr>
            <w:tcW w:w="1134" w:type="dxa"/>
            <w:tcBorders>
              <w:top w:val="single" w:sz="4" w:space="0" w:color="auto"/>
              <w:left w:val="nil"/>
              <w:bottom w:val="single" w:sz="4" w:space="0" w:color="auto"/>
              <w:right w:val="nil"/>
            </w:tcBorders>
            <w:shd w:val="clear" w:color="auto" w:fill="F2F2F2" w:themeFill="background1" w:themeFillShade="F2"/>
          </w:tcPr>
          <w:p w14:paraId="1234AFAF" w14:textId="725E6D93"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Country</w:t>
            </w:r>
          </w:p>
        </w:tc>
        <w:tc>
          <w:tcPr>
            <w:tcW w:w="1973" w:type="dxa"/>
            <w:tcBorders>
              <w:top w:val="single" w:sz="4" w:space="0" w:color="auto"/>
              <w:left w:val="nil"/>
              <w:bottom w:val="single" w:sz="4" w:space="0" w:color="auto"/>
              <w:right w:val="nil"/>
            </w:tcBorders>
            <w:shd w:val="clear" w:color="auto" w:fill="F2F2F2" w:themeFill="background1" w:themeFillShade="F2"/>
          </w:tcPr>
          <w:p w14:paraId="0A4488E5" w14:textId="2581A827"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Healthcare</w:t>
            </w:r>
          </w:p>
        </w:tc>
        <w:tc>
          <w:tcPr>
            <w:tcW w:w="1973" w:type="dxa"/>
            <w:tcBorders>
              <w:top w:val="single" w:sz="4" w:space="0" w:color="auto"/>
              <w:left w:val="nil"/>
              <w:bottom w:val="single" w:sz="4" w:space="0" w:color="auto"/>
              <w:right w:val="nil"/>
            </w:tcBorders>
            <w:shd w:val="clear" w:color="auto" w:fill="F2F2F2" w:themeFill="background1" w:themeFillShade="F2"/>
          </w:tcPr>
          <w:p w14:paraId="02447523" w14:textId="198614A0"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Education</w:t>
            </w:r>
          </w:p>
        </w:tc>
        <w:tc>
          <w:tcPr>
            <w:tcW w:w="1973" w:type="dxa"/>
            <w:tcBorders>
              <w:top w:val="single" w:sz="4" w:space="0" w:color="auto"/>
              <w:left w:val="nil"/>
              <w:bottom w:val="single" w:sz="4" w:space="0" w:color="auto"/>
              <w:right w:val="nil"/>
            </w:tcBorders>
            <w:shd w:val="clear" w:color="auto" w:fill="F2F2F2" w:themeFill="background1" w:themeFillShade="F2"/>
          </w:tcPr>
          <w:p w14:paraId="174E7F2F" w14:textId="186AE5C8"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Social Care</w:t>
            </w:r>
          </w:p>
        </w:tc>
        <w:tc>
          <w:tcPr>
            <w:tcW w:w="1973" w:type="dxa"/>
            <w:tcBorders>
              <w:top w:val="single" w:sz="4" w:space="0" w:color="auto"/>
              <w:left w:val="nil"/>
              <w:bottom w:val="single" w:sz="4" w:space="0" w:color="auto"/>
              <w:right w:val="nil"/>
            </w:tcBorders>
            <w:shd w:val="clear" w:color="auto" w:fill="F2F2F2" w:themeFill="background1" w:themeFillShade="F2"/>
          </w:tcPr>
          <w:p w14:paraId="3971DBC9" w14:textId="435218F6" w:rsidR="000B0E8A" w:rsidRPr="00147D0A" w:rsidRDefault="005E7234" w:rsidP="00BB785B">
            <w:pPr>
              <w:spacing w:before="20" w:after="2" w:line="252" w:lineRule="auto"/>
              <w:rPr>
                <w:rFonts w:ascii="Arial Hebrew" w:hAnsi="Arial Hebrew" w:cs="Arial Hebrew"/>
                <w:b/>
                <w:bCs/>
                <w:sz w:val="16"/>
                <w:szCs w:val="16"/>
              </w:rPr>
            </w:pPr>
            <w:r w:rsidRPr="00147D0A">
              <w:rPr>
                <w:rFonts w:ascii="Arial Hebrew" w:hAnsi="Arial Hebrew" w:cs="Arial Hebrew" w:hint="cs"/>
                <w:b/>
                <w:bCs/>
                <w:sz w:val="16"/>
                <w:szCs w:val="16"/>
              </w:rPr>
              <w:t>Public Order &amp; Safety</w:t>
            </w:r>
          </w:p>
        </w:tc>
      </w:tr>
      <w:tr w:rsidR="00362880" w:rsidRPr="00147D0A" w14:paraId="168D9D64"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653B5C4B" w14:textId="71998BD9"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United Kingdom</w:t>
            </w:r>
          </w:p>
        </w:tc>
        <w:tc>
          <w:tcPr>
            <w:tcW w:w="1973" w:type="dxa"/>
            <w:tcBorders>
              <w:top w:val="single" w:sz="4" w:space="0" w:color="auto"/>
              <w:left w:val="nil"/>
              <w:bottom w:val="single" w:sz="4" w:space="0" w:color="auto"/>
              <w:right w:val="nil"/>
            </w:tcBorders>
          </w:tcPr>
          <w:p w14:paraId="391D2968" w14:textId="77777777"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30-day survival rates;</w:t>
            </w:r>
          </w:p>
          <w:p w14:paraId="2422BDAB" w14:textId="765C57A4"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PROMs</w:t>
            </w:r>
            <w:r w:rsidR="0095758E" w:rsidRPr="00147D0A">
              <w:rPr>
                <w:rFonts w:ascii="Arial Hebrew" w:hAnsi="Arial Hebrew" w:cs="Arial Hebrew" w:hint="cs"/>
                <w:sz w:val="14"/>
                <w:szCs w:val="14"/>
              </w:rPr>
              <w:t xml:space="preserve"> (Patient-Reported Outcome Measures)</w:t>
            </w:r>
            <w:r w:rsidRPr="00147D0A">
              <w:rPr>
                <w:rFonts w:ascii="Arial Hebrew" w:hAnsi="Arial Hebrew" w:cs="Arial Hebrew" w:hint="cs"/>
                <w:sz w:val="14"/>
                <w:szCs w:val="14"/>
              </w:rPr>
              <w:t xml:space="preserve">; </w:t>
            </w:r>
          </w:p>
          <w:p w14:paraId="316A9D29" w14:textId="500479C6"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QALYs</w:t>
            </w:r>
            <w:r w:rsidR="0095758E" w:rsidRPr="00147D0A">
              <w:rPr>
                <w:rFonts w:ascii="Arial Hebrew" w:hAnsi="Arial Hebrew" w:cs="Arial Hebrew" w:hint="cs"/>
                <w:sz w:val="14"/>
                <w:szCs w:val="14"/>
              </w:rPr>
              <w:t xml:space="preserve"> (Quality-Adjusted Life Years)</w:t>
            </w:r>
            <w:r w:rsidRPr="00147D0A">
              <w:rPr>
                <w:rFonts w:ascii="Arial Hebrew" w:hAnsi="Arial Hebrew" w:cs="Arial Hebrew" w:hint="cs"/>
                <w:sz w:val="14"/>
                <w:szCs w:val="14"/>
              </w:rPr>
              <w:t xml:space="preserve">; </w:t>
            </w:r>
          </w:p>
          <w:p w14:paraId="0D51C9D5" w14:textId="77777777"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GP clinical outcomes;</w:t>
            </w:r>
          </w:p>
          <w:p w14:paraId="01F653F1" w14:textId="77777777"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Waiting times; </w:t>
            </w:r>
          </w:p>
          <w:p w14:paraId="3150A82D" w14:textId="5C108CCC"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Patient-experience surveys</w:t>
            </w:r>
          </w:p>
        </w:tc>
        <w:tc>
          <w:tcPr>
            <w:tcW w:w="1973" w:type="dxa"/>
            <w:tcBorders>
              <w:top w:val="single" w:sz="4" w:space="0" w:color="auto"/>
              <w:left w:val="nil"/>
              <w:bottom w:val="single" w:sz="4" w:space="0" w:color="auto"/>
              <w:right w:val="nil"/>
            </w:tcBorders>
          </w:tcPr>
          <w:p w14:paraId="2E95A05F" w14:textId="620A614D" w:rsidR="0031570D"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GCSE </w:t>
            </w:r>
            <w:r w:rsidR="009F0AC3" w:rsidRPr="00147D0A">
              <w:rPr>
                <w:rFonts w:ascii="Arial Hebrew" w:hAnsi="Arial Hebrew" w:cs="Arial Hebrew" w:hint="cs"/>
                <w:sz w:val="14"/>
                <w:szCs w:val="14"/>
              </w:rPr>
              <w:t xml:space="preserve">(General Certificate of Secondary Education) </w:t>
            </w:r>
            <w:r w:rsidRPr="00147D0A">
              <w:rPr>
                <w:rFonts w:ascii="Arial Hebrew" w:hAnsi="Arial Hebrew" w:cs="Arial Hebrew" w:hint="cs"/>
                <w:sz w:val="14"/>
                <w:szCs w:val="14"/>
              </w:rPr>
              <w:t xml:space="preserve">/ Level-2 attainment; </w:t>
            </w:r>
          </w:p>
          <w:p w14:paraId="1D88BD0C" w14:textId="77777777" w:rsidR="0031570D"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Average grades;</w:t>
            </w:r>
          </w:p>
          <w:p w14:paraId="7E5094A5" w14:textId="6165E82C"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Qualification completion rates</w:t>
            </w:r>
          </w:p>
        </w:tc>
        <w:tc>
          <w:tcPr>
            <w:tcW w:w="1973" w:type="dxa"/>
            <w:tcBorders>
              <w:top w:val="single" w:sz="4" w:space="0" w:color="auto"/>
              <w:left w:val="nil"/>
              <w:bottom w:val="single" w:sz="4" w:space="0" w:color="auto"/>
              <w:right w:val="nil"/>
            </w:tcBorders>
          </w:tcPr>
          <w:p w14:paraId="41E19481" w14:textId="06E3177F"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ASCOF </w:t>
            </w:r>
            <w:r w:rsidR="009F0AC3" w:rsidRPr="00147D0A">
              <w:rPr>
                <w:rFonts w:ascii="Arial Hebrew" w:hAnsi="Arial Hebrew" w:cs="Arial Hebrew" w:hint="cs"/>
                <w:sz w:val="14"/>
                <w:szCs w:val="14"/>
              </w:rPr>
              <w:t xml:space="preserve">(Adult Social Care Outcome Framework) </w:t>
            </w:r>
            <w:r w:rsidRPr="00147D0A">
              <w:rPr>
                <w:rFonts w:ascii="Arial Hebrew" w:hAnsi="Arial Hebrew" w:cs="Arial Hebrew" w:hint="cs"/>
                <w:sz w:val="14"/>
                <w:szCs w:val="14"/>
              </w:rPr>
              <w:t xml:space="preserve">quality-of-life index; </w:t>
            </w:r>
          </w:p>
          <w:p w14:paraId="1620CA5B"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Re-referral rate; </w:t>
            </w:r>
          </w:p>
          <w:p w14:paraId="09F91C64"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Re-registration rate;</w:t>
            </w:r>
          </w:p>
          <w:p w14:paraId="027E29AE"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Placement stability;</w:t>
            </w:r>
          </w:p>
          <w:p w14:paraId="74637706" w14:textId="316ECB68"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Service-user satisfaction</w:t>
            </w:r>
          </w:p>
        </w:tc>
        <w:tc>
          <w:tcPr>
            <w:tcW w:w="1973" w:type="dxa"/>
            <w:tcBorders>
              <w:top w:val="single" w:sz="4" w:space="0" w:color="auto"/>
              <w:left w:val="nil"/>
              <w:bottom w:val="single" w:sz="4" w:space="0" w:color="auto"/>
              <w:right w:val="nil"/>
            </w:tcBorders>
          </w:tcPr>
          <w:p w14:paraId="1492BEFF"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Severity-adjusted recidivism; </w:t>
            </w:r>
          </w:p>
          <w:p w14:paraId="48A04F33"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Prison-safety index;</w:t>
            </w:r>
          </w:p>
          <w:p w14:paraId="5B1A255E"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Custody-escape rate;</w:t>
            </w:r>
          </w:p>
          <w:p w14:paraId="26DA0F67" w14:textId="4E4C2AFE"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Court-timeliness</w:t>
            </w:r>
          </w:p>
        </w:tc>
      </w:tr>
      <w:tr w:rsidR="00362880" w:rsidRPr="00147D0A" w14:paraId="11091FCF"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01A5903F" w14:textId="24DCB1D5" w:rsidR="00362880" w:rsidRPr="00147D0A" w:rsidRDefault="0095758E"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 xml:space="preserve">The </w:t>
            </w:r>
            <w:r w:rsidR="00362880" w:rsidRPr="00147D0A">
              <w:rPr>
                <w:rFonts w:ascii="Arial Hebrew" w:hAnsi="Arial Hebrew" w:cs="Arial Hebrew" w:hint="cs"/>
                <w:b/>
                <w:bCs/>
                <w:sz w:val="16"/>
                <w:szCs w:val="16"/>
              </w:rPr>
              <w:t>Netherlands</w:t>
            </w:r>
          </w:p>
        </w:tc>
        <w:tc>
          <w:tcPr>
            <w:tcW w:w="1973" w:type="dxa"/>
            <w:tcBorders>
              <w:top w:val="single" w:sz="4" w:space="0" w:color="auto"/>
              <w:left w:val="nil"/>
              <w:bottom w:val="single" w:sz="4" w:space="0" w:color="auto"/>
              <w:right w:val="nil"/>
            </w:tcBorders>
          </w:tcPr>
          <w:p w14:paraId="68B65D6F" w14:textId="77777777" w:rsidR="0095758E"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30-day hospital-mortality; </w:t>
            </w:r>
          </w:p>
          <w:p w14:paraId="19A53C9E" w14:textId="77777777" w:rsidR="0095758E"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5-year cancer-survival;</w:t>
            </w:r>
          </w:p>
          <w:p w14:paraId="479B7D47" w14:textId="166772A1"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Patient-satisfaction surveys</w:t>
            </w:r>
          </w:p>
        </w:tc>
        <w:tc>
          <w:tcPr>
            <w:tcW w:w="1973" w:type="dxa"/>
            <w:tcBorders>
              <w:top w:val="single" w:sz="4" w:space="0" w:color="auto"/>
              <w:left w:val="nil"/>
              <w:bottom w:val="single" w:sz="4" w:space="0" w:color="auto"/>
              <w:right w:val="nil"/>
            </w:tcBorders>
          </w:tcPr>
          <w:p w14:paraId="5409B851"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Exam-pass rates; </w:t>
            </w:r>
          </w:p>
          <w:p w14:paraId="3321F612" w14:textId="18DC3C80"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Cito primary-test scores</w:t>
            </w:r>
          </w:p>
        </w:tc>
        <w:tc>
          <w:tcPr>
            <w:tcW w:w="1973" w:type="dxa"/>
            <w:tcBorders>
              <w:top w:val="single" w:sz="4" w:space="0" w:color="auto"/>
              <w:left w:val="nil"/>
              <w:bottom w:val="single" w:sz="4" w:space="0" w:color="auto"/>
              <w:right w:val="nil"/>
            </w:tcBorders>
          </w:tcPr>
          <w:p w14:paraId="16A1342C"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Client-satisfaction surveys (elder care);</w:t>
            </w:r>
          </w:p>
          <w:p w14:paraId="38E9D759" w14:textId="7938E474"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Youth-care re-entry rate</w:t>
            </w:r>
          </w:p>
        </w:tc>
        <w:tc>
          <w:tcPr>
            <w:tcW w:w="1973" w:type="dxa"/>
            <w:tcBorders>
              <w:top w:val="single" w:sz="4" w:space="0" w:color="auto"/>
              <w:left w:val="nil"/>
              <w:bottom w:val="single" w:sz="4" w:space="0" w:color="auto"/>
              <w:right w:val="nil"/>
            </w:tcBorders>
          </w:tcPr>
          <w:p w14:paraId="3FE3630F"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Recidivism rate;</w:t>
            </w:r>
          </w:p>
          <w:p w14:paraId="6AE436A7" w14:textId="4B9C2279"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Clearance rate; </w:t>
            </w:r>
          </w:p>
          <w:p w14:paraId="7DF73DC1" w14:textId="41B57F5F"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Public-safety perception survey</w:t>
            </w:r>
          </w:p>
        </w:tc>
      </w:tr>
      <w:tr w:rsidR="00362880" w:rsidRPr="00147D0A" w14:paraId="1D07FCB0"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6DDC45AF" w14:textId="5EF2D1AB"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Denmark</w:t>
            </w:r>
          </w:p>
        </w:tc>
        <w:tc>
          <w:tcPr>
            <w:tcW w:w="1973" w:type="dxa"/>
            <w:tcBorders>
              <w:top w:val="single" w:sz="4" w:space="0" w:color="auto"/>
              <w:left w:val="nil"/>
              <w:bottom w:val="single" w:sz="4" w:space="0" w:color="auto"/>
              <w:right w:val="nil"/>
            </w:tcBorders>
          </w:tcPr>
          <w:p w14:paraId="1A4C7BA1" w14:textId="2DF423EB" w:rsidR="009E3586"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30-day mortality (AMI, stroke); </w:t>
            </w:r>
          </w:p>
          <w:p w14:paraId="04D551EC" w14:textId="77777777" w:rsidR="009E3586"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5-year cancer survival;</w:t>
            </w:r>
          </w:p>
          <w:p w14:paraId="57013C47" w14:textId="77777777" w:rsidR="009E3586"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Hip-fracture waiting time; </w:t>
            </w:r>
          </w:p>
          <w:p w14:paraId="366A3D71" w14:textId="06B4893A"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Patient-satisfaction surveys</w:t>
            </w:r>
          </w:p>
        </w:tc>
        <w:tc>
          <w:tcPr>
            <w:tcW w:w="1973" w:type="dxa"/>
            <w:tcBorders>
              <w:top w:val="single" w:sz="4" w:space="0" w:color="auto"/>
              <w:left w:val="nil"/>
              <w:bottom w:val="single" w:sz="4" w:space="0" w:color="auto"/>
              <w:right w:val="nil"/>
            </w:tcBorders>
          </w:tcPr>
          <w:p w14:paraId="6043FC6B" w14:textId="260181D2"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PISA</w:t>
            </w:r>
            <w:r w:rsidR="00BB785B" w:rsidRPr="00147D0A">
              <w:rPr>
                <w:rFonts w:ascii="Arial Hebrew" w:hAnsi="Arial Hebrew" w:cs="Arial Hebrew" w:hint="cs"/>
                <w:sz w:val="14"/>
                <w:szCs w:val="14"/>
              </w:rPr>
              <w:t xml:space="preserve"> (Programme for International Student Assessment)</w:t>
            </w:r>
            <w:r w:rsidRPr="00147D0A">
              <w:rPr>
                <w:rFonts w:ascii="Arial Hebrew" w:hAnsi="Arial Hebrew" w:cs="Arial Hebrew" w:hint="cs"/>
                <w:sz w:val="14"/>
                <w:szCs w:val="14"/>
              </w:rPr>
              <w:t xml:space="preserve"> scores; </w:t>
            </w:r>
          </w:p>
          <w:p w14:paraId="24C3DD10" w14:textId="71443220"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Upper-secondary drop-out rate</w:t>
            </w:r>
          </w:p>
        </w:tc>
        <w:tc>
          <w:tcPr>
            <w:tcW w:w="1973" w:type="dxa"/>
            <w:tcBorders>
              <w:top w:val="single" w:sz="4" w:space="0" w:color="auto"/>
              <w:left w:val="nil"/>
              <w:bottom w:val="single" w:sz="4" w:space="0" w:color="auto"/>
              <w:right w:val="nil"/>
            </w:tcBorders>
          </w:tcPr>
          <w:p w14:paraId="0090CFF5"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Eldercare client-satisfaction surveys;</w:t>
            </w:r>
          </w:p>
          <w:p w14:paraId="09046D75" w14:textId="44E782C6"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Share of elderly living at home</w:t>
            </w:r>
          </w:p>
        </w:tc>
        <w:tc>
          <w:tcPr>
            <w:tcW w:w="1973" w:type="dxa"/>
            <w:tcBorders>
              <w:top w:val="single" w:sz="4" w:space="0" w:color="auto"/>
              <w:left w:val="nil"/>
              <w:bottom w:val="single" w:sz="4" w:space="0" w:color="auto"/>
              <w:right w:val="nil"/>
            </w:tcBorders>
          </w:tcPr>
          <w:p w14:paraId="2BCB8B11"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Recidivism rate; </w:t>
            </w:r>
          </w:p>
          <w:p w14:paraId="3A24614C"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Court-timeliness;</w:t>
            </w:r>
          </w:p>
          <w:p w14:paraId="09E7CF4A" w14:textId="169A57BB"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Clearance rate</w:t>
            </w:r>
          </w:p>
        </w:tc>
      </w:tr>
      <w:tr w:rsidR="00362880" w:rsidRPr="00147D0A" w14:paraId="0ACD2EBC"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5675A542" w14:textId="317D0DD8"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Sweden</w:t>
            </w:r>
          </w:p>
        </w:tc>
        <w:tc>
          <w:tcPr>
            <w:tcW w:w="1973" w:type="dxa"/>
            <w:tcBorders>
              <w:top w:val="single" w:sz="4" w:space="0" w:color="auto"/>
              <w:left w:val="nil"/>
              <w:bottom w:val="single" w:sz="4" w:space="0" w:color="auto"/>
              <w:right w:val="nil"/>
            </w:tcBorders>
          </w:tcPr>
          <w:p w14:paraId="3BA99DF0" w14:textId="77777777" w:rsidR="009E3586"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1-year cancer-survival;</w:t>
            </w:r>
          </w:p>
          <w:p w14:paraId="6E6975C6" w14:textId="77777777" w:rsidR="009E3586"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30-day cardiac-mortality; </w:t>
            </w:r>
          </w:p>
          <w:p w14:paraId="24095CF7" w14:textId="77777777" w:rsidR="009E3586"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Infection rates; </w:t>
            </w:r>
          </w:p>
          <w:p w14:paraId="7A51AD17" w14:textId="5ED81E25"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Patient-experience surveys</w:t>
            </w:r>
          </w:p>
        </w:tc>
        <w:tc>
          <w:tcPr>
            <w:tcW w:w="1973" w:type="dxa"/>
            <w:tcBorders>
              <w:top w:val="single" w:sz="4" w:space="0" w:color="auto"/>
              <w:left w:val="nil"/>
              <w:bottom w:val="single" w:sz="4" w:space="0" w:color="auto"/>
              <w:right w:val="nil"/>
            </w:tcBorders>
          </w:tcPr>
          <w:p w14:paraId="5981BF51"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Average final-grade points; </w:t>
            </w:r>
          </w:p>
          <w:p w14:paraId="39E2EAA7"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Basic-competency share; </w:t>
            </w:r>
          </w:p>
          <w:p w14:paraId="2A6A3C93" w14:textId="61955B78"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PISA scores</w:t>
            </w:r>
          </w:p>
        </w:tc>
        <w:tc>
          <w:tcPr>
            <w:tcW w:w="1973" w:type="dxa"/>
            <w:tcBorders>
              <w:top w:val="single" w:sz="4" w:space="0" w:color="auto"/>
              <w:left w:val="nil"/>
              <w:bottom w:val="single" w:sz="4" w:space="0" w:color="auto"/>
              <w:right w:val="nil"/>
            </w:tcBorders>
          </w:tcPr>
          <w:p w14:paraId="58BA20B3"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Eldercare satisfaction survey; </w:t>
            </w:r>
          </w:p>
          <w:p w14:paraId="53102DB8"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Child-placement stability; </w:t>
            </w:r>
          </w:p>
          <w:p w14:paraId="48A29890" w14:textId="77856211"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Repeat child-protection rate</w:t>
            </w:r>
          </w:p>
        </w:tc>
        <w:tc>
          <w:tcPr>
            <w:tcW w:w="1973" w:type="dxa"/>
            <w:tcBorders>
              <w:top w:val="single" w:sz="4" w:space="0" w:color="auto"/>
              <w:left w:val="nil"/>
              <w:bottom w:val="single" w:sz="4" w:space="0" w:color="auto"/>
              <w:right w:val="nil"/>
            </w:tcBorders>
          </w:tcPr>
          <w:p w14:paraId="7357B5BA"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1- &amp; 3-year recidivism;</w:t>
            </w:r>
          </w:p>
          <w:p w14:paraId="628DC0DA"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 xml:space="preserve">Crime-victimization survey; </w:t>
            </w:r>
          </w:p>
          <w:p w14:paraId="20C398E4" w14:textId="06E38C65"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sz w:val="14"/>
                <w:szCs w:val="14"/>
              </w:rPr>
              <w:t>Clearance rate</w:t>
            </w:r>
          </w:p>
        </w:tc>
      </w:tr>
      <w:tr w:rsidR="00362880" w:rsidRPr="00147D0A" w14:paraId="45C6590A" w14:textId="77777777" w:rsidTr="0031570D">
        <w:trPr>
          <w:trHeight w:val="490"/>
        </w:trPr>
        <w:tc>
          <w:tcPr>
            <w:tcW w:w="1134" w:type="dxa"/>
            <w:tcBorders>
              <w:top w:val="single" w:sz="4" w:space="0" w:color="auto"/>
              <w:left w:val="nil"/>
              <w:bottom w:val="single" w:sz="4" w:space="0" w:color="auto"/>
              <w:right w:val="nil"/>
            </w:tcBorders>
            <w:shd w:val="clear" w:color="auto" w:fill="F2F2F2" w:themeFill="background1" w:themeFillShade="F2"/>
          </w:tcPr>
          <w:p w14:paraId="5E10C5F0" w14:textId="0E69FBD6" w:rsidR="00362880" w:rsidRPr="00147D0A" w:rsidRDefault="00362880"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Finland</w:t>
            </w:r>
          </w:p>
        </w:tc>
        <w:tc>
          <w:tcPr>
            <w:tcW w:w="1973" w:type="dxa"/>
            <w:tcBorders>
              <w:top w:val="single" w:sz="4" w:space="0" w:color="auto"/>
              <w:left w:val="nil"/>
              <w:bottom w:val="single" w:sz="4" w:space="0" w:color="auto"/>
              <w:right w:val="nil"/>
            </w:tcBorders>
          </w:tcPr>
          <w:p w14:paraId="3CDA8B97" w14:textId="77777777" w:rsidR="009E3586"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Avoidable-mortality rate; </w:t>
            </w:r>
          </w:p>
          <w:p w14:paraId="44866B51" w14:textId="6768DC5B"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30-day readmission; Patient-satisfaction surveys</w:t>
            </w:r>
          </w:p>
        </w:tc>
        <w:tc>
          <w:tcPr>
            <w:tcW w:w="1973" w:type="dxa"/>
            <w:tcBorders>
              <w:top w:val="single" w:sz="4" w:space="0" w:color="auto"/>
              <w:left w:val="nil"/>
              <w:bottom w:val="single" w:sz="4" w:space="0" w:color="auto"/>
              <w:right w:val="nil"/>
            </w:tcBorders>
          </w:tcPr>
          <w:p w14:paraId="00013BE1"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Matriculation-exam results; </w:t>
            </w:r>
          </w:p>
          <w:p w14:paraId="779ED320"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PISA scores;</w:t>
            </w:r>
          </w:p>
          <w:p w14:paraId="73CFE82D" w14:textId="4A74A305"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Educational-attainment rate</w:t>
            </w:r>
          </w:p>
        </w:tc>
        <w:tc>
          <w:tcPr>
            <w:tcW w:w="1973" w:type="dxa"/>
            <w:tcBorders>
              <w:top w:val="single" w:sz="4" w:space="0" w:color="auto"/>
              <w:left w:val="nil"/>
              <w:bottom w:val="single" w:sz="4" w:space="0" w:color="auto"/>
              <w:right w:val="nil"/>
            </w:tcBorders>
          </w:tcPr>
          <w:p w14:paraId="321F6E95"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Eldercare client-satisfaction; </w:t>
            </w:r>
          </w:p>
          <w:p w14:paraId="4F378207"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Functional-ability improvement; </w:t>
            </w:r>
          </w:p>
          <w:p w14:paraId="0A0AF9D1" w14:textId="7AE21B20"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Repeat child-protection rate</w:t>
            </w:r>
          </w:p>
        </w:tc>
        <w:tc>
          <w:tcPr>
            <w:tcW w:w="1973" w:type="dxa"/>
            <w:tcBorders>
              <w:top w:val="single" w:sz="4" w:space="0" w:color="auto"/>
              <w:left w:val="nil"/>
              <w:bottom w:val="single" w:sz="4" w:space="0" w:color="auto"/>
              <w:right w:val="nil"/>
            </w:tcBorders>
          </w:tcPr>
          <w:p w14:paraId="4CDF1CE9"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Recidivism percentage;</w:t>
            </w:r>
          </w:p>
          <w:p w14:paraId="60A15D61" w14:textId="77777777" w:rsidR="009F0AC3"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Court-processing time;</w:t>
            </w:r>
          </w:p>
          <w:p w14:paraId="621E76F4" w14:textId="0BC35BB1" w:rsidR="00362880" w:rsidRPr="00147D0A" w:rsidRDefault="00362880"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Clearance rate</w:t>
            </w:r>
          </w:p>
        </w:tc>
      </w:tr>
      <w:tr w:rsidR="0095758E" w:rsidRPr="00147D0A" w14:paraId="57166A1A" w14:textId="77777777" w:rsidTr="0031570D">
        <w:trPr>
          <w:trHeight w:val="490"/>
        </w:trPr>
        <w:tc>
          <w:tcPr>
            <w:tcW w:w="1134" w:type="dxa"/>
            <w:tcBorders>
              <w:top w:val="single" w:sz="4" w:space="0" w:color="auto"/>
              <w:left w:val="nil"/>
              <w:bottom w:val="double" w:sz="4" w:space="0" w:color="auto"/>
              <w:right w:val="nil"/>
            </w:tcBorders>
            <w:shd w:val="clear" w:color="auto" w:fill="F2F2F2" w:themeFill="background1" w:themeFillShade="F2"/>
          </w:tcPr>
          <w:p w14:paraId="2BEBD80E" w14:textId="08F8F4F9" w:rsidR="0095758E" w:rsidRPr="00147D0A" w:rsidRDefault="0095758E" w:rsidP="00BB785B">
            <w:pPr>
              <w:spacing w:line="252" w:lineRule="auto"/>
              <w:rPr>
                <w:rFonts w:ascii="Arial Hebrew" w:hAnsi="Arial Hebrew" w:cs="Arial Hebrew"/>
                <w:b/>
                <w:bCs/>
                <w:sz w:val="16"/>
                <w:szCs w:val="16"/>
              </w:rPr>
            </w:pPr>
            <w:r w:rsidRPr="00147D0A">
              <w:rPr>
                <w:rFonts w:ascii="Arial Hebrew" w:hAnsi="Arial Hebrew" w:cs="Arial Hebrew" w:hint="cs"/>
                <w:b/>
                <w:bCs/>
                <w:sz w:val="16"/>
                <w:szCs w:val="16"/>
              </w:rPr>
              <w:t>Norway</w:t>
            </w:r>
          </w:p>
        </w:tc>
        <w:tc>
          <w:tcPr>
            <w:tcW w:w="1973" w:type="dxa"/>
            <w:tcBorders>
              <w:top w:val="single" w:sz="4" w:space="0" w:color="auto"/>
              <w:left w:val="nil"/>
              <w:bottom w:val="double" w:sz="4" w:space="0" w:color="auto"/>
              <w:right w:val="nil"/>
            </w:tcBorders>
          </w:tcPr>
          <w:p w14:paraId="3AC7A443"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30-day survival (AMI, stroke); </w:t>
            </w:r>
          </w:p>
          <w:p w14:paraId="4FF88264"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5-year cancer survival;</w:t>
            </w:r>
          </w:p>
          <w:p w14:paraId="5517BE49"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Waiting times; </w:t>
            </w:r>
          </w:p>
          <w:p w14:paraId="093A4C71"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Hospital-infection rate;</w:t>
            </w:r>
          </w:p>
          <w:p w14:paraId="11CC593F" w14:textId="14548335" w:rsidR="0095758E"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Patient-experience surveys</w:t>
            </w:r>
          </w:p>
        </w:tc>
        <w:tc>
          <w:tcPr>
            <w:tcW w:w="1973" w:type="dxa"/>
            <w:tcBorders>
              <w:top w:val="single" w:sz="4" w:space="0" w:color="auto"/>
              <w:left w:val="nil"/>
              <w:bottom w:val="double" w:sz="4" w:space="0" w:color="auto"/>
              <w:right w:val="nil"/>
            </w:tcBorders>
          </w:tcPr>
          <w:p w14:paraId="069BC572"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National-test scores;</w:t>
            </w:r>
          </w:p>
          <w:p w14:paraId="0F73851F"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Exam-pass rates;</w:t>
            </w:r>
          </w:p>
          <w:p w14:paraId="2A701D91"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Upper-secondary completion rate; </w:t>
            </w:r>
          </w:p>
          <w:p w14:paraId="6788764A" w14:textId="5DC6B08E" w:rsidR="0095758E"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PISA scores</w:t>
            </w:r>
          </w:p>
        </w:tc>
        <w:tc>
          <w:tcPr>
            <w:tcW w:w="1973" w:type="dxa"/>
            <w:tcBorders>
              <w:top w:val="single" w:sz="4" w:space="0" w:color="auto"/>
              <w:left w:val="nil"/>
              <w:bottom w:val="double" w:sz="4" w:space="0" w:color="auto"/>
              <w:right w:val="nil"/>
            </w:tcBorders>
          </w:tcPr>
          <w:p w14:paraId="1C492EA1"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Eldercare user-satisfaction (KOSTRA);</w:t>
            </w:r>
          </w:p>
          <w:p w14:paraId="7D69793C"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Share elderly receiving home care; </w:t>
            </w:r>
          </w:p>
          <w:p w14:paraId="5302B740"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Child-placement stability; </w:t>
            </w:r>
          </w:p>
          <w:p w14:paraId="7D1D6CD4" w14:textId="77777777" w:rsidR="0095758E"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Repeat child-protection rate</w:t>
            </w:r>
          </w:p>
          <w:p w14:paraId="792EDBC2" w14:textId="525CF3D3" w:rsidR="009F0AC3" w:rsidRPr="00147D0A" w:rsidRDefault="009F0AC3" w:rsidP="00BB785B">
            <w:pPr>
              <w:pStyle w:val="ListParagraph"/>
              <w:spacing w:line="252" w:lineRule="auto"/>
              <w:ind w:left="284"/>
              <w:rPr>
                <w:rFonts w:ascii="Arial Hebrew" w:hAnsi="Arial Hebrew" w:cs="Arial Hebrew"/>
                <w:sz w:val="14"/>
                <w:szCs w:val="14"/>
              </w:rPr>
            </w:pPr>
          </w:p>
        </w:tc>
        <w:tc>
          <w:tcPr>
            <w:tcW w:w="1973" w:type="dxa"/>
            <w:tcBorders>
              <w:top w:val="single" w:sz="4" w:space="0" w:color="auto"/>
              <w:left w:val="nil"/>
              <w:bottom w:val="double" w:sz="4" w:space="0" w:color="auto"/>
              <w:right w:val="nil"/>
            </w:tcBorders>
          </w:tcPr>
          <w:p w14:paraId="152E4740"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Recidivism rate (5-year);</w:t>
            </w:r>
          </w:p>
          <w:p w14:paraId="7167362B"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Clearance rate; </w:t>
            </w:r>
          </w:p>
          <w:p w14:paraId="572F8E56" w14:textId="77777777" w:rsidR="009F0AC3"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 xml:space="preserve">Crime-victimization survey; </w:t>
            </w:r>
          </w:p>
          <w:p w14:paraId="15B18A61" w14:textId="1F95F6F3" w:rsidR="0095758E" w:rsidRPr="00147D0A" w:rsidRDefault="0095758E" w:rsidP="00BB785B">
            <w:pPr>
              <w:pStyle w:val="ListParagraph"/>
              <w:numPr>
                <w:ilvl w:val="0"/>
                <w:numId w:val="66"/>
              </w:numPr>
              <w:spacing w:line="252" w:lineRule="auto"/>
              <w:rPr>
                <w:rFonts w:ascii="Arial Hebrew" w:hAnsi="Arial Hebrew" w:cs="Arial Hebrew"/>
                <w:sz w:val="14"/>
                <w:szCs w:val="14"/>
              </w:rPr>
            </w:pPr>
            <w:r w:rsidRPr="00147D0A">
              <w:rPr>
                <w:rFonts w:ascii="Arial Hebrew" w:hAnsi="Arial Hebrew" w:cs="Arial Hebrew" w:hint="cs"/>
                <w:color w:val="000000"/>
                <w:sz w:val="14"/>
                <w:szCs w:val="14"/>
              </w:rPr>
              <w:t>Court-processing time</w:t>
            </w:r>
          </w:p>
        </w:tc>
      </w:tr>
    </w:tbl>
    <w:p w14:paraId="1B140144" w14:textId="77777777" w:rsidR="000B0E8A" w:rsidRPr="00147D0A" w:rsidRDefault="000B0E8A" w:rsidP="000B0E8A">
      <w:pPr>
        <w:spacing w:line="360" w:lineRule="auto"/>
        <w:ind w:firstLine="720"/>
        <w:jc w:val="both"/>
        <w:rPr>
          <w:rFonts w:ascii="Arial Hebrew" w:hAnsi="Arial Hebrew" w:cs="Arial Hebrew"/>
          <w:color w:val="000000" w:themeColor="text1"/>
          <w:sz w:val="20"/>
          <w:szCs w:val="20"/>
        </w:rPr>
      </w:pPr>
    </w:p>
    <w:p w14:paraId="05611706" w14:textId="71D0E046" w:rsidR="001B5563" w:rsidRPr="00147D0A" w:rsidRDefault="00291C10" w:rsidP="001B5563">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While </w:t>
      </w:r>
      <w:r w:rsidR="0095758E" w:rsidRPr="00147D0A">
        <w:rPr>
          <w:rFonts w:ascii="Arial Hebrew" w:hAnsi="Arial Hebrew" w:cs="Arial Hebrew" w:hint="cs"/>
          <w:color w:val="000000" w:themeColor="text1"/>
          <w:sz w:val="20"/>
          <w:szCs w:val="20"/>
        </w:rPr>
        <w:t>indicators</w:t>
      </w:r>
      <w:r w:rsidRPr="00147D0A">
        <w:rPr>
          <w:rFonts w:ascii="Arial Hebrew" w:hAnsi="Arial Hebrew" w:cs="Arial Hebrew" w:hint="cs"/>
          <w:color w:val="000000" w:themeColor="text1"/>
          <w:sz w:val="20"/>
          <w:szCs w:val="20"/>
        </w:rPr>
        <w:t xml:space="preserve"> such as these resemble the type of </w:t>
      </w:r>
      <w:r w:rsidR="0095758E" w:rsidRPr="00147D0A">
        <w:rPr>
          <w:rFonts w:ascii="Arial Hebrew" w:hAnsi="Arial Hebrew" w:cs="Arial Hebrew" w:hint="cs"/>
          <w:color w:val="000000" w:themeColor="text1"/>
          <w:sz w:val="20"/>
          <w:szCs w:val="20"/>
        </w:rPr>
        <w:t>data</w:t>
      </w:r>
      <w:r w:rsidRPr="00147D0A">
        <w:rPr>
          <w:rFonts w:ascii="Arial Hebrew" w:hAnsi="Arial Hebrew" w:cs="Arial Hebrew" w:hint="cs"/>
          <w:color w:val="000000" w:themeColor="text1"/>
          <w:sz w:val="20"/>
          <w:szCs w:val="20"/>
        </w:rPr>
        <w:t xml:space="preserve"> suitable </w:t>
      </w:r>
      <w:r w:rsidR="00362880" w:rsidRPr="00147D0A">
        <w:rPr>
          <w:rFonts w:ascii="Arial Hebrew" w:hAnsi="Arial Hebrew" w:cs="Arial Hebrew" w:hint="cs"/>
          <w:color w:val="000000" w:themeColor="text1"/>
          <w:sz w:val="20"/>
          <w:szCs w:val="20"/>
        </w:rPr>
        <w:t xml:space="preserve">for </w:t>
      </w:r>
      <w:r w:rsidRPr="00147D0A">
        <w:rPr>
          <w:rFonts w:ascii="Arial Hebrew" w:hAnsi="Arial Hebrew" w:cs="Arial Hebrew" w:hint="cs"/>
          <w:color w:val="000000" w:themeColor="text1"/>
          <w:sz w:val="20"/>
          <w:szCs w:val="20"/>
        </w:rPr>
        <w:t xml:space="preserve">inclusion in the proposed global trust index, a major limitation is the </w:t>
      </w:r>
      <w:r w:rsidR="00B96273" w:rsidRPr="00147D0A">
        <w:rPr>
          <w:rFonts w:ascii="Arial Hebrew" w:hAnsi="Arial Hebrew" w:cs="Arial Hebrew" w:hint="cs"/>
          <w:color w:val="000000" w:themeColor="text1"/>
          <w:sz w:val="20"/>
          <w:szCs w:val="20"/>
        </w:rPr>
        <w:t>delay</w:t>
      </w:r>
      <w:r w:rsidR="00EF5200" w:rsidRPr="00147D0A">
        <w:rPr>
          <w:rFonts w:ascii="Arial Hebrew" w:hAnsi="Arial Hebrew" w:cs="Arial Hebrew" w:hint="cs"/>
          <w:color w:val="000000" w:themeColor="text1"/>
          <w:sz w:val="20"/>
          <w:szCs w:val="20"/>
        </w:rPr>
        <w:t xml:space="preserve"> often</w:t>
      </w:r>
      <w:r w:rsidRPr="00147D0A">
        <w:rPr>
          <w:rFonts w:ascii="Arial Hebrew" w:hAnsi="Arial Hebrew" w:cs="Arial Hebrew" w:hint="cs"/>
          <w:color w:val="000000" w:themeColor="text1"/>
          <w:sz w:val="20"/>
          <w:szCs w:val="20"/>
        </w:rPr>
        <w:t xml:space="preserve"> involved in the publication of these statistics</w:t>
      </w:r>
      <w:r w:rsidR="00B96273" w:rsidRPr="00147D0A">
        <w:rPr>
          <w:rFonts w:ascii="Arial Hebrew" w:hAnsi="Arial Hebrew" w:cs="Arial Hebrew" w:hint="cs"/>
          <w:color w:val="000000" w:themeColor="text1"/>
          <w:sz w:val="20"/>
          <w:szCs w:val="20"/>
        </w:rPr>
        <w:t>, which can come</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over a</w:t>
      </w:r>
      <w:r w:rsidRPr="00147D0A">
        <w:rPr>
          <w:rFonts w:ascii="Arial Hebrew" w:hAnsi="Arial Hebrew" w:cs="Arial Hebrew" w:hint="cs"/>
          <w:color w:val="000000" w:themeColor="text1"/>
          <w:sz w:val="20"/>
          <w:szCs w:val="20"/>
        </w:rPr>
        <w:t xml:space="preserve"> year after the</w:t>
      </w:r>
      <w:r w:rsidR="0095758E" w:rsidRPr="00147D0A">
        <w:rPr>
          <w:rFonts w:ascii="Arial Hebrew" w:hAnsi="Arial Hebrew" w:cs="Arial Hebrew" w:hint="cs"/>
          <w:color w:val="000000" w:themeColor="text1"/>
          <w:sz w:val="20"/>
          <w:szCs w:val="20"/>
        </w:rPr>
        <w:t>ir</w:t>
      </w:r>
      <w:r w:rsidRPr="00147D0A">
        <w:rPr>
          <w:rFonts w:ascii="Arial Hebrew" w:hAnsi="Arial Hebrew" w:cs="Arial Hebrew" w:hint="cs"/>
          <w:color w:val="000000" w:themeColor="text1"/>
          <w:sz w:val="20"/>
          <w:szCs w:val="20"/>
        </w:rPr>
        <w:t xml:space="preserve"> reference period</w:t>
      </w:r>
      <w:r w:rsidR="00D362A3"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While the lengthy process of data collection, adjustment and verification</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 xml:space="preserve">helps </w:t>
      </w:r>
      <w:r w:rsidRPr="00147D0A">
        <w:rPr>
          <w:rFonts w:ascii="Arial Hebrew" w:hAnsi="Arial Hebrew" w:cs="Arial Hebrew" w:hint="cs"/>
          <w:color w:val="000000" w:themeColor="text1"/>
          <w:sz w:val="20"/>
          <w:szCs w:val="20"/>
        </w:rPr>
        <w:t>ensure the</w:t>
      </w:r>
      <w:r w:rsidR="00EF5200"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accuracy</w:t>
      </w:r>
      <w:r w:rsidR="00EF5200"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 xml:space="preserve">these releases, it </w:t>
      </w:r>
      <w:r w:rsidRPr="00147D0A">
        <w:rPr>
          <w:rFonts w:ascii="Arial Hebrew" w:hAnsi="Arial Hebrew" w:cs="Arial Hebrew" w:hint="cs"/>
          <w:color w:val="000000" w:themeColor="text1"/>
          <w:sz w:val="20"/>
          <w:szCs w:val="20"/>
        </w:rPr>
        <w:t>reduces their relevance for time-sensitive credit assessments.</w:t>
      </w:r>
      <w:r w:rsidRPr="00147D0A">
        <w:rPr>
          <w:rStyle w:val="FootnoteReference"/>
          <w:rFonts w:ascii="Arial Hebrew" w:hAnsi="Arial Hebrew" w:cs="Arial Hebrew" w:hint="cs"/>
          <w:color w:val="000000" w:themeColor="text1"/>
          <w:sz w:val="20"/>
          <w:szCs w:val="20"/>
        </w:rPr>
        <w:footnoteReference w:id="29"/>
      </w:r>
      <w:r w:rsidRPr="00147D0A">
        <w:rPr>
          <w:rFonts w:ascii="Arial Hebrew" w:hAnsi="Arial Hebrew" w:cs="Arial Hebrew" w:hint="cs"/>
          <w:color w:val="000000" w:themeColor="text1"/>
          <w:sz w:val="20"/>
          <w:szCs w:val="20"/>
        </w:rPr>
        <w:t xml:space="preserve"> </w:t>
      </w:r>
      <w:r w:rsidR="00976965" w:rsidRPr="00147D0A">
        <w:rPr>
          <w:rFonts w:ascii="Arial Hebrew" w:hAnsi="Arial Hebrew" w:cs="Arial Hebrew" w:hint="cs"/>
          <w:color w:val="000000" w:themeColor="text1"/>
          <w:sz w:val="20"/>
          <w:szCs w:val="20"/>
        </w:rPr>
        <w:t xml:space="preserve">However, </w:t>
      </w:r>
      <w:r w:rsidR="00F523F5" w:rsidRPr="00147D0A">
        <w:rPr>
          <w:rFonts w:ascii="Arial Hebrew" w:hAnsi="Arial Hebrew" w:cs="Arial Hebrew" w:hint="cs"/>
          <w:color w:val="000000" w:themeColor="text1"/>
          <w:sz w:val="20"/>
          <w:szCs w:val="20"/>
        </w:rPr>
        <w:t>a few</w:t>
      </w:r>
      <w:r w:rsidR="00976965" w:rsidRPr="00147D0A">
        <w:rPr>
          <w:rFonts w:ascii="Arial Hebrew" w:hAnsi="Arial Hebrew" w:cs="Arial Hebrew" w:hint="cs"/>
          <w:color w:val="000000" w:themeColor="text1"/>
          <w:sz w:val="20"/>
          <w:szCs w:val="20"/>
        </w:rPr>
        <w:t xml:space="preserve"> nations </w:t>
      </w:r>
      <w:r w:rsidR="00F523F5" w:rsidRPr="00147D0A">
        <w:rPr>
          <w:rFonts w:ascii="Arial Hebrew" w:hAnsi="Arial Hebrew" w:cs="Arial Hebrew" w:hint="cs"/>
          <w:color w:val="000000" w:themeColor="text1"/>
          <w:sz w:val="20"/>
          <w:szCs w:val="20"/>
        </w:rPr>
        <w:t xml:space="preserve">at </w:t>
      </w:r>
      <w:r w:rsidR="0095758E" w:rsidRPr="00147D0A">
        <w:rPr>
          <w:rFonts w:ascii="Arial Hebrew" w:hAnsi="Arial Hebrew" w:cs="Arial Hebrew" w:hint="cs"/>
          <w:color w:val="000000" w:themeColor="text1"/>
          <w:sz w:val="20"/>
          <w:szCs w:val="20"/>
        </w:rPr>
        <w:t xml:space="preserve">an </w:t>
      </w:r>
      <w:r w:rsidR="00F523F5" w:rsidRPr="00147D0A">
        <w:rPr>
          <w:rFonts w:ascii="Arial Hebrew" w:hAnsi="Arial Hebrew" w:cs="Arial Hebrew" w:hint="cs"/>
          <w:color w:val="000000" w:themeColor="text1"/>
          <w:sz w:val="20"/>
          <w:szCs w:val="20"/>
        </w:rPr>
        <w:t xml:space="preserve">advanced stage of digital government maturity have </w:t>
      </w:r>
      <w:r w:rsidR="00EF5200" w:rsidRPr="00147D0A">
        <w:rPr>
          <w:rFonts w:ascii="Arial Hebrew" w:hAnsi="Arial Hebrew" w:cs="Arial Hebrew" w:hint="cs"/>
          <w:color w:val="000000" w:themeColor="text1"/>
          <w:sz w:val="20"/>
          <w:szCs w:val="20"/>
        </w:rPr>
        <w:t>implement</w:t>
      </w:r>
      <w:r w:rsidR="0095758E" w:rsidRPr="00147D0A">
        <w:rPr>
          <w:rFonts w:ascii="Arial Hebrew" w:hAnsi="Arial Hebrew" w:cs="Arial Hebrew" w:hint="cs"/>
          <w:color w:val="000000" w:themeColor="text1"/>
          <w:sz w:val="20"/>
          <w:szCs w:val="20"/>
        </w:rPr>
        <w:t>ed integrated national</w:t>
      </w:r>
      <w:r w:rsidR="00DF5143" w:rsidRPr="00147D0A">
        <w:rPr>
          <w:rFonts w:ascii="Arial Hebrew" w:hAnsi="Arial Hebrew" w:cs="Arial Hebrew" w:hint="cs"/>
          <w:color w:val="000000" w:themeColor="text1"/>
          <w:sz w:val="20"/>
          <w:szCs w:val="20"/>
        </w:rPr>
        <w:t xml:space="preserve"> systems</w:t>
      </w:r>
      <w:r w:rsidR="0095758E" w:rsidRPr="00147D0A">
        <w:rPr>
          <w:rFonts w:ascii="Arial Hebrew" w:hAnsi="Arial Hebrew" w:cs="Arial Hebrew" w:hint="cs"/>
          <w:color w:val="000000" w:themeColor="text1"/>
          <w:sz w:val="20"/>
          <w:szCs w:val="20"/>
        </w:rPr>
        <w:t xml:space="preserve"> that</w:t>
      </w:r>
      <w:r w:rsidR="00DF5143" w:rsidRPr="00147D0A">
        <w:rPr>
          <w:rFonts w:ascii="Arial Hebrew" w:hAnsi="Arial Hebrew" w:cs="Arial Hebrew" w:hint="cs"/>
          <w:color w:val="000000" w:themeColor="text1"/>
          <w:sz w:val="20"/>
          <w:szCs w:val="20"/>
        </w:rPr>
        <w:t xml:space="preserve"> support </w:t>
      </w:r>
      <w:r w:rsidR="00976965" w:rsidRPr="00147D0A">
        <w:rPr>
          <w:rFonts w:ascii="Arial Hebrew" w:hAnsi="Arial Hebrew" w:cs="Arial Hebrew" w:hint="cs"/>
          <w:color w:val="000000" w:themeColor="text1"/>
          <w:sz w:val="20"/>
          <w:szCs w:val="20"/>
        </w:rPr>
        <w:t>real-time service quality measurement</w:t>
      </w:r>
      <w:r w:rsidR="00F523F5" w:rsidRPr="00147D0A">
        <w:rPr>
          <w:rFonts w:ascii="Arial Hebrew" w:hAnsi="Arial Hebrew" w:cs="Arial Hebrew" w:hint="cs"/>
          <w:color w:val="000000" w:themeColor="text1"/>
          <w:sz w:val="20"/>
          <w:szCs w:val="20"/>
        </w:rPr>
        <w:t>:</w:t>
      </w:r>
      <w:r w:rsidR="00976965" w:rsidRPr="00147D0A">
        <w:rPr>
          <w:rFonts w:ascii="Arial Hebrew" w:hAnsi="Arial Hebrew" w:cs="Arial Hebrew" w:hint="cs"/>
          <w:color w:val="000000" w:themeColor="text1"/>
          <w:sz w:val="20"/>
          <w:szCs w:val="20"/>
        </w:rPr>
        <w:t xml:space="preserve"> </w:t>
      </w:r>
    </w:p>
    <w:p w14:paraId="20E36D64" w14:textId="1A326060" w:rsidR="001B5563" w:rsidRPr="00147D0A" w:rsidRDefault="001B5563" w:rsidP="008B7E65">
      <w:pPr>
        <w:pStyle w:val="ListParagraph"/>
        <w:numPr>
          <w:ilvl w:val="0"/>
          <w:numId w:val="67"/>
        </w:numPr>
        <w:spacing w:line="360" w:lineRule="auto"/>
        <w:rPr>
          <w:rFonts w:ascii="Arial Hebrew" w:hAnsi="Arial Hebrew" w:cs="Arial Hebrew"/>
          <w:color w:val="000000" w:themeColor="text1"/>
          <w:sz w:val="20"/>
          <w:szCs w:val="20"/>
        </w:rPr>
      </w:pPr>
      <w:r w:rsidRPr="00147D0A">
        <w:rPr>
          <w:rFonts w:ascii="Arial Hebrew" w:hAnsi="Arial Hebrew" w:cs="Arial Hebrew" w:hint="cs"/>
          <w:b/>
          <w:bCs/>
          <w:color w:val="000000" w:themeColor="text1"/>
          <w:sz w:val="20"/>
          <w:szCs w:val="20"/>
        </w:rPr>
        <w:t xml:space="preserve">South Korea's Government 24: </w:t>
      </w:r>
      <w:r w:rsidRPr="00147D0A">
        <w:rPr>
          <w:rFonts w:ascii="Arial Hebrew" w:hAnsi="Arial Hebrew" w:cs="Arial Hebrew" w:hint="cs"/>
          <w:color w:val="000000" w:themeColor="text1"/>
          <w:sz w:val="20"/>
          <w:szCs w:val="20"/>
        </w:rPr>
        <w:t xml:space="preserve">This integrated </w:t>
      </w:r>
      <w:r w:rsidR="00D362A3" w:rsidRPr="00147D0A">
        <w:rPr>
          <w:rFonts w:ascii="Arial Hebrew" w:hAnsi="Arial Hebrew" w:cs="Arial Hebrew" w:hint="cs"/>
          <w:color w:val="000000" w:themeColor="text1"/>
          <w:sz w:val="20"/>
          <w:szCs w:val="20"/>
        </w:rPr>
        <w:t xml:space="preserve">government services </w:t>
      </w:r>
      <w:r w:rsidRPr="00147D0A">
        <w:rPr>
          <w:rFonts w:ascii="Arial Hebrew" w:hAnsi="Arial Hebrew" w:cs="Arial Hebrew" w:hint="cs"/>
          <w:color w:val="000000" w:themeColor="text1"/>
          <w:sz w:val="20"/>
          <w:szCs w:val="20"/>
        </w:rPr>
        <w:t xml:space="preserve">portal tracks real-time service delivery metrics – e.g. processing times, success rates, </w:t>
      </w:r>
      <w:r w:rsidR="00D362A3" w:rsidRPr="00147D0A">
        <w:rPr>
          <w:rFonts w:ascii="Arial Hebrew" w:hAnsi="Arial Hebrew" w:cs="Arial Hebrew" w:hint="cs"/>
          <w:color w:val="000000" w:themeColor="text1"/>
          <w:sz w:val="20"/>
          <w:szCs w:val="20"/>
        </w:rPr>
        <w:t xml:space="preserve">and </w:t>
      </w:r>
      <w:r w:rsidRPr="00147D0A">
        <w:rPr>
          <w:rFonts w:ascii="Arial Hebrew" w:hAnsi="Arial Hebrew" w:cs="Arial Hebrew" w:hint="cs"/>
          <w:color w:val="000000" w:themeColor="text1"/>
          <w:sz w:val="20"/>
          <w:szCs w:val="20"/>
        </w:rPr>
        <w:t xml:space="preserve">user volumes – across over 4,000 administrative services. Performance dashboards enable identification and resolution of </w:t>
      </w:r>
      <w:r w:rsidR="00D362A3" w:rsidRPr="00147D0A">
        <w:rPr>
          <w:rFonts w:ascii="Arial Hebrew" w:hAnsi="Arial Hebrew" w:cs="Arial Hebrew" w:hint="cs"/>
          <w:color w:val="000000" w:themeColor="text1"/>
          <w:sz w:val="20"/>
          <w:szCs w:val="20"/>
        </w:rPr>
        <w:t>service problems</w:t>
      </w:r>
      <w:r w:rsidRPr="00147D0A">
        <w:rPr>
          <w:rFonts w:ascii="Arial Hebrew" w:hAnsi="Arial Hebrew" w:cs="Arial Hebrew" w:hint="cs"/>
          <w:color w:val="000000" w:themeColor="text1"/>
          <w:sz w:val="20"/>
          <w:szCs w:val="20"/>
        </w:rPr>
        <w:t>.</w:t>
      </w:r>
    </w:p>
    <w:p w14:paraId="372AF68D" w14:textId="0F54A3DA" w:rsidR="00830618" w:rsidRPr="00147D0A" w:rsidRDefault="001B5563" w:rsidP="008B7E65">
      <w:pPr>
        <w:pStyle w:val="ListParagraph"/>
        <w:numPr>
          <w:ilvl w:val="0"/>
          <w:numId w:val="67"/>
        </w:numPr>
        <w:spacing w:line="360" w:lineRule="auto"/>
        <w:rPr>
          <w:rFonts w:ascii="Arial Hebrew" w:hAnsi="Arial Hebrew" w:cs="Arial Hebrew"/>
          <w:color w:val="000000" w:themeColor="text1"/>
          <w:sz w:val="20"/>
          <w:szCs w:val="20"/>
        </w:rPr>
      </w:pPr>
      <w:r w:rsidRPr="00147D0A">
        <w:rPr>
          <w:rFonts w:ascii="Arial Hebrew" w:hAnsi="Arial Hebrew" w:cs="Arial Hebrew" w:hint="cs"/>
          <w:b/>
          <w:bCs/>
          <w:color w:val="000000" w:themeColor="text1"/>
          <w:sz w:val="20"/>
          <w:szCs w:val="20"/>
        </w:rPr>
        <w:t>Singapore's Whole-of-Government Application Analytics (WOGAA):</w:t>
      </w:r>
      <w:r w:rsidRPr="00147D0A">
        <w:rPr>
          <w:rFonts w:ascii="Arial Hebrew" w:hAnsi="Arial Hebrew" w:cs="Arial Hebrew" w:hint="cs"/>
          <w:color w:val="000000" w:themeColor="text1"/>
          <w:sz w:val="20"/>
          <w:szCs w:val="20"/>
        </w:rPr>
        <w:t xml:space="preserve"> This centralized </w:t>
      </w:r>
      <w:r w:rsidR="007C5D03" w:rsidRPr="00147D0A">
        <w:rPr>
          <w:rFonts w:ascii="Arial Hebrew" w:hAnsi="Arial Hebrew" w:cs="Arial Hebrew" w:hint="cs"/>
          <w:color w:val="000000" w:themeColor="text1"/>
          <w:sz w:val="20"/>
          <w:szCs w:val="20"/>
        </w:rPr>
        <w:t xml:space="preserve">government </w:t>
      </w:r>
      <w:r w:rsidRPr="00147D0A">
        <w:rPr>
          <w:rFonts w:ascii="Arial Hebrew" w:hAnsi="Arial Hebrew" w:cs="Arial Hebrew" w:hint="cs"/>
          <w:color w:val="000000" w:themeColor="text1"/>
          <w:sz w:val="20"/>
          <w:szCs w:val="20"/>
        </w:rPr>
        <w:t xml:space="preserve">system provides live monitoring of user interactions, service completion rates, system performance, and integrated post-transaction satisfaction surveys across all major government digital services. </w:t>
      </w:r>
    </w:p>
    <w:p w14:paraId="35B88440" w14:textId="4F08E8DA" w:rsidR="00F523F5" w:rsidRPr="00147D0A" w:rsidRDefault="001B5563" w:rsidP="008B7E65">
      <w:pPr>
        <w:pStyle w:val="ListParagraph"/>
        <w:numPr>
          <w:ilvl w:val="0"/>
          <w:numId w:val="67"/>
        </w:numPr>
        <w:spacing w:line="360" w:lineRule="auto"/>
        <w:rPr>
          <w:rFonts w:ascii="Arial Hebrew" w:hAnsi="Arial Hebrew" w:cs="Arial Hebrew"/>
          <w:color w:val="000000" w:themeColor="text1"/>
          <w:sz w:val="20"/>
          <w:szCs w:val="20"/>
        </w:rPr>
      </w:pPr>
      <w:r w:rsidRPr="00147D0A">
        <w:rPr>
          <w:rFonts w:ascii="Arial Hebrew" w:hAnsi="Arial Hebrew" w:cs="Arial Hebrew" w:hint="cs"/>
          <w:b/>
          <w:bCs/>
          <w:color w:val="000000" w:themeColor="text1"/>
          <w:sz w:val="20"/>
          <w:szCs w:val="20"/>
        </w:rPr>
        <w:t xml:space="preserve">Estonia's X-Road Infrastructure: </w:t>
      </w:r>
      <w:r w:rsidR="007C5D03" w:rsidRPr="00147D0A">
        <w:rPr>
          <w:rFonts w:ascii="Arial Hebrew" w:hAnsi="Arial Hebrew" w:cs="Arial Hebrew" w:hint="cs"/>
          <w:color w:val="000000" w:themeColor="text1"/>
          <w:sz w:val="20"/>
          <w:szCs w:val="20"/>
        </w:rPr>
        <w:t>This</w:t>
      </w:r>
      <w:r w:rsidRPr="00147D0A">
        <w:rPr>
          <w:rFonts w:ascii="Arial Hebrew" w:hAnsi="Arial Hebrew" w:cs="Arial Hebrew" w:hint="cs"/>
          <w:color w:val="000000" w:themeColor="text1"/>
          <w:sz w:val="20"/>
          <w:szCs w:val="20"/>
        </w:rPr>
        <w:t xml:space="preserve"> secure data exchange layer </w:t>
      </w:r>
      <w:r w:rsidR="007C5D03" w:rsidRPr="00147D0A">
        <w:rPr>
          <w:rFonts w:ascii="Arial Hebrew" w:hAnsi="Arial Hebrew" w:cs="Arial Hebrew" w:hint="cs"/>
          <w:color w:val="000000" w:themeColor="text1"/>
          <w:sz w:val="20"/>
          <w:szCs w:val="20"/>
        </w:rPr>
        <w:t xml:space="preserve">used across government </w:t>
      </w:r>
      <w:r w:rsidRPr="00147D0A">
        <w:rPr>
          <w:rFonts w:ascii="Arial Hebrew" w:hAnsi="Arial Hebrew" w:cs="Arial Hebrew" w:hint="cs"/>
          <w:color w:val="000000" w:themeColor="text1"/>
          <w:sz w:val="20"/>
          <w:szCs w:val="20"/>
        </w:rPr>
        <w:t>mandat</w:t>
      </w:r>
      <w:r w:rsidR="007C5D03" w:rsidRPr="00147D0A">
        <w:rPr>
          <w:rFonts w:ascii="Arial Hebrew" w:hAnsi="Arial Hebrew" w:cs="Arial Hebrew" w:hint="cs"/>
          <w:color w:val="000000" w:themeColor="text1"/>
          <w:sz w:val="20"/>
          <w:szCs w:val="20"/>
        </w:rPr>
        <w:t>es</w:t>
      </w:r>
      <w:r w:rsidRPr="00147D0A">
        <w:rPr>
          <w:rFonts w:ascii="Arial Hebrew" w:hAnsi="Arial Hebrew" w:cs="Arial Hebrew" w:hint="cs"/>
          <w:color w:val="000000" w:themeColor="text1"/>
          <w:sz w:val="20"/>
          <w:szCs w:val="20"/>
        </w:rPr>
        <w:t xml:space="preserve"> signed logging of every transaction</w:t>
      </w:r>
      <w:r w:rsidR="007C5D03" w:rsidRPr="00147D0A">
        <w:rPr>
          <w:rFonts w:ascii="Arial Hebrew" w:hAnsi="Arial Hebrew" w:cs="Arial Hebrew" w:hint="cs"/>
          <w:color w:val="000000" w:themeColor="text1"/>
          <w:sz w:val="20"/>
          <w:szCs w:val="20"/>
        </w:rPr>
        <w:t xml:space="preserve"> and</w:t>
      </w:r>
      <w:r w:rsidRPr="00147D0A">
        <w:rPr>
          <w:rFonts w:ascii="Arial Hebrew" w:hAnsi="Arial Hebrew" w:cs="Arial Hebrew" w:hint="cs"/>
          <w:color w:val="000000" w:themeColor="text1"/>
          <w:sz w:val="20"/>
          <w:szCs w:val="20"/>
        </w:rPr>
        <w:t xml:space="preserve"> generates continuous performance data</w:t>
      </w:r>
      <w:r w:rsidR="007C5D03" w:rsidRPr="00147D0A">
        <w:rPr>
          <w:rFonts w:ascii="Arial Hebrew" w:hAnsi="Arial Hebrew" w:cs="Arial Hebrew" w:hint="cs"/>
          <w:color w:val="000000" w:themeColor="text1"/>
          <w:sz w:val="20"/>
          <w:szCs w:val="20"/>
        </w:rPr>
        <w:t>,</w:t>
      </w:r>
      <w:r w:rsidR="00830618" w:rsidRPr="00147D0A">
        <w:rPr>
          <w:rFonts w:ascii="Arial Hebrew" w:hAnsi="Arial Hebrew" w:cs="Arial Hebrew" w:hint="cs"/>
          <w:color w:val="000000" w:themeColor="text1"/>
          <w:sz w:val="20"/>
          <w:szCs w:val="20"/>
        </w:rPr>
        <w:t xml:space="preserve"> which</w:t>
      </w:r>
      <w:r w:rsidRPr="00147D0A">
        <w:rPr>
          <w:rFonts w:ascii="Arial Hebrew" w:hAnsi="Arial Hebrew" w:cs="Arial Hebrew" w:hint="cs"/>
          <w:color w:val="000000" w:themeColor="text1"/>
          <w:sz w:val="20"/>
          <w:szCs w:val="20"/>
        </w:rPr>
        <w:t xml:space="preserve"> feeds into monitoring systems that track service availability</w:t>
      </w:r>
      <w:r w:rsidR="00423BA1" w:rsidRPr="00147D0A">
        <w:rPr>
          <w:rFonts w:ascii="Arial Hebrew" w:hAnsi="Arial Hebrew" w:cs="Arial Hebrew" w:hint="cs"/>
          <w:color w:val="000000" w:themeColor="text1"/>
          <w:sz w:val="20"/>
          <w:szCs w:val="20"/>
        </w:rPr>
        <w:t xml:space="preserve"> and</w:t>
      </w:r>
      <w:r w:rsidRPr="00147D0A">
        <w:rPr>
          <w:rFonts w:ascii="Arial Hebrew" w:hAnsi="Arial Hebrew" w:cs="Arial Hebrew" w:hint="cs"/>
          <w:color w:val="000000" w:themeColor="text1"/>
          <w:sz w:val="20"/>
          <w:szCs w:val="20"/>
        </w:rPr>
        <w:t xml:space="preserve"> response times, enabling real-time oversight of delivery.</w:t>
      </w:r>
    </w:p>
    <w:p w14:paraId="154A02F5" w14:textId="7B7DC980" w:rsidR="001B5563" w:rsidRPr="00147D0A" w:rsidRDefault="00976965" w:rsidP="00830618">
      <w:pPr>
        <w:spacing w:after="240" w:line="360" w:lineRule="auto"/>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These digital performance tracking systems show that</w:t>
      </w:r>
      <w:r w:rsidR="001B5563" w:rsidRPr="00147D0A">
        <w:rPr>
          <w:rFonts w:ascii="Arial Hebrew" w:hAnsi="Arial Hebrew" w:cs="Arial Hebrew" w:hint="cs"/>
          <w:color w:val="000000" w:themeColor="text1"/>
          <w:sz w:val="20"/>
          <w:szCs w:val="20"/>
        </w:rPr>
        <w:t xml:space="preserve"> real (or near-real time)</w:t>
      </w:r>
      <w:r w:rsidRPr="00147D0A">
        <w:rPr>
          <w:rFonts w:ascii="Arial Hebrew" w:hAnsi="Arial Hebrew" w:cs="Arial Hebrew" w:hint="cs"/>
          <w:color w:val="000000" w:themeColor="text1"/>
          <w:sz w:val="20"/>
          <w:szCs w:val="20"/>
        </w:rPr>
        <w:t xml:space="preserve"> </w:t>
      </w:r>
      <w:r w:rsidR="001B5563" w:rsidRPr="00147D0A">
        <w:rPr>
          <w:rFonts w:ascii="Arial Hebrew" w:hAnsi="Arial Hebrew" w:cs="Arial Hebrew" w:hint="cs"/>
          <w:color w:val="000000" w:themeColor="text1"/>
          <w:sz w:val="20"/>
          <w:szCs w:val="20"/>
        </w:rPr>
        <w:t xml:space="preserve">government service performance tracking </w:t>
      </w:r>
      <w:r w:rsidR="00DF5143" w:rsidRPr="00147D0A">
        <w:rPr>
          <w:rFonts w:ascii="Arial Hebrew" w:hAnsi="Arial Hebrew" w:cs="Arial Hebrew" w:hint="cs"/>
          <w:color w:val="000000" w:themeColor="text1"/>
          <w:sz w:val="20"/>
          <w:szCs w:val="20"/>
        </w:rPr>
        <w:t xml:space="preserve">is a realistic prospect with </w:t>
      </w:r>
      <w:r w:rsidR="00B96273" w:rsidRPr="00147D0A">
        <w:rPr>
          <w:rFonts w:ascii="Arial Hebrew" w:hAnsi="Arial Hebrew" w:cs="Arial Hebrew" w:hint="cs"/>
          <w:color w:val="000000" w:themeColor="text1"/>
          <w:sz w:val="20"/>
          <w:szCs w:val="20"/>
        </w:rPr>
        <w:t xml:space="preserve">existing </w:t>
      </w:r>
      <w:r w:rsidR="00DF5143" w:rsidRPr="00147D0A">
        <w:rPr>
          <w:rFonts w:ascii="Arial Hebrew" w:hAnsi="Arial Hebrew" w:cs="Arial Hebrew" w:hint="cs"/>
          <w:color w:val="000000" w:themeColor="text1"/>
          <w:sz w:val="20"/>
          <w:szCs w:val="20"/>
        </w:rPr>
        <w:t xml:space="preserve">technology. </w:t>
      </w:r>
      <w:r w:rsidR="001B5563" w:rsidRPr="00147D0A">
        <w:rPr>
          <w:rFonts w:ascii="Arial Hebrew" w:hAnsi="Arial Hebrew" w:cs="Arial Hebrew" w:hint="cs"/>
          <w:color w:val="000000" w:themeColor="text1"/>
          <w:sz w:val="20"/>
          <w:szCs w:val="20"/>
        </w:rPr>
        <w:t>As digital government maturity progresses</w:t>
      </w:r>
      <w:r w:rsidRPr="00147D0A">
        <w:rPr>
          <w:rFonts w:ascii="Arial Hebrew" w:hAnsi="Arial Hebrew" w:cs="Arial Hebrew" w:hint="cs"/>
          <w:color w:val="000000" w:themeColor="text1"/>
          <w:sz w:val="20"/>
          <w:szCs w:val="20"/>
        </w:rPr>
        <w:t xml:space="preserve"> </w:t>
      </w:r>
      <w:r w:rsidR="001B5563" w:rsidRPr="00147D0A">
        <w:rPr>
          <w:rFonts w:ascii="Arial Hebrew" w:hAnsi="Arial Hebrew" w:cs="Arial Hebrew" w:hint="cs"/>
          <w:color w:val="000000" w:themeColor="text1"/>
          <w:sz w:val="20"/>
          <w:szCs w:val="20"/>
        </w:rPr>
        <w:t xml:space="preserve">worldwide, </w:t>
      </w:r>
      <w:r w:rsidR="00423BA1" w:rsidRPr="00147D0A">
        <w:rPr>
          <w:rFonts w:ascii="Arial Hebrew" w:hAnsi="Arial Hebrew" w:cs="Arial Hebrew" w:hint="cs"/>
          <w:color w:val="000000" w:themeColor="text1"/>
          <w:sz w:val="20"/>
          <w:szCs w:val="20"/>
        </w:rPr>
        <w:t>systems for</w:t>
      </w:r>
      <w:r w:rsidR="001B5563" w:rsidRPr="00147D0A">
        <w:rPr>
          <w:rFonts w:ascii="Arial Hebrew" w:hAnsi="Arial Hebrew" w:cs="Arial Hebrew" w:hint="cs"/>
          <w:color w:val="000000" w:themeColor="text1"/>
          <w:sz w:val="20"/>
          <w:szCs w:val="20"/>
        </w:rPr>
        <w:t xml:space="preserve"> government</w:t>
      </w:r>
      <w:r w:rsidR="00DF5143"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service</w:t>
      </w:r>
      <w:r w:rsidR="001B5563"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quality </w:t>
      </w:r>
      <w:r w:rsidR="001B5563" w:rsidRPr="00147D0A">
        <w:rPr>
          <w:rFonts w:ascii="Arial Hebrew" w:hAnsi="Arial Hebrew" w:cs="Arial Hebrew" w:hint="cs"/>
          <w:color w:val="000000" w:themeColor="text1"/>
          <w:sz w:val="20"/>
          <w:szCs w:val="20"/>
        </w:rPr>
        <w:t>measurement</w:t>
      </w:r>
      <w:r w:rsidRPr="00147D0A">
        <w:rPr>
          <w:rFonts w:ascii="Arial Hebrew" w:hAnsi="Arial Hebrew" w:cs="Arial Hebrew" w:hint="cs"/>
          <w:color w:val="000000" w:themeColor="text1"/>
          <w:sz w:val="20"/>
          <w:szCs w:val="20"/>
        </w:rPr>
        <w:t xml:space="preserve"> </w:t>
      </w:r>
      <w:r w:rsidR="00B96273" w:rsidRPr="00147D0A">
        <w:rPr>
          <w:rFonts w:ascii="Arial Hebrew" w:hAnsi="Arial Hebrew" w:cs="Arial Hebrew" w:hint="cs"/>
          <w:color w:val="000000" w:themeColor="text1"/>
          <w:sz w:val="20"/>
          <w:szCs w:val="20"/>
        </w:rPr>
        <w:t xml:space="preserve">can </w:t>
      </w:r>
      <w:r w:rsidR="001B5563" w:rsidRPr="00147D0A">
        <w:rPr>
          <w:rFonts w:ascii="Arial Hebrew" w:hAnsi="Arial Hebrew" w:cs="Arial Hebrew" w:hint="cs"/>
          <w:color w:val="000000" w:themeColor="text1"/>
          <w:sz w:val="20"/>
          <w:szCs w:val="20"/>
        </w:rPr>
        <w:t>begin to support the</w:t>
      </w:r>
      <w:r w:rsidR="00423BA1" w:rsidRPr="00147D0A">
        <w:rPr>
          <w:rFonts w:ascii="Arial Hebrew" w:hAnsi="Arial Hebrew" w:cs="Arial Hebrew" w:hint="cs"/>
          <w:color w:val="000000" w:themeColor="text1"/>
          <w:sz w:val="20"/>
          <w:szCs w:val="20"/>
        </w:rPr>
        <w:t xml:space="preserve"> development of far more</w:t>
      </w:r>
      <w:r w:rsidRPr="00147D0A">
        <w:rPr>
          <w:rFonts w:ascii="Arial Hebrew" w:hAnsi="Arial Hebrew" w:cs="Arial Hebrew" w:hint="cs"/>
          <w:color w:val="000000" w:themeColor="text1"/>
          <w:sz w:val="20"/>
          <w:szCs w:val="20"/>
        </w:rPr>
        <w:t xml:space="preserve"> timely, objective, and granular</w:t>
      </w:r>
      <w:r w:rsidR="001B5563" w:rsidRPr="00147D0A">
        <w:rPr>
          <w:rFonts w:ascii="Arial Hebrew" w:hAnsi="Arial Hebrew" w:cs="Arial Hebrew" w:hint="cs"/>
          <w:color w:val="000000" w:themeColor="text1"/>
          <w:sz w:val="20"/>
          <w:szCs w:val="20"/>
        </w:rPr>
        <w:t xml:space="preserve"> in</w:t>
      </w:r>
      <w:r w:rsidR="00423BA1" w:rsidRPr="00147D0A">
        <w:rPr>
          <w:rFonts w:ascii="Arial Hebrew" w:hAnsi="Arial Hebrew" w:cs="Arial Hebrew" w:hint="cs"/>
          <w:color w:val="000000" w:themeColor="text1"/>
          <w:sz w:val="20"/>
          <w:szCs w:val="20"/>
        </w:rPr>
        <w:t>dicators than those currently relied upon by credit ratings agencies</w:t>
      </w:r>
      <w:r w:rsidRPr="00147D0A">
        <w:rPr>
          <w:rFonts w:ascii="Arial Hebrew" w:hAnsi="Arial Hebrew" w:cs="Arial Hebrew" w:hint="cs"/>
          <w:color w:val="000000" w:themeColor="text1"/>
          <w:sz w:val="20"/>
          <w:szCs w:val="20"/>
        </w:rPr>
        <w:t>.</w:t>
      </w:r>
    </w:p>
    <w:p w14:paraId="2E58BD01" w14:textId="2A8F7D0C" w:rsidR="00423BA1" w:rsidRPr="00147D0A" w:rsidRDefault="008C0104" w:rsidP="0031570D">
      <w:pPr>
        <w:spacing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Incorporating a consistent and transparent measure of service standards into credit assessments </w:t>
      </w:r>
      <w:r w:rsidR="000101C3" w:rsidRPr="00147D0A">
        <w:rPr>
          <w:rFonts w:ascii="Arial Hebrew" w:hAnsi="Arial Hebrew" w:cs="Arial Hebrew" w:hint="cs"/>
          <w:color w:val="000000" w:themeColor="text1"/>
          <w:sz w:val="20"/>
          <w:szCs w:val="20"/>
        </w:rPr>
        <w:t xml:space="preserve">could also </w:t>
      </w:r>
      <w:r w:rsidR="00F475EC" w:rsidRPr="00147D0A">
        <w:rPr>
          <w:rFonts w:ascii="Arial Hebrew" w:hAnsi="Arial Hebrew" w:cs="Arial Hebrew" w:hint="cs"/>
          <w:color w:val="000000" w:themeColor="text1"/>
          <w:sz w:val="20"/>
          <w:szCs w:val="20"/>
        </w:rPr>
        <w:t>address</w:t>
      </w:r>
      <w:r w:rsidR="000101C3" w:rsidRPr="00147D0A">
        <w:rPr>
          <w:rFonts w:ascii="Arial Hebrew" w:hAnsi="Arial Hebrew" w:cs="Arial Hebrew" w:hint="cs"/>
          <w:color w:val="000000" w:themeColor="text1"/>
          <w:sz w:val="20"/>
          <w:szCs w:val="20"/>
        </w:rPr>
        <w:t xml:space="preserve"> an over-emphasis </w:t>
      </w:r>
      <w:r w:rsidRPr="00147D0A">
        <w:rPr>
          <w:rFonts w:ascii="Arial Hebrew" w:hAnsi="Arial Hebrew" w:cs="Arial Hebrew" w:hint="cs"/>
          <w:color w:val="000000" w:themeColor="text1"/>
          <w:sz w:val="20"/>
          <w:szCs w:val="20"/>
        </w:rPr>
        <w:t xml:space="preserve">in existing frameworks </w:t>
      </w:r>
      <w:r w:rsidR="000101C3" w:rsidRPr="00147D0A">
        <w:rPr>
          <w:rFonts w:ascii="Arial Hebrew" w:hAnsi="Arial Hebrew" w:cs="Arial Hebrew" w:hint="cs"/>
          <w:color w:val="000000" w:themeColor="text1"/>
          <w:sz w:val="20"/>
          <w:szCs w:val="20"/>
        </w:rPr>
        <w:t xml:space="preserve">on the flexibility of governments to reduce expenditure </w:t>
      </w:r>
      <w:r w:rsidRPr="00147D0A">
        <w:rPr>
          <w:rFonts w:ascii="Arial Hebrew" w:hAnsi="Arial Hebrew" w:cs="Arial Hebrew" w:hint="cs"/>
          <w:color w:val="000000" w:themeColor="text1"/>
          <w:sz w:val="20"/>
          <w:szCs w:val="20"/>
        </w:rPr>
        <w:t xml:space="preserve">through </w:t>
      </w:r>
      <w:r w:rsidR="00F22E72" w:rsidRPr="00147D0A">
        <w:rPr>
          <w:rFonts w:ascii="Arial Hebrew" w:hAnsi="Arial Hebrew" w:cs="Arial Hebrew" w:hint="cs"/>
          <w:color w:val="000000" w:themeColor="text1"/>
          <w:sz w:val="20"/>
          <w:szCs w:val="20"/>
        </w:rPr>
        <w:t xml:space="preserve">service </w:t>
      </w:r>
      <w:r w:rsidRPr="00147D0A">
        <w:rPr>
          <w:rFonts w:ascii="Arial Hebrew" w:hAnsi="Arial Hebrew" w:cs="Arial Hebrew" w:hint="cs"/>
          <w:color w:val="000000" w:themeColor="text1"/>
          <w:sz w:val="20"/>
          <w:szCs w:val="20"/>
        </w:rPr>
        <w:t>cuts.</w:t>
      </w:r>
      <w:r w:rsidR="00830618" w:rsidRPr="00147D0A">
        <w:rPr>
          <w:rFonts w:ascii="Arial Hebrew" w:hAnsi="Arial Hebrew" w:cs="Arial Hebrew" w:hint="cs"/>
          <w:color w:val="000000" w:themeColor="text1"/>
          <w:sz w:val="20"/>
          <w:szCs w:val="20"/>
        </w:rPr>
        <w:t xml:space="preserve"> This is</w:t>
      </w:r>
      <w:r w:rsidR="00F475EC" w:rsidRPr="00147D0A">
        <w:rPr>
          <w:rFonts w:ascii="Arial Hebrew" w:hAnsi="Arial Hebrew" w:cs="Arial Hebrew" w:hint="cs"/>
          <w:color w:val="000000" w:themeColor="text1"/>
          <w:sz w:val="20"/>
          <w:szCs w:val="20"/>
        </w:rPr>
        <w:t xml:space="preserve"> especially </w:t>
      </w:r>
      <w:r w:rsidR="00830618" w:rsidRPr="00147D0A">
        <w:rPr>
          <w:rFonts w:ascii="Arial Hebrew" w:hAnsi="Arial Hebrew" w:cs="Arial Hebrew" w:hint="cs"/>
          <w:color w:val="000000" w:themeColor="text1"/>
          <w:sz w:val="20"/>
          <w:szCs w:val="20"/>
        </w:rPr>
        <w:t>true of</w:t>
      </w:r>
      <w:r w:rsidR="00F475EC" w:rsidRPr="00147D0A">
        <w:rPr>
          <w:rFonts w:ascii="Arial Hebrew" w:hAnsi="Arial Hebrew" w:cs="Arial Hebrew" w:hint="cs"/>
          <w:color w:val="000000" w:themeColor="text1"/>
          <w:sz w:val="20"/>
          <w:szCs w:val="20"/>
        </w:rPr>
        <w:t xml:space="preserve"> sub-sovereign assessments</w:t>
      </w:r>
      <w:r w:rsidR="00830618" w:rsidRPr="00147D0A">
        <w:rPr>
          <w:rFonts w:ascii="Arial Hebrew" w:hAnsi="Arial Hebrew" w:cs="Arial Hebrew" w:hint="cs"/>
          <w:color w:val="000000" w:themeColor="text1"/>
          <w:sz w:val="20"/>
          <w:szCs w:val="20"/>
        </w:rPr>
        <w:t xml:space="preserve">, where </w:t>
      </w:r>
      <w:r w:rsidR="0087257F" w:rsidRPr="00147D0A">
        <w:rPr>
          <w:rFonts w:ascii="Arial Hebrew" w:hAnsi="Arial Hebrew" w:cs="Arial Hebrew" w:hint="cs"/>
          <w:color w:val="000000" w:themeColor="text1"/>
          <w:sz w:val="20"/>
          <w:szCs w:val="20"/>
        </w:rPr>
        <w:t>such</w:t>
      </w:r>
      <w:r w:rsidR="00830618" w:rsidRPr="00147D0A">
        <w:rPr>
          <w:rFonts w:ascii="Arial Hebrew" w:hAnsi="Arial Hebrew" w:cs="Arial Hebrew" w:hint="cs"/>
          <w:color w:val="000000" w:themeColor="text1"/>
          <w:sz w:val="20"/>
          <w:szCs w:val="20"/>
        </w:rPr>
        <w:t xml:space="preserve"> flexibility constitutes a primary</w:t>
      </w:r>
      <w:r w:rsidR="008B7E65" w:rsidRPr="00147D0A">
        <w:rPr>
          <w:rFonts w:ascii="Arial Hebrew" w:hAnsi="Arial Hebrew" w:cs="Arial Hebrew" w:hint="cs"/>
          <w:color w:val="000000" w:themeColor="text1"/>
          <w:sz w:val="20"/>
          <w:szCs w:val="20"/>
        </w:rPr>
        <w:t xml:space="preserve"> element</w:t>
      </w:r>
      <w:r w:rsidR="00830618" w:rsidRPr="00147D0A">
        <w:rPr>
          <w:rFonts w:ascii="Arial Hebrew" w:hAnsi="Arial Hebrew" w:cs="Arial Hebrew" w:hint="cs"/>
          <w:color w:val="000000" w:themeColor="text1"/>
          <w:sz w:val="20"/>
          <w:szCs w:val="20"/>
        </w:rPr>
        <w:t xml:space="preserve"> </w:t>
      </w:r>
      <w:r w:rsidR="008B7E65" w:rsidRPr="00147D0A">
        <w:rPr>
          <w:rFonts w:ascii="Arial Hebrew" w:hAnsi="Arial Hebrew" w:cs="Arial Hebrew" w:hint="cs"/>
          <w:color w:val="000000" w:themeColor="text1"/>
          <w:sz w:val="20"/>
          <w:szCs w:val="20"/>
        </w:rPr>
        <w:t xml:space="preserve">in evaluating </w:t>
      </w:r>
      <w:r w:rsidR="00830618" w:rsidRPr="00147D0A">
        <w:rPr>
          <w:rFonts w:ascii="Arial Hebrew" w:hAnsi="Arial Hebrew" w:cs="Arial Hebrew" w:hint="cs"/>
          <w:color w:val="000000" w:themeColor="text1"/>
          <w:sz w:val="20"/>
          <w:szCs w:val="20"/>
        </w:rPr>
        <w:t>institutional and governance</w:t>
      </w:r>
      <w:r w:rsidR="008B7E65" w:rsidRPr="00147D0A">
        <w:rPr>
          <w:rFonts w:ascii="Arial Hebrew" w:hAnsi="Arial Hebrew" w:cs="Arial Hebrew" w:hint="cs"/>
          <w:color w:val="000000" w:themeColor="text1"/>
          <w:sz w:val="20"/>
          <w:szCs w:val="20"/>
        </w:rPr>
        <w:t xml:space="preserve"> quality</w:t>
      </w:r>
      <w:r w:rsidR="00F22E72" w:rsidRPr="00147D0A">
        <w:rPr>
          <w:rFonts w:ascii="Arial Hebrew" w:hAnsi="Arial Hebrew" w:cs="Arial Hebrew" w:hint="cs"/>
          <w:color w:val="000000" w:themeColor="text1"/>
          <w:sz w:val="20"/>
          <w:szCs w:val="20"/>
        </w:rPr>
        <w:t xml:space="preserve">. </w:t>
      </w:r>
      <w:r w:rsidR="00147D0A" w:rsidRPr="00147D0A">
        <w:rPr>
          <w:rFonts w:ascii="Arial Hebrew" w:hAnsi="Arial Hebrew" w:cs="Arial Hebrew" w:hint="cs"/>
          <w:color w:val="000000" w:themeColor="text1"/>
          <w:sz w:val="20"/>
          <w:szCs w:val="20"/>
        </w:rPr>
        <w:t>Frameworks treat</w:t>
      </w:r>
      <w:r w:rsidR="00F22E72" w:rsidRPr="00147D0A">
        <w:rPr>
          <w:rFonts w:ascii="Arial Hebrew" w:hAnsi="Arial Hebrew" w:cs="Arial Hebrew" w:hint="cs"/>
          <w:color w:val="000000" w:themeColor="text1"/>
          <w:sz w:val="20"/>
          <w:szCs w:val="20"/>
        </w:rPr>
        <w:t xml:space="preserve"> service-</w:t>
      </w:r>
      <w:r w:rsidRPr="00147D0A">
        <w:rPr>
          <w:rFonts w:ascii="Arial Hebrew" w:hAnsi="Arial Hebrew" w:cs="Arial Hebrew" w:hint="cs"/>
          <w:color w:val="000000" w:themeColor="text1"/>
          <w:sz w:val="20"/>
          <w:szCs w:val="20"/>
        </w:rPr>
        <w:t>reduction</w:t>
      </w:r>
      <w:r w:rsidR="00F22E72" w:rsidRPr="00147D0A">
        <w:rPr>
          <w:rFonts w:ascii="Arial Hebrew" w:hAnsi="Arial Hebrew" w:cs="Arial Hebrew" w:hint="cs"/>
          <w:color w:val="000000" w:themeColor="text1"/>
          <w:sz w:val="20"/>
          <w:szCs w:val="20"/>
        </w:rPr>
        <w:t xml:space="preserve"> capacity as a core</w:t>
      </w:r>
      <w:r w:rsidR="005C2200" w:rsidRPr="00147D0A">
        <w:rPr>
          <w:rFonts w:ascii="Arial Hebrew" w:hAnsi="Arial Hebrew" w:cs="Arial Hebrew" w:hint="cs"/>
          <w:color w:val="000000" w:themeColor="text1"/>
          <w:sz w:val="20"/>
          <w:szCs w:val="20"/>
        </w:rPr>
        <w:t xml:space="preserve"> governance</w:t>
      </w:r>
      <w:r w:rsidR="00F22E72" w:rsidRPr="00147D0A">
        <w:rPr>
          <w:rFonts w:ascii="Arial Hebrew" w:hAnsi="Arial Hebrew" w:cs="Arial Hebrew" w:hint="cs"/>
          <w:color w:val="000000" w:themeColor="text1"/>
          <w:sz w:val="20"/>
          <w:szCs w:val="20"/>
        </w:rPr>
        <w:t xml:space="preserve"> </w:t>
      </w:r>
      <w:r w:rsidR="00147D0A" w:rsidRPr="00147D0A">
        <w:rPr>
          <w:rFonts w:ascii="Arial Hebrew" w:hAnsi="Arial Hebrew" w:cs="Arial Hebrew" w:hint="cs"/>
          <w:color w:val="000000" w:themeColor="text1"/>
          <w:sz w:val="20"/>
          <w:szCs w:val="20"/>
        </w:rPr>
        <w:t>quality, dismissing the maintenance of service standards under economic pressure as a demonstration of</w:t>
      </w:r>
      <w:r w:rsidR="00086625" w:rsidRPr="00147D0A">
        <w:rPr>
          <w:rFonts w:ascii="Arial Hebrew" w:hAnsi="Arial Hebrew" w:cs="Arial Hebrew" w:hint="cs"/>
          <w:color w:val="000000" w:themeColor="text1"/>
          <w:sz w:val="20"/>
          <w:szCs w:val="20"/>
        </w:rPr>
        <w:t xml:space="preserve"> institutional resilience</w:t>
      </w:r>
      <w:r w:rsidR="00EF28C6" w:rsidRPr="00147D0A">
        <w:rPr>
          <w:rFonts w:ascii="Arial Hebrew" w:hAnsi="Arial Hebrew" w:cs="Arial Hebrew" w:hint="cs"/>
          <w:color w:val="000000" w:themeColor="text1"/>
          <w:sz w:val="20"/>
          <w:szCs w:val="20"/>
        </w:rPr>
        <w:t xml:space="preserve">. </w:t>
      </w:r>
      <w:r w:rsidR="00147D0A" w:rsidRPr="00147D0A">
        <w:rPr>
          <w:rFonts w:ascii="Arial Hebrew" w:hAnsi="Arial Hebrew" w:cs="Arial Hebrew" w:hint="cs"/>
          <w:color w:val="000000" w:themeColor="text1"/>
          <w:sz w:val="20"/>
          <w:szCs w:val="20"/>
        </w:rPr>
        <w:t>The</w:t>
      </w:r>
      <w:r w:rsidR="005E69DC" w:rsidRPr="00147D0A">
        <w:rPr>
          <w:rFonts w:ascii="Arial Hebrew" w:hAnsi="Arial Hebrew" w:cs="Arial Hebrew" w:hint="cs"/>
          <w:color w:val="000000" w:themeColor="text1"/>
          <w:sz w:val="20"/>
          <w:szCs w:val="20"/>
        </w:rPr>
        <w:t xml:space="preserve"> positive </w:t>
      </w:r>
      <w:r w:rsidR="00147D0A" w:rsidRPr="00147D0A">
        <w:rPr>
          <w:rFonts w:ascii="Arial Hebrew" w:hAnsi="Arial Hebrew" w:cs="Arial Hebrew" w:hint="cs"/>
          <w:color w:val="000000" w:themeColor="text1"/>
          <w:sz w:val="20"/>
          <w:szCs w:val="20"/>
        </w:rPr>
        <w:t>contribution of government services to</w:t>
      </w:r>
      <w:r w:rsidR="005E69DC" w:rsidRPr="00147D0A">
        <w:rPr>
          <w:rFonts w:ascii="Arial Hebrew" w:hAnsi="Arial Hebrew" w:cs="Arial Hebrew" w:hint="cs"/>
          <w:color w:val="000000" w:themeColor="text1"/>
          <w:sz w:val="20"/>
          <w:szCs w:val="20"/>
        </w:rPr>
        <w:t xml:space="preserve"> </w:t>
      </w:r>
      <w:r w:rsidR="00F22E72" w:rsidRPr="00147D0A">
        <w:rPr>
          <w:rFonts w:ascii="Arial Hebrew" w:hAnsi="Arial Hebrew" w:cs="Arial Hebrew" w:hint="cs"/>
          <w:color w:val="000000" w:themeColor="text1"/>
          <w:sz w:val="20"/>
          <w:szCs w:val="20"/>
        </w:rPr>
        <w:t>long-term economic performanc</w:t>
      </w:r>
      <w:r w:rsidR="00D9086B" w:rsidRPr="00147D0A">
        <w:rPr>
          <w:rFonts w:ascii="Arial Hebrew" w:hAnsi="Arial Hebrew" w:cs="Arial Hebrew" w:hint="cs"/>
          <w:color w:val="000000" w:themeColor="text1"/>
          <w:sz w:val="20"/>
          <w:szCs w:val="20"/>
        </w:rPr>
        <w:t>e</w:t>
      </w:r>
      <w:r w:rsidR="00147D0A" w:rsidRPr="00147D0A">
        <w:rPr>
          <w:rFonts w:ascii="Arial Hebrew" w:hAnsi="Arial Hebrew" w:cs="Arial Hebrew" w:hint="cs"/>
          <w:color w:val="000000" w:themeColor="text1"/>
          <w:sz w:val="20"/>
          <w:szCs w:val="20"/>
        </w:rPr>
        <w:t xml:space="preserve"> is overlooked</w:t>
      </w:r>
      <w:r w:rsidR="003A5817">
        <w:rPr>
          <w:rFonts w:ascii="Arial Hebrew" w:hAnsi="Arial Hebrew" w:cs="Arial Hebrew"/>
          <w:color w:val="000000" w:themeColor="text1"/>
          <w:sz w:val="20"/>
          <w:szCs w:val="20"/>
        </w:rPr>
        <w:t xml:space="preserve"> </w:t>
      </w:r>
      <w:r w:rsidR="003A5817">
        <w:rPr>
          <w:rFonts w:ascii="Cambria" w:hAnsi="Cambria" w:cs="Arial Hebrew"/>
          <w:color w:val="000000" w:themeColor="text1"/>
          <w:sz w:val="20"/>
          <w:szCs w:val="20"/>
        </w:rPr>
        <w:t>in these frameworks</w:t>
      </w:r>
      <w:r w:rsidR="00D9086B" w:rsidRPr="00147D0A">
        <w:rPr>
          <w:rFonts w:ascii="Arial Hebrew" w:hAnsi="Arial Hebrew" w:cs="Arial Hebrew" w:hint="cs"/>
          <w:color w:val="000000" w:themeColor="text1"/>
          <w:sz w:val="20"/>
          <w:szCs w:val="20"/>
        </w:rPr>
        <w:t>.</w:t>
      </w:r>
      <w:r w:rsidR="005E69DC" w:rsidRPr="00147D0A">
        <w:rPr>
          <w:rStyle w:val="FootnoteReference"/>
          <w:rFonts w:ascii="Arial Hebrew" w:hAnsi="Arial Hebrew" w:cs="Arial Hebrew" w:hint="cs"/>
          <w:color w:val="000000" w:themeColor="text1"/>
          <w:sz w:val="20"/>
          <w:szCs w:val="20"/>
        </w:rPr>
        <w:footnoteReference w:id="30"/>
      </w:r>
      <w:r w:rsidR="00F22E72"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Directly incorporating observable</w:t>
      </w:r>
      <w:r w:rsidR="00086625" w:rsidRPr="00147D0A">
        <w:rPr>
          <w:rFonts w:ascii="Arial Hebrew" w:hAnsi="Arial Hebrew" w:cs="Arial Hebrew" w:hint="cs"/>
          <w:color w:val="000000" w:themeColor="text1"/>
          <w:sz w:val="20"/>
          <w:szCs w:val="20"/>
        </w:rPr>
        <w:t xml:space="preserve"> service </w:t>
      </w:r>
      <w:r w:rsidRPr="00147D0A">
        <w:rPr>
          <w:rFonts w:ascii="Arial Hebrew" w:hAnsi="Arial Hebrew" w:cs="Arial Hebrew" w:hint="cs"/>
          <w:color w:val="000000" w:themeColor="text1"/>
          <w:sz w:val="20"/>
          <w:szCs w:val="20"/>
        </w:rPr>
        <w:t>quality</w:t>
      </w:r>
      <w:r w:rsidR="00086625" w:rsidRPr="00147D0A">
        <w:rPr>
          <w:rFonts w:ascii="Arial Hebrew" w:hAnsi="Arial Hebrew" w:cs="Arial Hebrew" w:hint="cs"/>
          <w:color w:val="000000" w:themeColor="text1"/>
          <w:sz w:val="20"/>
          <w:szCs w:val="20"/>
        </w:rPr>
        <w:t xml:space="preserve"> in credit assessments </w:t>
      </w:r>
      <w:r w:rsidRPr="00147D0A">
        <w:rPr>
          <w:rFonts w:ascii="Arial Hebrew" w:hAnsi="Arial Hebrew" w:cs="Arial Hebrew" w:hint="cs"/>
          <w:color w:val="000000" w:themeColor="text1"/>
          <w:sz w:val="20"/>
          <w:szCs w:val="20"/>
        </w:rPr>
        <w:t>c</w:t>
      </w:r>
      <w:r w:rsidR="00086625" w:rsidRPr="00147D0A">
        <w:rPr>
          <w:rFonts w:ascii="Arial Hebrew" w:hAnsi="Arial Hebrew" w:cs="Arial Hebrew" w:hint="cs"/>
          <w:color w:val="000000" w:themeColor="text1"/>
          <w:sz w:val="20"/>
          <w:szCs w:val="20"/>
        </w:rPr>
        <w:t>ould</w:t>
      </w:r>
      <w:r w:rsidR="008B7E65" w:rsidRPr="00147D0A">
        <w:rPr>
          <w:rFonts w:ascii="Arial Hebrew" w:hAnsi="Arial Hebrew" w:cs="Arial Hebrew" w:hint="cs"/>
          <w:color w:val="000000" w:themeColor="text1"/>
          <w:sz w:val="20"/>
          <w:szCs w:val="20"/>
        </w:rPr>
        <w:t xml:space="preserve"> balance </w:t>
      </w:r>
      <w:r w:rsidRPr="00147D0A">
        <w:rPr>
          <w:rFonts w:ascii="Arial Hebrew" w:hAnsi="Arial Hebrew" w:cs="Arial Hebrew" w:hint="cs"/>
          <w:color w:val="000000" w:themeColor="text1"/>
          <w:sz w:val="20"/>
          <w:szCs w:val="20"/>
        </w:rPr>
        <w:t>governments’</w:t>
      </w:r>
      <w:r w:rsidR="00086625" w:rsidRPr="00147D0A">
        <w:rPr>
          <w:rFonts w:ascii="Arial Hebrew" w:hAnsi="Arial Hebrew" w:cs="Arial Hebrew" w:hint="cs"/>
          <w:color w:val="000000" w:themeColor="text1"/>
          <w:sz w:val="20"/>
          <w:szCs w:val="20"/>
        </w:rPr>
        <w:t xml:space="preserve"> incentiv</w:t>
      </w:r>
      <w:r w:rsidR="008B7E65" w:rsidRPr="00147D0A">
        <w:rPr>
          <w:rFonts w:ascii="Arial Hebrew" w:hAnsi="Arial Hebrew" w:cs="Arial Hebrew" w:hint="cs"/>
          <w:color w:val="000000" w:themeColor="text1"/>
          <w:sz w:val="20"/>
          <w:szCs w:val="20"/>
        </w:rPr>
        <w:t xml:space="preserve">e </w:t>
      </w:r>
      <w:r w:rsidR="009010BF" w:rsidRPr="00147D0A">
        <w:rPr>
          <w:rFonts w:ascii="Arial Hebrew" w:hAnsi="Arial Hebrew" w:cs="Arial Hebrew" w:hint="cs"/>
          <w:color w:val="000000" w:themeColor="text1"/>
          <w:sz w:val="20"/>
          <w:szCs w:val="20"/>
        </w:rPr>
        <w:t>to pursue</w:t>
      </w:r>
      <w:r w:rsidR="00086625" w:rsidRPr="00147D0A">
        <w:rPr>
          <w:rFonts w:ascii="Arial Hebrew" w:hAnsi="Arial Hebrew" w:cs="Arial Hebrew" w:hint="cs"/>
          <w:color w:val="000000" w:themeColor="text1"/>
          <w:sz w:val="20"/>
          <w:szCs w:val="20"/>
        </w:rPr>
        <w:t xml:space="preserve"> revenue adequacy and </w:t>
      </w:r>
      <w:r w:rsidR="005C2200" w:rsidRPr="00147D0A">
        <w:rPr>
          <w:rFonts w:ascii="Arial Hebrew" w:hAnsi="Arial Hebrew" w:cs="Arial Hebrew" w:hint="cs"/>
          <w:color w:val="000000" w:themeColor="text1"/>
          <w:sz w:val="20"/>
          <w:szCs w:val="20"/>
        </w:rPr>
        <w:t xml:space="preserve">efficiency </w:t>
      </w:r>
      <w:r w:rsidR="00086625" w:rsidRPr="00147D0A">
        <w:rPr>
          <w:rFonts w:ascii="Arial Hebrew" w:hAnsi="Arial Hebrew" w:cs="Arial Hebrew" w:hint="cs"/>
          <w:color w:val="000000" w:themeColor="text1"/>
          <w:sz w:val="20"/>
          <w:szCs w:val="20"/>
        </w:rPr>
        <w:t xml:space="preserve">improvements </w:t>
      </w:r>
      <w:r w:rsidR="008B7E65" w:rsidRPr="00147D0A">
        <w:rPr>
          <w:rFonts w:ascii="Arial Hebrew" w:hAnsi="Arial Hebrew" w:cs="Arial Hebrew" w:hint="cs"/>
          <w:color w:val="000000" w:themeColor="text1"/>
          <w:sz w:val="20"/>
          <w:szCs w:val="20"/>
        </w:rPr>
        <w:t>against the incentive to pursue</w:t>
      </w:r>
      <w:r w:rsidR="00F475EC" w:rsidRPr="00147D0A">
        <w:rPr>
          <w:rFonts w:ascii="Arial Hebrew" w:hAnsi="Arial Hebrew" w:cs="Arial Hebrew" w:hint="cs"/>
          <w:color w:val="000000" w:themeColor="text1"/>
          <w:sz w:val="20"/>
          <w:szCs w:val="20"/>
        </w:rPr>
        <w:t xml:space="preserve"> </w:t>
      </w:r>
      <w:r w:rsidR="00746669" w:rsidRPr="00147D0A">
        <w:rPr>
          <w:rFonts w:ascii="Arial Hebrew" w:hAnsi="Arial Hebrew" w:cs="Arial Hebrew" w:hint="cs"/>
          <w:color w:val="000000" w:themeColor="text1"/>
          <w:sz w:val="20"/>
          <w:szCs w:val="20"/>
        </w:rPr>
        <w:t>austerit</w:t>
      </w:r>
      <w:r w:rsidR="00EF28C6" w:rsidRPr="00147D0A">
        <w:rPr>
          <w:rFonts w:ascii="Arial Hebrew" w:hAnsi="Arial Hebrew" w:cs="Arial Hebrew" w:hint="cs"/>
          <w:color w:val="000000" w:themeColor="text1"/>
          <w:sz w:val="20"/>
          <w:szCs w:val="20"/>
        </w:rPr>
        <w:t>y</w:t>
      </w:r>
      <w:r w:rsidR="00086625" w:rsidRPr="00147D0A">
        <w:rPr>
          <w:rFonts w:ascii="Arial Hebrew" w:hAnsi="Arial Hebrew" w:cs="Arial Hebrew" w:hint="cs"/>
          <w:color w:val="000000" w:themeColor="text1"/>
          <w:sz w:val="20"/>
          <w:szCs w:val="20"/>
        </w:rPr>
        <w:t>.</w:t>
      </w:r>
      <w:r w:rsidR="00830618" w:rsidRPr="00147D0A">
        <w:rPr>
          <w:rStyle w:val="FootnoteReference"/>
          <w:rFonts w:ascii="Arial Hebrew" w:hAnsi="Arial Hebrew" w:cs="Arial Hebrew" w:hint="cs"/>
          <w:color w:val="000000" w:themeColor="text1"/>
          <w:sz w:val="20"/>
          <w:szCs w:val="20"/>
        </w:rPr>
        <w:footnoteReference w:id="31"/>
      </w:r>
      <w:r w:rsidR="00F475EC" w:rsidRPr="00147D0A">
        <w:rPr>
          <w:rFonts w:ascii="Arial Hebrew" w:hAnsi="Arial Hebrew" w:cs="Arial Hebrew" w:hint="cs"/>
          <w:color w:val="000000" w:themeColor="text1"/>
          <w:sz w:val="20"/>
          <w:szCs w:val="20"/>
        </w:rPr>
        <w:t xml:space="preserve"> Th</w:t>
      </w:r>
      <w:r w:rsidR="00291C10" w:rsidRPr="00147D0A">
        <w:rPr>
          <w:rFonts w:ascii="Arial Hebrew" w:hAnsi="Arial Hebrew" w:cs="Arial Hebrew" w:hint="cs"/>
          <w:color w:val="000000" w:themeColor="text1"/>
          <w:sz w:val="20"/>
          <w:szCs w:val="20"/>
        </w:rPr>
        <w:t>e</w:t>
      </w:r>
      <w:r w:rsidR="00F475EC" w:rsidRPr="00147D0A">
        <w:rPr>
          <w:rFonts w:ascii="Arial Hebrew" w:hAnsi="Arial Hebrew" w:cs="Arial Hebrew" w:hint="cs"/>
          <w:color w:val="000000" w:themeColor="text1"/>
          <w:sz w:val="20"/>
          <w:szCs w:val="20"/>
        </w:rPr>
        <w:t xml:space="preserve"> </w:t>
      </w:r>
      <w:r w:rsidR="00746669" w:rsidRPr="00147D0A">
        <w:rPr>
          <w:rFonts w:ascii="Arial Hebrew" w:hAnsi="Arial Hebrew" w:cs="Arial Hebrew" w:hint="cs"/>
          <w:color w:val="000000" w:themeColor="text1"/>
          <w:sz w:val="20"/>
          <w:szCs w:val="20"/>
        </w:rPr>
        <w:t>shift</w:t>
      </w:r>
      <w:r w:rsidR="00291C10" w:rsidRPr="00147D0A">
        <w:rPr>
          <w:rFonts w:ascii="Arial Hebrew" w:hAnsi="Arial Hebrew" w:cs="Arial Hebrew" w:hint="cs"/>
          <w:color w:val="000000" w:themeColor="text1"/>
          <w:sz w:val="20"/>
          <w:szCs w:val="20"/>
        </w:rPr>
        <w:t xml:space="preserve"> in emphasis</w:t>
      </w:r>
      <w:r w:rsidR="00746669"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 xml:space="preserve">would </w:t>
      </w:r>
      <w:r w:rsidR="00086625" w:rsidRPr="00147D0A">
        <w:rPr>
          <w:rFonts w:ascii="Arial Hebrew" w:hAnsi="Arial Hebrew" w:cs="Arial Hebrew" w:hint="cs"/>
          <w:color w:val="000000" w:themeColor="text1"/>
          <w:sz w:val="20"/>
          <w:szCs w:val="20"/>
        </w:rPr>
        <w:t xml:space="preserve">better </w:t>
      </w:r>
      <w:r w:rsidR="00F475EC" w:rsidRPr="00147D0A">
        <w:rPr>
          <w:rFonts w:ascii="Arial Hebrew" w:hAnsi="Arial Hebrew" w:cs="Arial Hebrew" w:hint="cs"/>
          <w:color w:val="000000" w:themeColor="text1"/>
          <w:sz w:val="20"/>
          <w:szCs w:val="20"/>
        </w:rPr>
        <w:t xml:space="preserve">align </w:t>
      </w:r>
      <w:r w:rsidR="000806CF" w:rsidRPr="00147D0A">
        <w:rPr>
          <w:rFonts w:ascii="Arial Hebrew" w:hAnsi="Arial Hebrew" w:cs="Arial Hebrew" w:hint="cs"/>
          <w:color w:val="000000" w:themeColor="text1"/>
          <w:sz w:val="20"/>
          <w:szCs w:val="20"/>
        </w:rPr>
        <w:t>the interests of citizens</w:t>
      </w:r>
      <w:r w:rsidR="00746669"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who require quality services</w:t>
      </w:r>
      <w:r w:rsidR="00746669"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 xml:space="preserve"> with th</w:t>
      </w:r>
      <w:r w:rsidR="00F475EC" w:rsidRPr="00147D0A">
        <w:rPr>
          <w:rFonts w:ascii="Arial Hebrew" w:hAnsi="Arial Hebrew" w:cs="Arial Hebrew" w:hint="cs"/>
          <w:color w:val="000000" w:themeColor="text1"/>
          <w:sz w:val="20"/>
          <w:szCs w:val="20"/>
        </w:rPr>
        <w:t>e interests</w:t>
      </w:r>
      <w:r w:rsidR="000806CF" w:rsidRPr="00147D0A">
        <w:rPr>
          <w:rFonts w:ascii="Arial Hebrew" w:hAnsi="Arial Hebrew" w:cs="Arial Hebrew" w:hint="cs"/>
          <w:color w:val="000000" w:themeColor="text1"/>
          <w:sz w:val="20"/>
          <w:szCs w:val="20"/>
        </w:rPr>
        <w:t xml:space="preserve"> of investors</w:t>
      </w:r>
      <w:r w:rsidR="00746669"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who require credible repayment commitments</w:t>
      </w:r>
      <w:r w:rsidR="00746669" w:rsidRPr="00147D0A">
        <w:rPr>
          <w:rFonts w:ascii="Arial Hebrew" w:hAnsi="Arial Hebrew" w:cs="Arial Hebrew" w:hint="cs"/>
          <w:color w:val="000000" w:themeColor="text1"/>
          <w:sz w:val="20"/>
          <w:szCs w:val="20"/>
        </w:rPr>
        <w:t xml:space="preserve"> –</w:t>
      </w:r>
      <w:r w:rsidR="00FE311B" w:rsidRPr="00147D0A">
        <w:rPr>
          <w:rFonts w:ascii="Arial Hebrew" w:hAnsi="Arial Hebrew" w:cs="Arial Hebrew" w:hint="cs"/>
          <w:color w:val="000000" w:themeColor="text1"/>
          <w:sz w:val="20"/>
          <w:szCs w:val="20"/>
        </w:rPr>
        <w:t xml:space="preserve"> </w:t>
      </w:r>
      <w:r w:rsidR="00F475EC" w:rsidRPr="00147D0A">
        <w:rPr>
          <w:rFonts w:ascii="Arial Hebrew" w:hAnsi="Arial Hebrew" w:cs="Arial Hebrew" w:hint="cs"/>
          <w:color w:val="000000" w:themeColor="text1"/>
          <w:sz w:val="20"/>
          <w:szCs w:val="20"/>
        </w:rPr>
        <w:t>strengthen</w:t>
      </w:r>
      <w:r w:rsidR="00086625" w:rsidRPr="00147D0A">
        <w:rPr>
          <w:rFonts w:ascii="Arial Hebrew" w:hAnsi="Arial Hebrew" w:cs="Arial Hebrew" w:hint="cs"/>
          <w:color w:val="000000" w:themeColor="text1"/>
          <w:sz w:val="20"/>
          <w:szCs w:val="20"/>
        </w:rPr>
        <w:t>ing</w:t>
      </w:r>
      <w:r w:rsidR="00F475EC" w:rsidRPr="00147D0A">
        <w:rPr>
          <w:rFonts w:ascii="Arial Hebrew" w:hAnsi="Arial Hebrew" w:cs="Arial Hebrew" w:hint="cs"/>
          <w:color w:val="000000" w:themeColor="text1"/>
          <w:sz w:val="20"/>
          <w:szCs w:val="20"/>
        </w:rPr>
        <w:t xml:space="preserve"> </w:t>
      </w:r>
      <w:r w:rsidR="000806CF" w:rsidRPr="00147D0A">
        <w:rPr>
          <w:rFonts w:ascii="Arial Hebrew" w:hAnsi="Arial Hebrew" w:cs="Arial Hebrew" w:hint="cs"/>
          <w:color w:val="000000" w:themeColor="text1"/>
          <w:sz w:val="20"/>
          <w:szCs w:val="20"/>
        </w:rPr>
        <w:t xml:space="preserve">both </w:t>
      </w:r>
      <w:r w:rsidR="005C199F" w:rsidRPr="00147D0A">
        <w:rPr>
          <w:rFonts w:ascii="Arial Hebrew" w:hAnsi="Arial Hebrew" w:cs="Arial Hebrew" w:hint="cs"/>
          <w:color w:val="000000" w:themeColor="text1"/>
          <w:sz w:val="20"/>
          <w:szCs w:val="20"/>
        </w:rPr>
        <w:t>political</w:t>
      </w:r>
      <w:r w:rsidR="000806CF" w:rsidRPr="00147D0A">
        <w:rPr>
          <w:rFonts w:ascii="Arial Hebrew" w:hAnsi="Arial Hebrew" w:cs="Arial Hebrew" w:hint="cs"/>
          <w:color w:val="000000" w:themeColor="text1"/>
          <w:sz w:val="20"/>
          <w:szCs w:val="20"/>
        </w:rPr>
        <w:t xml:space="preserve"> legitimacy and market confidence.</w:t>
      </w:r>
      <w:r w:rsidR="009010BF" w:rsidRPr="00147D0A">
        <w:rPr>
          <w:rFonts w:ascii="Arial Hebrew" w:hAnsi="Arial Hebrew" w:cs="Arial Hebrew" w:hint="cs"/>
          <w:color w:val="000000" w:themeColor="text1"/>
          <w:sz w:val="20"/>
          <w:szCs w:val="20"/>
        </w:rPr>
        <w:t xml:space="preserve"> </w:t>
      </w:r>
      <w:r w:rsidR="00291C10" w:rsidRPr="00147D0A">
        <w:rPr>
          <w:rFonts w:ascii="Arial Hebrew" w:hAnsi="Arial Hebrew" w:cs="Arial Hebrew" w:hint="cs"/>
          <w:color w:val="000000" w:themeColor="text1"/>
          <w:sz w:val="20"/>
          <w:szCs w:val="20"/>
        </w:rPr>
        <w:t xml:space="preserve">In addition, </w:t>
      </w:r>
      <w:r w:rsidR="001D19D6" w:rsidRPr="00147D0A">
        <w:rPr>
          <w:rFonts w:ascii="Arial Hebrew" w:hAnsi="Arial Hebrew" w:cs="Arial Hebrew" w:hint="cs"/>
          <w:color w:val="000000" w:themeColor="text1"/>
          <w:sz w:val="20"/>
          <w:szCs w:val="20"/>
        </w:rPr>
        <w:t xml:space="preserve">the development of </w:t>
      </w:r>
      <w:r w:rsidR="00291C10" w:rsidRPr="00147D0A">
        <w:rPr>
          <w:rFonts w:ascii="Arial Hebrew" w:hAnsi="Arial Hebrew" w:cs="Arial Hebrew" w:hint="cs"/>
          <w:color w:val="000000" w:themeColor="text1"/>
          <w:sz w:val="20"/>
          <w:szCs w:val="20"/>
        </w:rPr>
        <w:t>a</w:t>
      </w:r>
      <w:r w:rsidR="008B7E65" w:rsidRPr="00147D0A">
        <w:rPr>
          <w:rFonts w:ascii="Arial Hebrew" w:hAnsi="Arial Hebrew" w:cs="Arial Hebrew" w:hint="cs"/>
          <w:color w:val="000000" w:themeColor="text1"/>
          <w:sz w:val="20"/>
          <w:szCs w:val="20"/>
        </w:rPr>
        <w:t xml:space="preserve"> standardised system for measuring</w:t>
      </w:r>
      <w:r w:rsidR="00291C10" w:rsidRPr="00147D0A">
        <w:rPr>
          <w:rFonts w:ascii="Arial Hebrew" w:hAnsi="Arial Hebrew" w:cs="Arial Hebrew" w:hint="cs"/>
          <w:color w:val="000000" w:themeColor="text1"/>
          <w:sz w:val="20"/>
          <w:szCs w:val="20"/>
        </w:rPr>
        <w:t xml:space="preserve"> </w:t>
      </w:r>
      <w:r w:rsidR="005C199F" w:rsidRPr="00147D0A">
        <w:rPr>
          <w:rFonts w:ascii="Arial Hebrew" w:hAnsi="Arial Hebrew" w:cs="Arial Hebrew" w:hint="cs"/>
          <w:color w:val="000000" w:themeColor="text1"/>
          <w:sz w:val="20"/>
          <w:szCs w:val="20"/>
        </w:rPr>
        <w:t xml:space="preserve">subnational </w:t>
      </w:r>
      <w:r w:rsidR="00291C10" w:rsidRPr="00147D0A">
        <w:rPr>
          <w:rFonts w:ascii="Arial Hebrew" w:hAnsi="Arial Hebrew" w:cs="Arial Hebrew" w:hint="cs"/>
          <w:color w:val="000000" w:themeColor="text1"/>
          <w:sz w:val="20"/>
          <w:szCs w:val="20"/>
        </w:rPr>
        <w:t xml:space="preserve">service quality </w:t>
      </w:r>
      <w:r w:rsidR="009C57ED" w:rsidRPr="00147D0A">
        <w:rPr>
          <w:rFonts w:ascii="Arial Hebrew" w:hAnsi="Arial Hebrew" w:cs="Arial Hebrew" w:hint="cs"/>
          <w:color w:val="000000" w:themeColor="text1"/>
          <w:sz w:val="20"/>
          <w:szCs w:val="20"/>
        </w:rPr>
        <w:t>internationally</w:t>
      </w:r>
      <w:r w:rsidR="008B7E65" w:rsidRPr="00147D0A">
        <w:rPr>
          <w:rFonts w:ascii="Arial Hebrew" w:hAnsi="Arial Hebrew" w:cs="Arial Hebrew" w:hint="cs"/>
          <w:color w:val="000000" w:themeColor="text1"/>
          <w:sz w:val="20"/>
          <w:szCs w:val="20"/>
        </w:rPr>
        <w:t xml:space="preserve"> </w:t>
      </w:r>
      <w:r w:rsidR="009C57ED" w:rsidRPr="00147D0A">
        <w:rPr>
          <w:rFonts w:ascii="Arial Hebrew" w:hAnsi="Arial Hebrew" w:cs="Arial Hebrew" w:hint="cs"/>
          <w:color w:val="000000" w:themeColor="text1"/>
          <w:sz w:val="20"/>
          <w:szCs w:val="20"/>
        </w:rPr>
        <w:t xml:space="preserve">would contribute </w:t>
      </w:r>
      <w:r w:rsidR="00EF28C6" w:rsidRPr="00147D0A">
        <w:rPr>
          <w:rFonts w:ascii="Arial Hebrew" w:hAnsi="Arial Hebrew" w:cs="Arial Hebrew" w:hint="cs"/>
          <w:color w:val="000000" w:themeColor="text1"/>
          <w:sz w:val="20"/>
          <w:szCs w:val="20"/>
        </w:rPr>
        <w:t xml:space="preserve">greatly </w:t>
      </w:r>
      <w:r w:rsidR="009C57ED" w:rsidRPr="00147D0A">
        <w:rPr>
          <w:rFonts w:ascii="Arial Hebrew" w:hAnsi="Arial Hebrew" w:cs="Arial Hebrew" w:hint="cs"/>
          <w:color w:val="000000" w:themeColor="text1"/>
          <w:sz w:val="20"/>
          <w:szCs w:val="20"/>
        </w:rPr>
        <w:t>to data-driven policy research</w:t>
      </w:r>
      <w:r w:rsidR="00EF28C6" w:rsidRPr="00147D0A">
        <w:rPr>
          <w:rFonts w:ascii="Arial Hebrew" w:hAnsi="Arial Hebrew" w:cs="Arial Hebrew" w:hint="cs"/>
          <w:color w:val="000000" w:themeColor="text1"/>
          <w:sz w:val="20"/>
          <w:szCs w:val="20"/>
        </w:rPr>
        <w:t>,</w:t>
      </w:r>
      <w:r w:rsidR="009C57ED" w:rsidRPr="00147D0A">
        <w:rPr>
          <w:rFonts w:ascii="Arial Hebrew" w:hAnsi="Arial Hebrew" w:cs="Arial Hebrew" w:hint="cs"/>
          <w:color w:val="000000" w:themeColor="text1"/>
          <w:sz w:val="20"/>
          <w:szCs w:val="20"/>
        </w:rPr>
        <w:t xml:space="preserve"> development</w:t>
      </w:r>
      <w:r w:rsidR="00EF28C6" w:rsidRPr="00147D0A">
        <w:rPr>
          <w:rFonts w:ascii="Arial Hebrew" w:hAnsi="Arial Hebrew" w:cs="Arial Hebrew" w:hint="cs"/>
          <w:color w:val="000000" w:themeColor="text1"/>
          <w:sz w:val="20"/>
          <w:szCs w:val="20"/>
        </w:rPr>
        <w:t>, and targeted interventions</w:t>
      </w:r>
      <w:r w:rsidR="009C57ED" w:rsidRPr="00147D0A">
        <w:rPr>
          <w:rFonts w:ascii="Arial Hebrew" w:hAnsi="Arial Hebrew" w:cs="Arial Hebrew" w:hint="cs"/>
          <w:color w:val="000000" w:themeColor="text1"/>
          <w:sz w:val="20"/>
          <w:szCs w:val="20"/>
        </w:rPr>
        <w:t xml:space="preserve">. </w:t>
      </w:r>
      <w:r w:rsidR="0087257F" w:rsidRPr="00147D0A">
        <w:rPr>
          <w:rFonts w:ascii="Arial Hebrew" w:hAnsi="Arial Hebrew" w:cs="Arial Hebrew" w:hint="cs"/>
          <w:color w:val="000000" w:themeColor="text1"/>
          <w:sz w:val="20"/>
          <w:szCs w:val="20"/>
        </w:rPr>
        <w:t>The proposed global trust index would not only improve credit assessments of sovereign risk, but also help policymakers identify the institutional reforms most likely to benefit their populations.</w:t>
      </w:r>
      <w:r w:rsidR="009C57ED" w:rsidRPr="00147D0A">
        <w:rPr>
          <w:rFonts w:ascii="Arial Hebrew" w:hAnsi="Arial Hebrew" w:cs="Arial Hebrew" w:hint="cs"/>
          <w:color w:val="000000" w:themeColor="text1"/>
          <w:sz w:val="20"/>
          <w:szCs w:val="20"/>
        </w:rPr>
        <w:t xml:space="preserve">  </w:t>
      </w:r>
    </w:p>
    <w:p w14:paraId="3F450E1A" w14:textId="62A3509F" w:rsidR="00423BA1" w:rsidRPr="00147D0A" w:rsidRDefault="00423BA1" w:rsidP="00C666EB">
      <w:pPr>
        <w:pStyle w:val="NormalWeb"/>
        <w:rPr>
          <w:rFonts w:ascii="Arial Hebrew" w:hAnsi="Arial Hebrew" w:cs="Arial Hebrew"/>
          <w:b/>
          <w:bCs/>
          <w:color w:val="0F4761" w:themeColor="accent1" w:themeShade="BF"/>
          <w:sz w:val="26"/>
          <w:szCs w:val="26"/>
        </w:rPr>
      </w:pPr>
      <w:r w:rsidRPr="00147D0A">
        <w:rPr>
          <w:rFonts w:ascii="Arial Hebrew" w:hAnsi="Arial Hebrew" w:cs="Arial Hebrew" w:hint="cs"/>
          <w:b/>
          <w:bCs/>
          <w:color w:val="0F4761" w:themeColor="accent1" w:themeShade="BF"/>
          <w:sz w:val="26"/>
          <w:szCs w:val="26"/>
        </w:rPr>
        <w:t xml:space="preserve">Conclusion </w:t>
      </w:r>
    </w:p>
    <w:p w14:paraId="0E745FEE" w14:textId="689E5104" w:rsidR="00D3486E" w:rsidRPr="00147D0A" w:rsidRDefault="000138C7" w:rsidP="0031570D">
      <w:pPr>
        <w:pStyle w:val="NormalWeb"/>
        <w:spacing w:before="0" w:beforeAutospacing="0" w:after="0" w:afterAutospacing="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The World Bank’s explicit</w:t>
      </w:r>
      <w:r w:rsidR="0036618E" w:rsidRPr="00147D0A">
        <w:rPr>
          <w:rFonts w:ascii="Arial Hebrew" w:hAnsi="Arial Hebrew" w:cs="Arial Hebrew" w:hint="cs"/>
          <w:color w:val="000000" w:themeColor="text1"/>
          <w:sz w:val="20"/>
          <w:szCs w:val="20"/>
        </w:rPr>
        <w:t xml:space="preserve"> November</w:t>
      </w:r>
      <w:r w:rsidRPr="00147D0A">
        <w:rPr>
          <w:rFonts w:ascii="Arial Hebrew" w:hAnsi="Arial Hebrew" w:cs="Arial Hebrew" w:hint="cs"/>
          <w:color w:val="000000" w:themeColor="text1"/>
          <w:sz w:val="20"/>
          <w:szCs w:val="20"/>
        </w:rPr>
        <w:t xml:space="preserve"> 2024 advisory against using its Worldwide Governance Indicators for </w:t>
      </w:r>
      <w:r w:rsidR="0065111A" w:rsidRPr="00147D0A">
        <w:rPr>
          <w:rFonts w:ascii="Arial Hebrew" w:hAnsi="Arial Hebrew" w:cs="Arial Hebrew" w:hint="cs"/>
          <w:color w:val="000000" w:themeColor="text1"/>
          <w:sz w:val="20"/>
          <w:szCs w:val="20"/>
        </w:rPr>
        <w:t>critical financial decisions</w:t>
      </w:r>
      <w:r w:rsidRPr="00147D0A">
        <w:rPr>
          <w:rFonts w:ascii="Arial Hebrew" w:hAnsi="Arial Hebrew" w:cs="Arial Hebrew" w:hint="cs"/>
          <w:color w:val="000000" w:themeColor="text1"/>
          <w:sz w:val="20"/>
          <w:szCs w:val="20"/>
        </w:rPr>
        <w:t xml:space="preserve"> underscores a major shortcoming in current sovereign assessment</w:t>
      </w:r>
      <w:r w:rsidR="002B6AC1" w:rsidRPr="00147D0A">
        <w:rPr>
          <w:rFonts w:ascii="Arial Hebrew" w:hAnsi="Arial Hebrew" w:cs="Arial Hebrew" w:hint="cs"/>
          <w:color w:val="000000" w:themeColor="text1"/>
          <w:sz w:val="20"/>
          <w:szCs w:val="20"/>
        </w:rPr>
        <w:t xml:space="preserve"> frameworks</w:t>
      </w:r>
      <w:r w:rsidR="0065111A" w:rsidRPr="00147D0A">
        <w:rPr>
          <w:rFonts w:ascii="Arial Hebrew" w:hAnsi="Arial Hebrew" w:cs="Arial Hebrew" w:hint="cs"/>
          <w:color w:val="000000" w:themeColor="text1"/>
          <w:sz w:val="20"/>
          <w:szCs w:val="20"/>
        </w:rPr>
        <w:t>;</w:t>
      </w:r>
      <w:r w:rsidRPr="00147D0A">
        <w:rPr>
          <w:rFonts w:ascii="Arial Hebrew" w:hAnsi="Arial Hebrew" w:cs="Arial Hebrew" w:hint="cs"/>
          <w:color w:val="000000" w:themeColor="text1"/>
          <w:sz w:val="20"/>
          <w:szCs w:val="20"/>
        </w:rPr>
        <w:t xml:space="preserve"> </w:t>
      </w:r>
      <w:r w:rsidR="0065111A" w:rsidRPr="00147D0A">
        <w:rPr>
          <w:rFonts w:ascii="Arial Hebrew" w:hAnsi="Arial Hebrew" w:cs="Arial Hebrew" w:hint="cs"/>
          <w:color w:val="000000" w:themeColor="text1"/>
          <w:sz w:val="20"/>
          <w:szCs w:val="20"/>
        </w:rPr>
        <w:t>ratings</w:t>
      </w:r>
      <w:r w:rsidR="002B6AC1" w:rsidRPr="00147D0A">
        <w:rPr>
          <w:rFonts w:ascii="Arial Hebrew" w:hAnsi="Arial Hebrew" w:cs="Arial Hebrew" w:hint="cs"/>
          <w:color w:val="000000" w:themeColor="text1"/>
          <w:sz w:val="20"/>
          <w:szCs w:val="20"/>
        </w:rPr>
        <w:t xml:space="preserve"> intending to evaluate real-time credit risk lean heavily on annual opinion-driven indicators that arrive with </w:t>
      </w:r>
      <w:r w:rsidR="0031570D" w:rsidRPr="00147D0A">
        <w:rPr>
          <w:rFonts w:ascii="Arial Hebrew" w:hAnsi="Arial Hebrew" w:cs="Arial Hebrew" w:hint="cs"/>
          <w:color w:val="000000" w:themeColor="text1"/>
          <w:sz w:val="20"/>
          <w:szCs w:val="20"/>
        </w:rPr>
        <w:t>a long</w:t>
      </w:r>
      <w:r w:rsidR="002B6AC1" w:rsidRPr="00147D0A">
        <w:rPr>
          <w:rFonts w:ascii="Arial Hebrew" w:hAnsi="Arial Hebrew" w:cs="Arial Hebrew" w:hint="cs"/>
          <w:color w:val="000000" w:themeColor="text1"/>
          <w:sz w:val="20"/>
          <w:szCs w:val="20"/>
        </w:rPr>
        <w:t xml:space="preserve"> delay, carry wide uncertainty, and embed biased perceptions and flawed methodologies. T</w:t>
      </w:r>
      <w:r w:rsidR="005C199F" w:rsidRPr="00147D0A">
        <w:rPr>
          <w:rFonts w:ascii="Arial Hebrew" w:hAnsi="Arial Hebrew" w:cs="Arial Hebrew" w:hint="cs"/>
          <w:color w:val="000000" w:themeColor="text1"/>
          <w:sz w:val="20"/>
          <w:szCs w:val="20"/>
        </w:rPr>
        <w:t>hat</w:t>
      </w:r>
      <w:r w:rsidR="002B6AC1" w:rsidRPr="00147D0A">
        <w:rPr>
          <w:rFonts w:ascii="Arial Hebrew" w:hAnsi="Arial Hebrew" w:cs="Arial Hebrew" w:hint="cs"/>
          <w:color w:val="000000" w:themeColor="text1"/>
          <w:sz w:val="20"/>
          <w:szCs w:val="20"/>
        </w:rPr>
        <w:t xml:space="preserve"> reliance reflects a lack of available alternatives, but </w:t>
      </w:r>
      <w:r w:rsidR="00D3486E" w:rsidRPr="00147D0A">
        <w:rPr>
          <w:rFonts w:ascii="Arial Hebrew" w:hAnsi="Arial Hebrew" w:cs="Arial Hebrew" w:hint="cs"/>
          <w:color w:val="000000" w:themeColor="text1"/>
          <w:sz w:val="20"/>
          <w:szCs w:val="20"/>
        </w:rPr>
        <w:t xml:space="preserve">a </w:t>
      </w:r>
      <w:r w:rsidR="002B6AC1" w:rsidRPr="00147D0A">
        <w:rPr>
          <w:rFonts w:ascii="Arial Hebrew" w:hAnsi="Arial Hebrew" w:cs="Arial Hebrew" w:hint="cs"/>
          <w:color w:val="000000" w:themeColor="text1"/>
          <w:sz w:val="20"/>
          <w:szCs w:val="20"/>
        </w:rPr>
        <w:t xml:space="preserve">growing recognition of the problem </w:t>
      </w:r>
      <w:r w:rsidR="00D3486E" w:rsidRPr="00147D0A">
        <w:rPr>
          <w:rFonts w:ascii="Arial Hebrew" w:hAnsi="Arial Hebrew" w:cs="Arial Hebrew" w:hint="cs"/>
          <w:color w:val="000000" w:themeColor="text1"/>
          <w:sz w:val="20"/>
          <w:szCs w:val="20"/>
        </w:rPr>
        <w:t>presents</w:t>
      </w:r>
      <w:r w:rsidR="00631C88" w:rsidRPr="00147D0A">
        <w:rPr>
          <w:rFonts w:ascii="Arial Hebrew" w:hAnsi="Arial Hebrew" w:cs="Arial Hebrew" w:hint="cs"/>
          <w:color w:val="000000" w:themeColor="text1"/>
          <w:sz w:val="20"/>
          <w:szCs w:val="20"/>
        </w:rPr>
        <w:t xml:space="preserve"> presents</w:t>
      </w:r>
      <w:r w:rsidR="002B6AC1" w:rsidRPr="00147D0A">
        <w:rPr>
          <w:rFonts w:ascii="Arial Hebrew" w:hAnsi="Arial Hebrew" w:cs="Arial Hebrew" w:hint="cs"/>
          <w:color w:val="000000" w:themeColor="text1"/>
          <w:sz w:val="20"/>
          <w:szCs w:val="20"/>
        </w:rPr>
        <w:t xml:space="preserve"> an opportunity for innovation</w:t>
      </w:r>
      <w:r w:rsidR="00631C88" w:rsidRPr="00147D0A">
        <w:rPr>
          <w:rFonts w:ascii="Arial Hebrew" w:hAnsi="Arial Hebrew" w:cs="Arial Hebrew" w:hint="cs"/>
          <w:color w:val="000000" w:themeColor="text1"/>
          <w:sz w:val="20"/>
          <w:szCs w:val="20"/>
        </w:rPr>
        <w:t xml:space="preserve"> with the development of a</w:t>
      </w:r>
      <w:r w:rsidR="0065111A" w:rsidRPr="00147D0A">
        <w:rPr>
          <w:rFonts w:ascii="Arial Hebrew" w:hAnsi="Arial Hebrew" w:cs="Arial Hebrew" w:hint="cs"/>
          <w:color w:val="000000" w:themeColor="text1"/>
          <w:sz w:val="20"/>
          <w:szCs w:val="20"/>
        </w:rPr>
        <w:t xml:space="preserve"> </w:t>
      </w:r>
      <w:r w:rsidR="00D3486E" w:rsidRPr="00147D0A">
        <w:rPr>
          <w:rFonts w:ascii="Arial Hebrew" w:hAnsi="Arial Hebrew" w:cs="Arial Hebrew" w:hint="cs"/>
          <w:color w:val="000000" w:themeColor="text1"/>
          <w:sz w:val="20"/>
          <w:szCs w:val="20"/>
        </w:rPr>
        <w:t xml:space="preserve">new indicator </w:t>
      </w:r>
      <w:r w:rsidR="005C199F" w:rsidRPr="00147D0A">
        <w:rPr>
          <w:rFonts w:ascii="Arial Hebrew" w:hAnsi="Arial Hebrew" w:cs="Arial Hebrew" w:hint="cs"/>
          <w:color w:val="000000" w:themeColor="text1"/>
          <w:sz w:val="20"/>
          <w:szCs w:val="20"/>
        </w:rPr>
        <w:t xml:space="preserve">of </w:t>
      </w:r>
      <w:r w:rsidR="00631C88" w:rsidRPr="00147D0A">
        <w:rPr>
          <w:rFonts w:ascii="Arial Hebrew" w:hAnsi="Arial Hebrew" w:cs="Arial Hebrew" w:hint="cs"/>
          <w:color w:val="000000" w:themeColor="text1"/>
          <w:sz w:val="20"/>
          <w:szCs w:val="20"/>
        </w:rPr>
        <w:t>observable service</w:t>
      </w:r>
      <w:r w:rsidR="005C199F" w:rsidRPr="00147D0A">
        <w:rPr>
          <w:rFonts w:ascii="Arial Hebrew" w:hAnsi="Arial Hebrew" w:cs="Arial Hebrew" w:hint="cs"/>
          <w:color w:val="000000" w:themeColor="text1"/>
          <w:sz w:val="20"/>
          <w:szCs w:val="20"/>
        </w:rPr>
        <w:t>-</w:t>
      </w:r>
      <w:r w:rsidR="00D3486E" w:rsidRPr="00147D0A">
        <w:rPr>
          <w:rFonts w:ascii="Arial Hebrew" w:hAnsi="Arial Hebrew" w:cs="Arial Hebrew" w:hint="cs"/>
          <w:color w:val="000000" w:themeColor="text1"/>
          <w:sz w:val="20"/>
          <w:szCs w:val="20"/>
        </w:rPr>
        <w:t>delivery</w:t>
      </w:r>
      <w:r w:rsidR="00631C88" w:rsidRPr="00147D0A">
        <w:rPr>
          <w:rFonts w:ascii="Arial Hebrew" w:hAnsi="Arial Hebrew" w:cs="Arial Hebrew" w:hint="cs"/>
          <w:color w:val="000000" w:themeColor="text1"/>
          <w:sz w:val="20"/>
          <w:szCs w:val="20"/>
        </w:rPr>
        <w:t xml:space="preserve"> standards; a global trust index. Leveraging the digital transformation of government, this indicator would </w:t>
      </w:r>
      <w:r w:rsidR="00647378" w:rsidRPr="00147D0A">
        <w:rPr>
          <w:rFonts w:ascii="Arial Hebrew" w:hAnsi="Arial Hebrew" w:cs="Arial Hebrew" w:hint="cs"/>
          <w:color w:val="000000" w:themeColor="text1"/>
          <w:sz w:val="20"/>
          <w:szCs w:val="20"/>
        </w:rPr>
        <w:t>draw upon</w:t>
      </w:r>
      <w:r w:rsidR="00631C88" w:rsidRPr="00147D0A">
        <w:rPr>
          <w:rFonts w:ascii="Arial Hebrew" w:hAnsi="Arial Hebrew" w:cs="Arial Hebrew" w:hint="cs"/>
          <w:color w:val="000000" w:themeColor="text1"/>
          <w:sz w:val="20"/>
          <w:szCs w:val="20"/>
        </w:rPr>
        <w:t xml:space="preserve"> </w:t>
      </w:r>
      <w:r w:rsidR="00D3486E" w:rsidRPr="00147D0A">
        <w:rPr>
          <w:rFonts w:ascii="Arial Hebrew" w:hAnsi="Arial Hebrew" w:cs="Arial Hebrew" w:hint="cs"/>
          <w:color w:val="000000" w:themeColor="text1"/>
          <w:sz w:val="20"/>
          <w:szCs w:val="20"/>
        </w:rPr>
        <w:t xml:space="preserve">novel sources of high-frequency data </w:t>
      </w:r>
      <w:r w:rsidR="00631C88" w:rsidRPr="00147D0A">
        <w:rPr>
          <w:rFonts w:ascii="Arial Hebrew" w:hAnsi="Arial Hebrew" w:cs="Arial Hebrew" w:hint="cs"/>
          <w:color w:val="000000" w:themeColor="text1"/>
          <w:sz w:val="20"/>
          <w:szCs w:val="20"/>
        </w:rPr>
        <w:t>to</w:t>
      </w:r>
      <w:r w:rsidR="005C199F" w:rsidRPr="00147D0A">
        <w:rPr>
          <w:rFonts w:ascii="Arial Hebrew" w:hAnsi="Arial Hebrew" w:cs="Arial Hebrew" w:hint="cs"/>
          <w:color w:val="000000" w:themeColor="text1"/>
          <w:sz w:val="20"/>
          <w:szCs w:val="20"/>
        </w:rPr>
        <w:t xml:space="preserve"> better</w:t>
      </w:r>
      <w:r w:rsidR="00D3486E" w:rsidRPr="00147D0A">
        <w:rPr>
          <w:rFonts w:ascii="Arial Hebrew" w:hAnsi="Arial Hebrew" w:cs="Arial Hebrew" w:hint="cs"/>
          <w:color w:val="000000" w:themeColor="text1"/>
          <w:sz w:val="20"/>
          <w:szCs w:val="20"/>
        </w:rPr>
        <w:t xml:space="preserve"> </w:t>
      </w:r>
      <w:r w:rsidR="00631C88" w:rsidRPr="00147D0A">
        <w:rPr>
          <w:rFonts w:ascii="Arial Hebrew" w:hAnsi="Arial Hebrew" w:cs="Arial Hebrew" w:hint="cs"/>
          <w:color w:val="000000" w:themeColor="text1"/>
          <w:sz w:val="20"/>
          <w:szCs w:val="20"/>
        </w:rPr>
        <w:t xml:space="preserve">reveal the credit-relevant institutional </w:t>
      </w:r>
      <w:r w:rsidR="005C199F" w:rsidRPr="00147D0A">
        <w:rPr>
          <w:rFonts w:ascii="Arial Hebrew" w:hAnsi="Arial Hebrew" w:cs="Arial Hebrew" w:hint="cs"/>
          <w:color w:val="000000" w:themeColor="text1"/>
          <w:sz w:val="20"/>
          <w:szCs w:val="20"/>
        </w:rPr>
        <w:t>qualities</w:t>
      </w:r>
      <w:r w:rsidR="00631C88" w:rsidRPr="00147D0A">
        <w:rPr>
          <w:rFonts w:ascii="Arial Hebrew" w:hAnsi="Arial Hebrew" w:cs="Arial Hebrew" w:hint="cs"/>
          <w:color w:val="000000" w:themeColor="text1"/>
          <w:sz w:val="20"/>
          <w:szCs w:val="20"/>
        </w:rPr>
        <w:t xml:space="preserve"> of governments</w:t>
      </w:r>
      <w:r w:rsidR="005C199F" w:rsidRPr="00147D0A">
        <w:rPr>
          <w:rFonts w:ascii="Arial Hebrew" w:hAnsi="Arial Hebrew" w:cs="Arial Hebrew" w:hint="cs"/>
          <w:color w:val="000000" w:themeColor="text1"/>
          <w:sz w:val="20"/>
          <w:szCs w:val="20"/>
        </w:rPr>
        <w:t xml:space="preserve"> to global capital markets.</w:t>
      </w:r>
      <w:r w:rsidR="00D3486E" w:rsidRPr="00147D0A">
        <w:rPr>
          <w:rFonts w:ascii="Arial Hebrew" w:hAnsi="Arial Hebrew" w:cs="Arial Hebrew" w:hint="cs"/>
          <w:color w:val="000000" w:themeColor="text1"/>
          <w:sz w:val="20"/>
          <w:szCs w:val="20"/>
        </w:rPr>
        <w:t xml:space="preserve"> </w:t>
      </w:r>
    </w:p>
    <w:p w14:paraId="5C61F480" w14:textId="129CB8B5" w:rsidR="00D3486E" w:rsidRPr="00147D0A" w:rsidRDefault="00D3486E" w:rsidP="0031570D">
      <w:pPr>
        <w:pStyle w:val="NormalWeb"/>
        <w:spacing w:before="0" w:beforeAutospacing="0" w:after="0" w:afterAutospacing="0" w:line="360" w:lineRule="auto"/>
        <w:ind w:firstLine="720"/>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The construction of this index on an international scale would require an ongoing, large-scale research program and significant </w:t>
      </w:r>
      <w:r w:rsidR="00D9086B" w:rsidRPr="00147D0A">
        <w:rPr>
          <w:rFonts w:ascii="Arial Hebrew" w:hAnsi="Arial Hebrew" w:cs="Arial Hebrew" w:hint="cs"/>
          <w:color w:val="000000" w:themeColor="text1"/>
          <w:sz w:val="20"/>
          <w:szCs w:val="20"/>
        </w:rPr>
        <w:t xml:space="preserve">collaboration and </w:t>
      </w:r>
      <w:r w:rsidRPr="00147D0A">
        <w:rPr>
          <w:rFonts w:ascii="Arial Hebrew" w:hAnsi="Arial Hebrew" w:cs="Arial Hebrew" w:hint="cs"/>
          <w:color w:val="000000" w:themeColor="text1"/>
          <w:sz w:val="20"/>
          <w:szCs w:val="20"/>
        </w:rPr>
        <w:t>investment</w:t>
      </w:r>
      <w:r w:rsidR="0087257F"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 xml:space="preserve">by governments. </w:t>
      </w:r>
      <w:r w:rsidR="0087257F" w:rsidRPr="00147D0A">
        <w:rPr>
          <w:rFonts w:ascii="Arial Hebrew" w:hAnsi="Arial Hebrew" w:cs="Arial Hebrew" w:hint="cs"/>
          <w:color w:val="000000" w:themeColor="text1"/>
          <w:sz w:val="20"/>
          <w:szCs w:val="20"/>
        </w:rPr>
        <w:t>However, this is the exactly the scale of undertaking proposed in the recommendations accompanying the World Bank’s external review of its Worldwide Governance Indicators:</w:t>
      </w:r>
    </w:p>
    <w:p w14:paraId="31C3BD3D" w14:textId="439421D2" w:rsidR="002B6AC1" w:rsidRPr="00147D0A" w:rsidRDefault="0087257F" w:rsidP="0031570D">
      <w:pPr>
        <w:pStyle w:val="NormalWeb"/>
        <w:spacing w:before="240" w:beforeAutospacing="0" w:after="240" w:afterAutospacing="0" w:line="360" w:lineRule="auto"/>
        <w:ind w:left="720"/>
        <w:jc w:val="both"/>
        <w:rPr>
          <w:rFonts w:ascii="Arial Hebrew" w:hAnsi="Arial Hebrew" w:cs="Arial Hebrew"/>
          <w:i/>
          <w:iCs/>
          <w:color w:val="000000" w:themeColor="text1"/>
          <w:sz w:val="18"/>
          <w:szCs w:val="18"/>
        </w:rPr>
      </w:pPr>
      <w:r w:rsidRPr="00147D0A">
        <w:rPr>
          <w:rFonts w:ascii="Arial Hebrew" w:hAnsi="Arial Hebrew" w:cs="Arial Hebrew" w:hint="cs"/>
          <w:i/>
          <w:iCs/>
          <w:sz w:val="18"/>
          <w:szCs w:val="18"/>
        </w:rPr>
        <w:t>We also recommend that the Bank invests in new measures of the absolute quality of governance, that can both guide efforts by countries to improve governance and serve as a data source for rating agencies and other users of WGI. However, this process is likely to take both time and resources (in our estimate 3-5 years at a minimum).</w:t>
      </w:r>
    </w:p>
    <w:p w14:paraId="7F61A7A0" w14:textId="77777777" w:rsidR="003A5817" w:rsidRDefault="00A667FD" w:rsidP="003A5817">
      <w:pPr>
        <w:pStyle w:val="NormalWeb"/>
        <w:spacing w:before="0" w:beforeAutospacing="0" w:after="0" w:afterAutospacing="0" w:line="360" w:lineRule="auto"/>
        <w:jc w:val="both"/>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With the support of this recommendation, capital markets are in a position to demand the development of an index for </w:t>
      </w:r>
      <w:r w:rsidR="00647378" w:rsidRPr="00147D0A">
        <w:rPr>
          <w:rFonts w:ascii="Arial Hebrew" w:hAnsi="Arial Hebrew" w:cs="Arial Hebrew" w:hint="cs"/>
          <w:color w:val="000000" w:themeColor="text1"/>
          <w:sz w:val="20"/>
          <w:szCs w:val="20"/>
        </w:rPr>
        <w:t>sovereign and sub-sovereign credit</w:t>
      </w:r>
      <w:r w:rsidR="000862AA" w:rsidRPr="00147D0A">
        <w:rPr>
          <w:rFonts w:ascii="Arial Hebrew" w:hAnsi="Arial Hebrew" w:cs="Arial Hebrew" w:hint="cs"/>
          <w:color w:val="000000" w:themeColor="text1"/>
          <w:sz w:val="20"/>
          <w:szCs w:val="20"/>
        </w:rPr>
        <w:t xml:space="preserve"> assessments </w:t>
      </w:r>
      <w:r w:rsidRPr="00147D0A">
        <w:rPr>
          <w:rFonts w:ascii="Arial Hebrew" w:hAnsi="Arial Hebrew" w:cs="Arial Hebrew" w:hint="cs"/>
          <w:color w:val="000000" w:themeColor="text1"/>
          <w:sz w:val="20"/>
          <w:szCs w:val="20"/>
        </w:rPr>
        <w:t xml:space="preserve">that </w:t>
      </w:r>
      <w:r w:rsidR="000862AA" w:rsidRPr="00147D0A">
        <w:rPr>
          <w:rFonts w:ascii="Arial Hebrew" w:hAnsi="Arial Hebrew" w:cs="Arial Hebrew" w:hint="cs"/>
          <w:color w:val="000000" w:themeColor="text1"/>
          <w:sz w:val="20"/>
          <w:szCs w:val="20"/>
        </w:rPr>
        <w:t>more credibly captures</w:t>
      </w:r>
      <w:r w:rsidRPr="00147D0A">
        <w:rPr>
          <w:rFonts w:ascii="Arial Hebrew" w:hAnsi="Arial Hebrew" w:cs="Arial Hebrew" w:hint="cs"/>
          <w:color w:val="000000" w:themeColor="text1"/>
          <w:sz w:val="20"/>
          <w:szCs w:val="20"/>
        </w:rPr>
        <w:t xml:space="preserve"> the qualities of</w:t>
      </w:r>
      <w:r w:rsidR="00631C88" w:rsidRPr="00147D0A">
        <w:rPr>
          <w:rFonts w:ascii="Arial Hebrew" w:hAnsi="Arial Hebrew" w:cs="Arial Hebrew" w:hint="cs"/>
          <w:color w:val="000000" w:themeColor="text1"/>
          <w:sz w:val="20"/>
          <w:szCs w:val="20"/>
        </w:rPr>
        <w:t xml:space="preserve"> good</w:t>
      </w:r>
      <w:r w:rsidRPr="00147D0A">
        <w:rPr>
          <w:rFonts w:ascii="Arial Hebrew" w:hAnsi="Arial Hebrew" w:cs="Arial Hebrew" w:hint="cs"/>
          <w:color w:val="000000" w:themeColor="text1"/>
          <w:sz w:val="20"/>
          <w:szCs w:val="20"/>
        </w:rPr>
        <w:t xml:space="preserve"> governance. The technical challenges in constructing such an index are substantial but </w:t>
      </w:r>
      <w:r w:rsidR="000862AA" w:rsidRPr="00147D0A">
        <w:rPr>
          <w:rFonts w:ascii="Arial Hebrew" w:hAnsi="Arial Hebrew" w:cs="Arial Hebrew" w:hint="cs"/>
          <w:color w:val="000000" w:themeColor="text1"/>
          <w:sz w:val="20"/>
          <w:szCs w:val="20"/>
        </w:rPr>
        <w:t>can be</w:t>
      </w:r>
      <w:r w:rsidR="0031570D" w:rsidRPr="00147D0A">
        <w:rPr>
          <w:rFonts w:ascii="Arial Hebrew" w:hAnsi="Arial Hebrew" w:cs="Arial Hebrew" w:hint="cs"/>
          <w:color w:val="000000" w:themeColor="text1"/>
          <w:sz w:val="20"/>
          <w:szCs w:val="20"/>
        </w:rPr>
        <w:t xml:space="preserve"> realistically</w:t>
      </w:r>
      <w:r w:rsidR="00647378" w:rsidRPr="00147D0A">
        <w:rPr>
          <w:rFonts w:ascii="Arial Hebrew" w:hAnsi="Arial Hebrew" w:cs="Arial Hebrew" w:hint="cs"/>
          <w:color w:val="000000" w:themeColor="text1"/>
          <w:sz w:val="20"/>
          <w:szCs w:val="20"/>
        </w:rPr>
        <w:t xml:space="preserve"> met</w:t>
      </w:r>
      <w:r w:rsidR="0031570D" w:rsidRPr="00147D0A">
        <w:rPr>
          <w:rFonts w:ascii="Arial Hebrew" w:hAnsi="Arial Hebrew" w:cs="Arial Hebrew" w:hint="cs"/>
          <w:color w:val="000000" w:themeColor="text1"/>
          <w:sz w:val="20"/>
          <w:szCs w:val="20"/>
        </w:rPr>
        <w:t xml:space="preserve"> </w:t>
      </w:r>
      <w:r w:rsidR="000862AA" w:rsidRPr="00147D0A">
        <w:rPr>
          <w:rFonts w:ascii="Arial Hebrew" w:hAnsi="Arial Hebrew" w:cs="Arial Hebrew" w:hint="cs"/>
          <w:color w:val="000000" w:themeColor="text1"/>
          <w:sz w:val="20"/>
          <w:szCs w:val="20"/>
        </w:rPr>
        <w:t>by virtue of</w:t>
      </w:r>
      <w:r w:rsidR="0031570D" w:rsidRPr="00147D0A">
        <w:rPr>
          <w:rFonts w:ascii="Arial Hebrew" w:hAnsi="Arial Hebrew" w:cs="Arial Hebrew" w:hint="cs"/>
          <w:color w:val="000000" w:themeColor="text1"/>
          <w:sz w:val="20"/>
          <w:szCs w:val="20"/>
        </w:rPr>
        <w:t xml:space="preserve"> the</w:t>
      </w:r>
      <w:r w:rsidRPr="00147D0A">
        <w:rPr>
          <w:rFonts w:ascii="Arial Hebrew" w:hAnsi="Arial Hebrew" w:cs="Arial Hebrew" w:hint="cs"/>
          <w:color w:val="000000" w:themeColor="text1"/>
          <w:sz w:val="20"/>
          <w:szCs w:val="20"/>
        </w:rPr>
        <w:t xml:space="preserve"> </w:t>
      </w:r>
      <w:r w:rsidR="0031570D" w:rsidRPr="00147D0A">
        <w:rPr>
          <w:rFonts w:ascii="Arial Hebrew" w:hAnsi="Arial Hebrew" w:cs="Arial Hebrew" w:hint="cs"/>
          <w:color w:val="000000" w:themeColor="text1"/>
          <w:sz w:val="20"/>
          <w:szCs w:val="20"/>
        </w:rPr>
        <w:t>p</w:t>
      </w:r>
      <w:r w:rsidRPr="00147D0A">
        <w:rPr>
          <w:rFonts w:ascii="Arial Hebrew" w:hAnsi="Arial Hebrew" w:cs="Arial Hebrew" w:hint="cs"/>
          <w:color w:val="000000" w:themeColor="text1"/>
          <w:sz w:val="20"/>
          <w:szCs w:val="20"/>
        </w:rPr>
        <w:t>roliferati</w:t>
      </w:r>
      <w:r w:rsidR="0031570D" w:rsidRPr="00147D0A">
        <w:rPr>
          <w:rFonts w:ascii="Arial Hebrew" w:hAnsi="Arial Hebrew" w:cs="Arial Hebrew" w:hint="cs"/>
          <w:color w:val="000000" w:themeColor="text1"/>
          <w:sz w:val="20"/>
          <w:szCs w:val="20"/>
        </w:rPr>
        <w:t xml:space="preserve">on </w:t>
      </w:r>
      <w:r w:rsidRPr="00147D0A">
        <w:rPr>
          <w:rFonts w:ascii="Arial Hebrew" w:hAnsi="Arial Hebrew" w:cs="Arial Hebrew" w:hint="cs"/>
          <w:color w:val="000000" w:themeColor="text1"/>
          <w:sz w:val="20"/>
          <w:szCs w:val="20"/>
        </w:rPr>
        <w:t>digital government platform</w:t>
      </w:r>
      <w:r w:rsidR="00647378" w:rsidRPr="00147D0A">
        <w:rPr>
          <w:rFonts w:ascii="Arial Hebrew" w:hAnsi="Arial Hebrew" w:cs="Arial Hebrew" w:hint="cs"/>
          <w:color w:val="000000" w:themeColor="text1"/>
          <w:sz w:val="20"/>
          <w:szCs w:val="20"/>
        </w:rPr>
        <w:t>s</w:t>
      </w:r>
      <w:r w:rsidR="005C199F" w:rsidRPr="00147D0A">
        <w:rPr>
          <w:rFonts w:ascii="Arial Hebrew" w:hAnsi="Arial Hebrew" w:cs="Arial Hebrew" w:hint="cs"/>
          <w:color w:val="000000" w:themeColor="text1"/>
          <w:sz w:val="20"/>
          <w:szCs w:val="20"/>
        </w:rPr>
        <w:t>, open data standards</w:t>
      </w:r>
      <w:r w:rsidR="00647378" w:rsidRPr="00147D0A">
        <w:rPr>
          <w:rFonts w:ascii="Arial Hebrew" w:hAnsi="Arial Hebrew" w:cs="Arial Hebrew" w:hint="cs"/>
          <w:color w:val="000000" w:themeColor="text1"/>
          <w:sz w:val="20"/>
          <w:szCs w:val="20"/>
        </w:rPr>
        <w:t xml:space="preserve"> and</w:t>
      </w:r>
      <w:r w:rsidRPr="00147D0A">
        <w:rPr>
          <w:rFonts w:ascii="Arial Hebrew" w:hAnsi="Arial Hebrew" w:cs="Arial Hebrew" w:hint="cs"/>
          <w:color w:val="000000" w:themeColor="text1"/>
          <w:sz w:val="20"/>
          <w:szCs w:val="20"/>
        </w:rPr>
        <w:t xml:space="preserve"> </w:t>
      </w:r>
      <w:r w:rsidR="00647378" w:rsidRPr="00147D0A">
        <w:rPr>
          <w:rFonts w:ascii="Arial Hebrew" w:hAnsi="Arial Hebrew" w:cs="Arial Hebrew" w:hint="cs"/>
          <w:color w:val="000000" w:themeColor="text1"/>
          <w:sz w:val="20"/>
          <w:szCs w:val="20"/>
        </w:rPr>
        <w:t>accelerating progress</w:t>
      </w:r>
      <w:r w:rsidRPr="00147D0A">
        <w:rPr>
          <w:rFonts w:ascii="Arial Hebrew" w:hAnsi="Arial Hebrew" w:cs="Arial Hebrew" w:hint="cs"/>
          <w:color w:val="000000" w:themeColor="text1"/>
          <w:sz w:val="20"/>
          <w:szCs w:val="20"/>
        </w:rPr>
        <w:t xml:space="preserve"> in </w:t>
      </w:r>
      <w:r w:rsidR="00647378" w:rsidRPr="00147D0A">
        <w:rPr>
          <w:rFonts w:ascii="Arial Hebrew" w:hAnsi="Arial Hebrew" w:cs="Arial Hebrew" w:hint="cs"/>
          <w:color w:val="000000" w:themeColor="text1"/>
          <w:sz w:val="20"/>
          <w:szCs w:val="20"/>
        </w:rPr>
        <w:t>information technologies</w:t>
      </w:r>
      <w:r w:rsidRPr="00147D0A">
        <w:rPr>
          <w:rFonts w:ascii="Arial Hebrew" w:hAnsi="Arial Hebrew" w:cs="Arial Hebrew" w:hint="cs"/>
          <w:color w:val="000000" w:themeColor="text1"/>
          <w:sz w:val="20"/>
          <w:szCs w:val="20"/>
        </w:rPr>
        <w:t>. In supporting the shift to</w:t>
      </w:r>
      <w:r w:rsidR="00631C88" w:rsidRPr="00147D0A">
        <w:rPr>
          <w:rFonts w:ascii="Arial Hebrew" w:hAnsi="Arial Hebrew" w:cs="Arial Hebrew" w:hint="cs"/>
          <w:color w:val="000000" w:themeColor="text1"/>
          <w:sz w:val="20"/>
          <w:szCs w:val="20"/>
        </w:rPr>
        <w:t xml:space="preserve"> timely, granular, and</w:t>
      </w:r>
      <w:r w:rsidRPr="00147D0A">
        <w:rPr>
          <w:rFonts w:ascii="Arial Hebrew" w:hAnsi="Arial Hebrew" w:cs="Arial Hebrew" w:hint="cs"/>
          <w:color w:val="000000" w:themeColor="text1"/>
          <w:sz w:val="20"/>
          <w:szCs w:val="20"/>
        </w:rPr>
        <w:t xml:space="preserve"> outcome-driven </w:t>
      </w:r>
      <w:r w:rsidR="0031570D" w:rsidRPr="00147D0A">
        <w:rPr>
          <w:rFonts w:ascii="Arial Hebrew" w:hAnsi="Arial Hebrew" w:cs="Arial Hebrew" w:hint="cs"/>
          <w:color w:val="000000" w:themeColor="text1"/>
          <w:sz w:val="20"/>
          <w:szCs w:val="20"/>
        </w:rPr>
        <w:t>criteria</w:t>
      </w:r>
      <w:r w:rsidRPr="00147D0A">
        <w:rPr>
          <w:rFonts w:ascii="Arial Hebrew" w:hAnsi="Arial Hebrew" w:cs="Arial Hebrew" w:hint="cs"/>
          <w:color w:val="000000" w:themeColor="text1"/>
          <w:sz w:val="20"/>
          <w:szCs w:val="20"/>
        </w:rPr>
        <w:t xml:space="preserve"> in institutional </w:t>
      </w:r>
      <w:r w:rsidR="0031570D" w:rsidRPr="00147D0A">
        <w:rPr>
          <w:rFonts w:ascii="Arial Hebrew" w:hAnsi="Arial Hebrew" w:cs="Arial Hebrew" w:hint="cs"/>
          <w:color w:val="000000" w:themeColor="text1"/>
          <w:sz w:val="20"/>
          <w:szCs w:val="20"/>
        </w:rPr>
        <w:t>evaluation</w:t>
      </w:r>
      <w:r w:rsidRPr="00147D0A">
        <w:rPr>
          <w:rFonts w:ascii="Arial Hebrew" w:hAnsi="Arial Hebrew" w:cs="Arial Hebrew" w:hint="cs"/>
          <w:color w:val="000000" w:themeColor="text1"/>
          <w:sz w:val="20"/>
          <w:szCs w:val="20"/>
        </w:rPr>
        <w:t xml:space="preserve">, a global trust index </w:t>
      </w:r>
      <w:r w:rsidR="005C199F" w:rsidRPr="00147D0A">
        <w:rPr>
          <w:rFonts w:ascii="Arial Hebrew" w:hAnsi="Arial Hebrew" w:cs="Arial Hebrew" w:hint="cs"/>
          <w:color w:val="000000" w:themeColor="text1"/>
          <w:sz w:val="20"/>
          <w:szCs w:val="20"/>
        </w:rPr>
        <w:t>serves to</w:t>
      </w:r>
      <w:r w:rsidR="00647378" w:rsidRPr="00147D0A">
        <w:rPr>
          <w:rFonts w:ascii="Arial Hebrew" w:hAnsi="Arial Hebrew" w:cs="Arial Hebrew" w:hint="cs"/>
          <w:color w:val="000000" w:themeColor="text1"/>
          <w:sz w:val="20"/>
          <w:szCs w:val="20"/>
        </w:rPr>
        <w:t xml:space="preserve"> justify investments in service </w:t>
      </w:r>
      <w:r w:rsidR="005C199F" w:rsidRPr="00147D0A">
        <w:rPr>
          <w:rFonts w:ascii="Arial Hebrew" w:hAnsi="Arial Hebrew" w:cs="Arial Hebrew" w:hint="cs"/>
          <w:color w:val="000000" w:themeColor="text1"/>
          <w:sz w:val="20"/>
          <w:szCs w:val="20"/>
        </w:rPr>
        <w:t>improvement and digital infrastructure</w:t>
      </w:r>
      <w:r w:rsidRPr="00147D0A">
        <w:rPr>
          <w:rFonts w:ascii="Arial Hebrew" w:hAnsi="Arial Hebrew" w:cs="Arial Hebrew" w:hint="cs"/>
          <w:color w:val="000000" w:themeColor="text1"/>
          <w:sz w:val="20"/>
          <w:szCs w:val="20"/>
        </w:rPr>
        <w:t>. In doing so, a powerful mechanism can be created</w:t>
      </w:r>
      <w:r w:rsidR="00631C88" w:rsidRPr="00147D0A">
        <w:rPr>
          <w:rFonts w:ascii="Arial Hebrew" w:hAnsi="Arial Hebrew" w:cs="Arial Hebrew" w:hint="cs"/>
          <w:color w:val="000000" w:themeColor="text1"/>
          <w:sz w:val="20"/>
          <w:szCs w:val="20"/>
        </w:rPr>
        <w:t xml:space="preserve"> </w:t>
      </w:r>
      <w:r w:rsidR="0036618E" w:rsidRPr="00147D0A">
        <w:rPr>
          <w:rFonts w:ascii="Arial Hebrew" w:hAnsi="Arial Hebrew" w:cs="Arial Hebrew" w:hint="cs"/>
          <w:color w:val="000000" w:themeColor="text1"/>
          <w:sz w:val="20"/>
          <w:szCs w:val="20"/>
        </w:rPr>
        <w:t>that</w:t>
      </w:r>
      <w:r w:rsidR="0031570D" w:rsidRPr="00147D0A">
        <w:rPr>
          <w:rFonts w:ascii="Arial Hebrew" w:hAnsi="Arial Hebrew" w:cs="Arial Hebrew" w:hint="cs"/>
          <w:color w:val="000000" w:themeColor="text1"/>
          <w:sz w:val="20"/>
          <w:szCs w:val="20"/>
        </w:rPr>
        <w:t xml:space="preserve"> </w:t>
      </w:r>
      <w:r w:rsidRPr="00147D0A">
        <w:rPr>
          <w:rFonts w:ascii="Arial Hebrew" w:hAnsi="Arial Hebrew" w:cs="Arial Hebrew" w:hint="cs"/>
          <w:color w:val="000000" w:themeColor="text1"/>
          <w:sz w:val="20"/>
          <w:szCs w:val="20"/>
        </w:rPr>
        <w:t>link</w:t>
      </w:r>
      <w:r w:rsidR="00631C88" w:rsidRPr="00147D0A">
        <w:rPr>
          <w:rFonts w:ascii="Arial Hebrew" w:hAnsi="Arial Hebrew" w:cs="Arial Hebrew" w:hint="cs"/>
          <w:color w:val="000000" w:themeColor="text1"/>
          <w:sz w:val="20"/>
          <w:szCs w:val="20"/>
        </w:rPr>
        <w:t>s</w:t>
      </w:r>
      <w:r w:rsidRPr="00147D0A">
        <w:rPr>
          <w:rFonts w:ascii="Arial Hebrew" w:hAnsi="Arial Hebrew" w:cs="Arial Hebrew" w:hint="cs"/>
          <w:color w:val="000000" w:themeColor="text1"/>
          <w:sz w:val="20"/>
          <w:szCs w:val="20"/>
        </w:rPr>
        <w:t xml:space="preserve"> lower borrowing costs </w:t>
      </w:r>
      <w:r w:rsidR="0036618E" w:rsidRPr="00147D0A">
        <w:rPr>
          <w:rFonts w:ascii="Arial Hebrew" w:hAnsi="Arial Hebrew" w:cs="Arial Hebrew" w:hint="cs"/>
          <w:color w:val="000000" w:themeColor="text1"/>
          <w:sz w:val="20"/>
          <w:szCs w:val="20"/>
        </w:rPr>
        <w:t xml:space="preserve">directly </w:t>
      </w:r>
      <w:r w:rsidR="0031570D" w:rsidRPr="00147D0A">
        <w:rPr>
          <w:rFonts w:ascii="Arial Hebrew" w:hAnsi="Arial Hebrew" w:cs="Arial Hebrew" w:hint="cs"/>
          <w:color w:val="000000" w:themeColor="text1"/>
          <w:sz w:val="20"/>
          <w:szCs w:val="20"/>
        </w:rPr>
        <w:t>to</w:t>
      </w:r>
      <w:r w:rsidRPr="00147D0A">
        <w:rPr>
          <w:rFonts w:ascii="Arial Hebrew" w:hAnsi="Arial Hebrew" w:cs="Arial Hebrew" w:hint="cs"/>
          <w:color w:val="000000" w:themeColor="text1"/>
          <w:sz w:val="20"/>
          <w:szCs w:val="20"/>
        </w:rPr>
        <w:t xml:space="preserve"> tangible improvements in governance</w:t>
      </w:r>
      <w:bookmarkEnd w:id="2"/>
      <w:bookmarkEnd w:id="3"/>
      <w:r w:rsidR="008E638A" w:rsidRPr="00147D0A">
        <w:rPr>
          <w:rFonts w:ascii="Arial Hebrew" w:hAnsi="Arial Hebrew" w:cs="Arial Hebrew" w:hint="cs"/>
          <w:color w:val="000000" w:themeColor="text1"/>
          <w:sz w:val="20"/>
          <w:szCs w:val="20"/>
        </w:rPr>
        <w:t>.</w:t>
      </w:r>
    </w:p>
    <w:p w14:paraId="28F8B659" w14:textId="77777777" w:rsidR="003A5817" w:rsidRDefault="003A5817" w:rsidP="003A5817">
      <w:pPr>
        <w:pStyle w:val="NormalWeb"/>
        <w:spacing w:before="0" w:beforeAutospacing="0" w:after="0" w:afterAutospacing="0" w:line="360" w:lineRule="auto"/>
        <w:jc w:val="both"/>
        <w:rPr>
          <w:rFonts w:ascii="Arial Hebrew" w:hAnsi="Arial Hebrew" w:cs="Arial Hebrew"/>
          <w:color w:val="000000" w:themeColor="text1"/>
          <w:sz w:val="20"/>
          <w:szCs w:val="20"/>
        </w:rPr>
      </w:pPr>
    </w:p>
    <w:p w14:paraId="7DE89CAF" w14:textId="10766476" w:rsidR="00094126" w:rsidRPr="003A5817" w:rsidRDefault="00094126" w:rsidP="003A5817">
      <w:pPr>
        <w:pStyle w:val="NormalWeb"/>
        <w:spacing w:before="0" w:beforeAutospacing="0" w:after="0" w:afterAutospacing="0" w:line="360" w:lineRule="auto"/>
        <w:jc w:val="both"/>
        <w:rPr>
          <w:rFonts w:ascii="Arial Hebrew" w:hAnsi="Arial Hebrew" w:cs="Arial Hebrew"/>
          <w:color w:val="000000" w:themeColor="text1"/>
          <w:sz w:val="20"/>
          <w:szCs w:val="20"/>
        </w:rPr>
      </w:pPr>
      <w:r w:rsidRPr="00147D0A">
        <w:rPr>
          <w:rFonts w:ascii="Arial Hebrew" w:hAnsi="Arial Hebrew" w:cs="Arial Hebrew" w:hint="cs"/>
          <w:b/>
          <w:bCs/>
          <w:color w:val="0F4761" w:themeColor="accent1" w:themeShade="BF"/>
          <w:sz w:val="26"/>
          <w:szCs w:val="26"/>
        </w:rPr>
        <w:t xml:space="preserve">References </w:t>
      </w:r>
    </w:p>
    <w:p w14:paraId="3063A018" w14:textId="7C34365E"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Arndt, C., &amp; Oman, C. (2006). </w:t>
      </w:r>
      <w:r w:rsidRPr="00147D0A">
        <w:rPr>
          <w:rFonts w:ascii="Arial Hebrew" w:hAnsi="Arial Hebrew" w:cs="Arial Hebrew" w:hint="cs"/>
          <w:i/>
          <w:iCs/>
          <w:sz w:val="20"/>
          <w:szCs w:val="20"/>
        </w:rPr>
        <w:t>Uses and abuses of governance indicators.</w:t>
      </w:r>
      <w:r w:rsidRPr="00147D0A">
        <w:rPr>
          <w:rFonts w:ascii="Arial Hebrew" w:hAnsi="Arial Hebrew" w:cs="Arial Hebrew" w:hint="cs"/>
          <w:sz w:val="20"/>
          <w:szCs w:val="20"/>
        </w:rPr>
        <w:t xml:space="preserve"> OECD Development Centre. </w:t>
      </w:r>
      <w:hyperlink r:id="rId12" w:history="1">
        <w:r w:rsidR="001E3B81" w:rsidRPr="00147D0A">
          <w:rPr>
            <w:rStyle w:val="Hyperlink"/>
            <w:rFonts w:ascii="Arial Hebrew" w:hAnsi="Arial Hebrew" w:cs="Arial Hebrew" w:hint="cs"/>
            <w:sz w:val="20"/>
            <w:szCs w:val="20"/>
          </w:rPr>
          <w:t>https://doi.org/10.1787/9789264026865-en</w:t>
        </w:r>
      </w:hyperlink>
    </w:p>
    <w:p w14:paraId="37DD8F6E" w14:textId="77777777" w:rsidR="001E3B81" w:rsidRPr="00147D0A" w:rsidRDefault="001E3B81" w:rsidP="001C35F9">
      <w:pPr>
        <w:pStyle w:val="NormalWeb"/>
        <w:spacing w:before="0" w:beforeAutospacing="0" w:after="0" w:afterAutospacing="0"/>
        <w:rPr>
          <w:rFonts w:ascii="Arial Hebrew" w:hAnsi="Arial Hebrew" w:cs="Arial Hebrew"/>
          <w:sz w:val="20"/>
          <w:szCs w:val="20"/>
        </w:rPr>
      </w:pPr>
    </w:p>
    <w:p w14:paraId="25EC20B2" w14:textId="54B3417E" w:rsidR="001E3B81" w:rsidRPr="00147D0A" w:rsidRDefault="001E3B8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Atkinson, Anthony B. </w:t>
      </w:r>
      <w:r w:rsidRPr="00147D0A">
        <w:rPr>
          <w:rFonts w:ascii="Arial Hebrew" w:hAnsi="Arial Hebrew" w:cs="Arial Hebrew" w:hint="cs"/>
          <w:i/>
          <w:iCs/>
          <w:sz w:val="20"/>
          <w:szCs w:val="20"/>
        </w:rPr>
        <w:t>The Atkinson Review: Final Report—Measurement of Government Output and Productivity for the National Accounts.</w:t>
      </w:r>
      <w:r w:rsidRPr="00147D0A">
        <w:rPr>
          <w:rFonts w:ascii="Arial Hebrew" w:hAnsi="Arial Hebrew" w:cs="Arial Hebrew" w:hint="cs"/>
          <w:sz w:val="20"/>
          <w:szCs w:val="20"/>
        </w:rPr>
        <w:t xml:space="preserve"> Palgrave Macmillan, 2005.</w:t>
      </w:r>
    </w:p>
    <w:p w14:paraId="50E3AE29"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2F252029" w14:textId="3E8C81A8"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Baldacci, E., Clements, B., Gupta, S., &amp; Cui, Q. (2008). Social spending, human capital, and growth in developing countries. World Development, 36(8), 1317–1341. </w:t>
      </w:r>
      <w:hyperlink r:id="rId13" w:history="1">
        <w:r w:rsidRPr="00147D0A">
          <w:rPr>
            <w:rStyle w:val="Hyperlink"/>
            <w:rFonts w:ascii="Arial Hebrew" w:hAnsi="Arial Hebrew" w:cs="Arial Hebrew" w:hint="cs"/>
            <w:sz w:val="20"/>
            <w:szCs w:val="20"/>
          </w:rPr>
          <w:t>https://doi.org/10.1016/j.worlddev.2007.08.003</w:t>
        </w:r>
      </w:hyperlink>
    </w:p>
    <w:p w14:paraId="4ACDDBBA"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319C752E" w14:textId="4BDAEF19"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Bergl</w:t>
      </w:r>
      <w:r w:rsidRPr="00147D0A">
        <w:rPr>
          <w:rFonts w:ascii="Cambria" w:hAnsi="Cambria" w:cs="Cambria"/>
          <w:sz w:val="20"/>
          <w:szCs w:val="20"/>
        </w:rPr>
        <w:t>ö</w:t>
      </w:r>
      <w:r w:rsidRPr="00147D0A">
        <w:rPr>
          <w:rFonts w:ascii="Arial Hebrew" w:hAnsi="Arial Hebrew" w:cs="Arial Hebrew" w:hint="cs"/>
          <w:sz w:val="20"/>
          <w:szCs w:val="20"/>
        </w:rPr>
        <w:t xml:space="preserve">f, E., Muralidharan, K., &amp; Pangestu, M. (2024). </w:t>
      </w:r>
      <w:r w:rsidRPr="00147D0A">
        <w:rPr>
          <w:rFonts w:ascii="Arial Hebrew" w:hAnsi="Arial Hebrew" w:cs="Arial Hebrew" w:hint="cs"/>
          <w:i/>
          <w:iCs/>
          <w:sz w:val="20"/>
          <w:szCs w:val="20"/>
        </w:rPr>
        <w:t>External Review of The Worldwide Governance Indicators</w:t>
      </w:r>
      <w:r w:rsidRPr="00147D0A">
        <w:rPr>
          <w:rFonts w:ascii="Arial Hebrew" w:hAnsi="Arial Hebrew" w:cs="Arial Hebrew" w:hint="cs"/>
          <w:sz w:val="20"/>
          <w:szCs w:val="20"/>
        </w:rPr>
        <w:t>. World Bank Group.</w:t>
      </w:r>
    </w:p>
    <w:p w14:paraId="455F7D61"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3F58A88A" w14:textId="6EC1CC36"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Blanchard, O., &amp; Leigh, D. (2013). Growth forecast errors and fiscal multipliers. American Economic Review, 103(3), 117–120. </w:t>
      </w:r>
      <w:hyperlink r:id="rId14" w:history="1">
        <w:r w:rsidRPr="00147D0A">
          <w:rPr>
            <w:rStyle w:val="Hyperlink"/>
            <w:rFonts w:ascii="Arial Hebrew" w:hAnsi="Arial Hebrew" w:cs="Arial Hebrew" w:hint="cs"/>
            <w:sz w:val="20"/>
            <w:szCs w:val="20"/>
          </w:rPr>
          <w:t>https://doi.org/10.1257/aer.103.3.117</w:t>
        </w:r>
      </w:hyperlink>
    </w:p>
    <w:p w14:paraId="1133BEAB"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1DC6E596" w14:textId="7680AFD8"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Bloom, D. E., Canning, D., &amp; Sevilla, J. (2004). The effect of health on economic growth: A production function approach. World Development, 32(1), 1–13. </w:t>
      </w:r>
      <w:hyperlink r:id="rId15" w:history="1">
        <w:r w:rsidRPr="00147D0A">
          <w:rPr>
            <w:rStyle w:val="Hyperlink"/>
            <w:rFonts w:ascii="Arial Hebrew" w:hAnsi="Arial Hebrew" w:cs="Arial Hebrew" w:hint="cs"/>
            <w:sz w:val="20"/>
            <w:szCs w:val="20"/>
          </w:rPr>
          <w:t>https://doi.org/10.1016/j.worlddev.2003.07.002</w:t>
        </w:r>
      </w:hyperlink>
    </w:p>
    <w:p w14:paraId="77F80FE3" w14:textId="77777777" w:rsidR="0036618E" w:rsidRPr="00147D0A" w:rsidRDefault="0036618E" w:rsidP="001C35F9">
      <w:pPr>
        <w:pStyle w:val="NormalWeb"/>
        <w:spacing w:before="0" w:beforeAutospacing="0" w:after="0" w:afterAutospacing="0"/>
        <w:rPr>
          <w:rFonts w:ascii="Arial Hebrew" w:hAnsi="Arial Hebrew" w:cs="Arial Hebrew"/>
          <w:sz w:val="20"/>
          <w:szCs w:val="20"/>
        </w:rPr>
      </w:pPr>
    </w:p>
    <w:p w14:paraId="79D801D1" w14:textId="077831E5" w:rsidR="0036618E" w:rsidRPr="00147D0A" w:rsidRDefault="0036618E"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B</w:t>
      </w:r>
      <w:r w:rsidRPr="00147D0A">
        <w:rPr>
          <w:rFonts w:ascii="Cambria" w:hAnsi="Cambria" w:cs="Cambria"/>
          <w:sz w:val="20"/>
          <w:szCs w:val="20"/>
        </w:rPr>
        <w:t>ü</w:t>
      </w:r>
      <w:r w:rsidRPr="00147D0A">
        <w:rPr>
          <w:rFonts w:ascii="Arial Hebrew" w:hAnsi="Arial Hebrew" w:cs="Arial Hebrew" w:hint="cs"/>
          <w:sz w:val="20"/>
          <w:szCs w:val="20"/>
        </w:rPr>
        <w:t>y</w:t>
      </w:r>
      <w:r w:rsidRPr="00147D0A">
        <w:rPr>
          <w:rFonts w:ascii="Cambria" w:hAnsi="Cambria" w:cs="Cambria"/>
          <w:sz w:val="20"/>
          <w:szCs w:val="20"/>
        </w:rPr>
        <w:t>ü</w:t>
      </w:r>
      <w:r w:rsidRPr="00147D0A">
        <w:rPr>
          <w:rFonts w:ascii="Arial Hebrew" w:hAnsi="Arial Hebrew" w:cs="Arial Hebrew" w:hint="cs"/>
          <w:sz w:val="20"/>
          <w:szCs w:val="20"/>
        </w:rPr>
        <w:t>ko</w:t>
      </w:r>
      <w:r w:rsidRPr="00147D0A">
        <w:rPr>
          <w:rFonts w:ascii="Cambria" w:hAnsi="Cambria" w:cs="Cambria"/>
          <w:sz w:val="20"/>
          <w:szCs w:val="20"/>
        </w:rPr>
        <w:t>ğ</w:t>
      </w:r>
      <w:r w:rsidRPr="00147D0A">
        <w:rPr>
          <w:rFonts w:ascii="Arial Hebrew" w:hAnsi="Arial Hebrew" w:cs="Arial Hebrew" w:hint="cs"/>
          <w:sz w:val="20"/>
          <w:szCs w:val="20"/>
        </w:rPr>
        <w:t xml:space="preserve">lu, Burak, Ahmet </w:t>
      </w:r>
      <w:r w:rsidRPr="00147D0A">
        <w:rPr>
          <w:rFonts w:ascii="Cambria" w:hAnsi="Cambria" w:cs="Cambria"/>
          <w:sz w:val="20"/>
          <w:szCs w:val="20"/>
        </w:rPr>
        <w:t>Š</w:t>
      </w:r>
      <w:r w:rsidRPr="00147D0A">
        <w:rPr>
          <w:rFonts w:ascii="Arial Hebrew" w:hAnsi="Arial Hebrew" w:cs="Arial Hebrew" w:hint="cs"/>
          <w:sz w:val="20"/>
          <w:szCs w:val="20"/>
        </w:rPr>
        <w:t xml:space="preserve">it, and </w:t>
      </w:r>
      <w:r w:rsidRPr="00147D0A">
        <w:rPr>
          <w:rFonts w:ascii="Cambria" w:hAnsi="Cambria" w:cs="Cambria"/>
          <w:sz w:val="20"/>
          <w:szCs w:val="20"/>
        </w:rPr>
        <w:t>İ</w:t>
      </w:r>
      <w:r w:rsidRPr="00147D0A">
        <w:rPr>
          <w:rFonts w:ascii="Arial Hebrew" w:hAnsi="Arial Hebrew" w:cs="Arial Hebrew" w:hint="cs"/>
          <w:sz w:val="20"/>
          <w:szCs w:val="20"/>
        </w:rPr>
        <w:t>brahim Halil Ek</w:t>
      </w:r>
      <w:r w:rsidRPr="00147D0A">
        <w:rPr>
          <w:rFonts w:ascii="Cambria" w:hAnsi="Cambria" w:cs="Cambria"/>
          <w:sz w:val="20"/>
          <w:szCs w:val="20"/>
        </w:rPr>
        <w:t>ş</w:t>
      </w:r>
      <w:r w:rsidRPr="00147D0A">
        <w:rPr>
          <w:rFonts w:ascii="Arial Hebrew" w:hAnsi="Arial Hebrew" w:cs="Arial Hebrew" w:hint="cs"/>
          <w:sz w:val="20"/>
          <w:szCs w:val="20"/>
        </w:rPr>
        <w:t xml:space="preserve">i. 2021. "Governance matters on non-performing loans: Evidence from emerging markets." PSL Quarterly Review 74, no. 296: 75–91. </w:t>
      </w:r>
      <w:hyperlink r:id="rId16" w:history="1">
        <w:r w:rsidR="00EE43E3" w:rsidRPr="00147D0A">
          <w:rPr>
            <w:rStyle w:val="Hyperlink"/>
            <w:rFonts w:ascii="Arial Hebrew" w:hAnsi="Arial Hebrew" w:cs="Arial Hebrew" w:hint="cs"/>
            <w:sz w:val="20"/>
            <w:szCs w:val="20"/>
          </w:rPr>
          <w:t>https://doi.org/10.13133/2037-3643/17486</w:t>
        </w:r>
      </w:hyperlink>
    </w:p>
    <w:p w14:paraId="1DC6AA25"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089EC7C1" w14:textId="744B471A"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Charron, N., Lapuente, V., &amp; Rothstein, B. (2019). Measuring quality of government in subnational research: A survey and a test of the EQI model. Regional Studies, 53(5), 627–638. </w:t>
      </w:r>
      <w:hyperlink r:id="rId17" w:history="1">
        <w:r w:rsidRPr="00147D0A">
          <w:rPr>
            <w:rStyle w:val="Hyperlink"/>
            <w:rFonts w:ascii="Arial Hebrew" w:hAnsi="Arial Hebrew" w:cs="Arial Hebrew" w:hint="cs"/>
            <w:sz w:val="20"/>
            <w:szCs w:val="20"/>
          </w:rPr>
          <w:t>https://doi.org/10.1080/00343404.2018.1481743</w:t>
        </w:r>
      </w:hyperlink>
    </w:p>
    <w:p w14:paraId="585A408D" w14:textId="77777777" w:rsidR="00EE43E3" w:rsidRPr="00147D0A" w:rsidRDefault="00EE43E3" w:rsidP="001C35F9">
      <w:pPr>
        <w:pStyle w:val="NormalWeb"/>
        <w:spacing w:before="0" w:beforeAutospacing="0" w:after="0" w:afterAutospacing="0"/>
        <w:rPr>
          <w:rFonts w:ascii="Arial Hebrew" w:hAnsi="Arial Hebrew" w:cs="Arial Hebrew"/>
          <w:sz w:val="20"/>
          <w:szCs w:val="20"/>
        </w:rPr>
      </w:pPr>
    </w:p>
    <w:p w14:paraId="7205AF99" w14:textId="6144FA71" w:rsidR="00EE6ACC" w:rsidRPr="00147D0A" w:rsidRDefault="00EE43E3"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Charron, N., Lapuente, V., &amp; Bauhr, M. (2024). The Geography of Quality of Government in Europe: Subnational variations in the 2024 European Quality of Government Index and Comparisons with Previous Rounds. QoG Working Paper Series 2024:2. Department of Political Science, University of Gothenburg.</w:t>
      </w:r>
    </w:p>
    <w:p w14:paraId="360E4499" w14:textId="4A285D3E" w:rsidR="00EE6ACC" w:rsidRPr="00147D0A" w:rsidRDefault="00EE6ACC" w:rsidP="00EE6ACC">
      <w:pPr>
        <w:pStyle w:val="NormalWeb"/>
        <w:rPr>
          <w:rFonts w:ascii="Arial Hebrew" w:hAnsi="Arial Hebrew" w:cs="Arial Hebrew"/>
          <w:sz w:val="20"/>
          <w:szCs w:val="20"/>
        </w:rPr>
      </w:pPr>
      <w:r w:rsidRPr="00147D0A">
        <w:rPr>
          <w:rFonts w:ascii="Arial Hebrew" w:hAnsi="Arial Hebrew" w:cs="Arial Hebrew" w:hint="cs"/>
          <w:sz w:val="20"/>
          <w:szCs w:val="20"/>
        </w:rPr>
        <w:t xml:space="preserve">e-Estonia. (n.d.). X-Road. Retrieved from </w:t>
      </w:r>
      <w:hyperlink r:id="rId18" w:history="1">
        <w:r w:rsidRPr="00147D0A">
          <w:rPr>
            <w:rStyle w:val="Hyperlink"/>
            <w:rFonts w:ascii="Arial Hebrew" w:hAnsi="Arial Hebrew" w:cs="Arial Hebrew" w:hint="cs"/>
            <w:sz w:val="20"/>
            <w:szCs w:val="20"/>
          </w:rPr>
          <w:t>https://e-estonia.com/solutions/x-road-interoperability-services/x-road/</w:t>
        </w:r>
      </w:hyperlink>
    </w:p>
    <w:p w14:paraId="365EB84A" w14:textId="775CD740" w:rsidR="00EE6ACC" w:rsidRPr="00147D0A" w:rsidRDefault="00EE6ACC" w:rsidP="00EE6ACC">
      <w:pPr>
        <w:pStyle w:val="NormalWeb"/>
        <w:rPr>
          <w:rFonts w:ascii="Arial Hebrew" w:hAnsi="Arial Hebrew" w:cs="Arial Hebrew"/>
          <w:sz w:val="20"/>
          <w:szCs w:val="20"/>
        </w:rPr>
      </w:pPr>
      <w:r w:rsidRPr="00147D0A">
        <w:rPr>
          <w:rFonts w:ascii="Cambria" w:hAnsi="Cambria" w:cs="Cambria"/>
          <w:sz w:val="20"/>
          <w:szCs w:val="20"/>
        </w:rPr>
        <w:t>É</w:t>
      </w:r>
      <w:r w:rsidRPr="00147D0A">
        <w:rPr>
          <w:rFonts w:ascii="Arial Hebrew" w:hAnsi="Arial Hebrew" w:cs="Arial Hebrew" w:hint="cs"/>
          <w:sz w:val="20"/>
          <w:szCs w:val="20"/>
        </w:rPr>
        <w:t xml:space="preserve">gert, B., Kozluk, T., &amp; Sutherland, D. (2009). Infrastructure and growth: Empirical evidence. OECD Economics Department Working Papers, No. 685. </w:t>
      </w:r>
      <w:hyperlink r:id="rId19" w:history="1">
        <w:r w:rsidRPr="00147D0A">
          <w:rPr>
            <w:rStyle w:val="Hyperlink"/>
            <w:rFonts w:ascii="Arial Hebrew" w:hAnsi="Arial Hebrew" w:cs="Arial Hebrew" w:hint="cs"/>
            <w:sz w:val="20"/>
            <w:szCs w:val="20"/>
          </w:rPr>
          <w:t>https://doi.org/10.1787/226701168208</w:t>
        </w:r>
      </w:hyperlink>
    </w:p>
    <w:p w14:paraId="4FFBDA35" w14:textId="1A08EF2A" w:rsidR="00EE6ACC" w:rsidRPr="00147D0A" w:rsidRDefault="00EE6ACC" w:rsidP="00EE6ACC">
      <w:pPr>
        <w:pStyle w:val="NormalWeb"/>
        <w:rPr>
          <w:rFonts w:ascii="Arial Hebrew" w:hAnsi="Arial Hebrew" w:cs="Arial Hebrew"/>
          <w:sz w:val="20"/>
          <w:szCs w:val="20"/>
        </w:rPr>
      </w:pPr>
      <w:r w:rsidRPr="00147D0A">
        <w:rPr>
          <w:rFonts w:ascii="Arial Hebrew" w:hAnsi="Arial Hebrew" w:cs="Arial Hebrew" w:hint="cs"/>
          <w:sz w:val="20"/>
          <w:szCs w:val="20"/>
        </w:rPr>
        <w:t xml:space="preserve">Eyraud, L., &amp; Weber, A. (2013). The challenge of debt reduction during fiscal consolidations. IMF Working Paper WP/13/67. </w:t>
      </w:r>
      <w:hyperlink r:id="rId20" w:history="1">
        <w:r w:rsidRPr="00147D0A">
          <w:rPr>
            <w:rStyle w:val="Hyperlink"/>
            <w:rFonts w:ascii="Arial Hebrew" w:hAnsi="Arial Hebrew" w:cs="Arial Hebrew" w:hint="cs"/>
            <w:sz w:val="20"/>
            <w:szCs w:val="20"/>
          </w:rPr>
          <w:t>https://www.imf.org/en/Publications/WP/Issues/2016/12/31/The-Challenge-of-Debt-Reduction-during-Fiscal-Consolidations-40451</w:t>
        </w:r>
      </w:hyperlink>
    </w:p>
    <w:p w14:paraId="598469B3" w14:textId="79018811"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Fitch Ratings. (2024, October 24). Sovereign rating criteria. Fitch Ratings.</w:t>
      </w:r>
    </w:p>
    <w:p w14:paraId="47D7E74C"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40D11E55"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Fitch Ratings. (2024, April 2). U.S. public finance local government rating criteria. Fitch Ratings.</w:t>
      </w:r>
    </w:p>
    <w:p w14:paraId="318586E9"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6A955EED"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Fitch Ratings. (2024, August 16). International local and regional governments rating criteria. Fitch Ratings.</w:t>
      </w:r>
    </w:p>
    <w:p w14:paraId="1B736186"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1A17214E" w14:textId="6A08E6A6"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GovTech Singapore. (n.d.). Whole-of-Government Application Analytics (WOGAA). Retrieved from </w:t>
      </w:r>
      <w:hyperlink r:id="rId21" w:history="1">
        <w:r w:rsidRPr="00147D0A">
          <w:rPr>
            <w:rStyle w:val="Hyperlink"/>
            <w:rFonts w:ascii="Arial Hebrew" w:hAnsi="Arial Hebrew" w:cs="Arial Hebrew" w:hint="cs"/>
            <w:sz w:val="20"/>
            <w:szCs w:val="20"/>
          </w:rPr>
          <w:t>https://docs.developer.tech.gov.sg/docs?category=Analytics</w:t>
        </w:r>
      </w:hyperlink>
    </w:p>
    <w:p w14:paraId="2B86FB3B" w14:textId="77777777" w:rsidR="00EE43E3" w:rsidRPr="00147D0A" w:rsidRDefault="00EE43E3" w:rsidP="001C35F9">
      <w:pPr>
        <w:pStyle w:val="NormalWeb"/>
        <w:spacing w:before="0" w:beforeAutospacing="0" w:after="0" w:afterAutospacing="0"/>
        <w:rPr>
          <w:rFonts w:ascii="Arial Hebrew" w:hAnsi="Arial Hebrew" w:cs="Arial Hebrew"/>
          <w:sz w:val="20"/>
          <w:szCs w:val="20"/>
        </w:rPr>
      </w:pPr>
    </w:p>
    <w:p w14:paraId="580D6A33" w14:textId="45E6392B"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Guajardo, J., Leigh, D., &amp; Pescatori, A. (2014). </w:t>
      </w:r>
      <w:r w:rsidRPr="00147D0A">
        <w:rPr>
          <w:rFonts w:ascii="Arial Hebrew" w:hAnsi="Arial Hebrew" w:cs="Arial Hebrew" w:hint="cs"/>
          <w:i/>
          <w:iCs/>
          <w:sz w:val="20"/>
          <w:szCs w:val="20"/>
        </w:rPr>
        <w:t>Expansionary austerity? International evidence.</w:t>
      </w:r>
      <w:r w:rsidRPr="00147D0A">
        <w:rPr>
          <w:rFonts w:ascii="Arial Hebrew" w:hAnsi="Arial Hebrew" w:cs="Arial Hebrew" w:hint="cs"/>
          <w:sz w:val="20"/>
          <w:szCs w:val="20"/>
        </w:rPr>
        <w:t xml:space="preserve"> Journal of the European Economic Association, 12(4), 949–968. </w:t>
      </w:r>
      <w:hyperlink r:id="rId22" w:history="1">
        <w:r w:rsidRPr="00147D0A">
          <w:rPr>
            <w:rStyle w:val="Hyperlink"/>
            <w:rFonts w:ascii="Arial Hebrew" w:hAnsi="Arial Hebrew" w:cs="Arial Hebrew" w:hint="cs"/>
            <w:sz w:val="20"/>
            <w:szCs w:val="20"/>
          </w:rPr>
          <w:t>https://doi.org/10.1111/jeea.12083</w:t>
        </w:r>
      </w:hyperlink>
    </w:p>
    <w:p w14:paraId="0A73EECA"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368F9407" w14:textId="5114761B"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Gupta, S., Clements, B., Baldacci, E., &amp; Mulas-Granados, C. (2005). </w:t>
      </w:r>
      <w:r w:rsidRPr="00147D0A">
        <w:rPr>
          <w:rFonts w:ascii="Arial Hebrew" w:hAnsi="Arial Hebrew" w:cs="Arial Hebrew" w:hint="cs"/>
          <w:i/>
          <w:iCs/>
          <w:sz w:val="20"/>
          <w:szCs w:val="20"/>
        </w:rPr>
        <w:t>Fiscal policy, expenditure composition, and growth in low-income countries.</w:t>
      </w:r>
      <w:r w:rsidRPr="00147D0A">
        <w:rPr>
          <w:rFonts w:ascii="Arial Hebrew" w:hAnsi="Arial Hebrew" w:cs="Arial Hebrew" w:hint="cs"/>
          <w:sz w:val="20"/>
          <w:szCs w:val="20"/>
        </w:rPr>
        <w:t xml:space="preserve"> Journal of International Money and Finance, 24(3), 441–463. </w:t>
      </w:r>
      <w:hyperlink r:id="rId23" w:history="1">
        <w:r w:rsidRPr="00147D0A">
          <w:rPr>
            <w:rStyle w:val="Hyperlink"/>
            <w:rFonts w:ascii="Arial Hebrew" w:hAnsi="Arial Hebrew" w:cs="Arial Hebrew" w:hint="cs"/>
            <w:sz w:val="20"/>
            <w:szCs w:val="20"/>
          </w:rPr>
          <w:t>https://doi.org/10.1016/j.jimonfin.2005.01.004</w:t>
        </w:r>
      </w:hyperlink>
    </w:p>
    <w:p w14:paraId="11B28F5F"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5E320A75" w14:textId="0942A980"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Hanushek, E. A., &amp; Woessmann, L. (2008). The role of cognitive skills in economic development. Journal of Economic Literature, 46(3), 607–668. </w:t>
      </w:r>
      <w:hyperlink r:id="rId24" w:history="1">
        <w:r w:rsidRPr="00147D0A">
          <w:rPr>
            <w:rStyle w:val="Hyperlink"/>
            <w:rFonts w:ascii="Arial Hebrew" w:hAnsi="Arial Hebrew" w:cs="Arial Hebrew" w:hint="cs"/>
            <w:sz w:val="20"/>
            <w:szCs w:val="20"/>
          </w:rPr>
          <w:t>https://doi.org/10.1257/jel.46.3.607</w:t>
        </w:r>
      </w:hyperlink>
    </w:p>
    <w:p w14:paraId="2376B711"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43FE89CD" w14:textId="0F01AFA5" w:rsidR="00EE43E3" w:rsidRPr="00147D0A" w:rsidRDefault="00EE43E3"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Jeanneret, A. (2018). </w:t>
      </w:r>
      <w:r w:rsidRPr="00147D0A">
        <w:rPr>
          <w:rFonts w:ascii="Arial Hebrew" w:hAnsi="Arial Hebrew" w:cs="Arial Hebrew" w:hint="cs"/>
          <w:i/>
          <w:iCs/>
          <w:sz w:val="20"/>
          <w:szCs w:val="20"/>
        </w:rPr>
        <w:t>Sovereign bond pricing and the political risk premium. Journal of International Money and Finance</w:t>
      </w:r>
      <w:r w:rsidRPr="00147D0A">
        <w:rPr>
          <w:rFonts w:ascii="Arial Hebrew" w:hAnsi="Arial Hebrew" w:cs="Arial Hebrew" w:hint="cs"/>
          <w:sz w:val="20"/>
          <w:szCs w:val="20"/>
        </w:rPr>
        <w:t xml:space="preserve">, 86, 190–207. </w:t>
      </w:r>
      <w:hyperlink r:id="rId25" w:history="1">
        <w:r w:rsidR="00EE6ACC" w:rsidRPr="00147D0A">
          <w:rPr>
            <w:rStyle w:val="Hyperlink"/>
            <w:rFonts w:ascii="Arial Hebrew" w:hAnsi="Arial Hebrew" w:cs="Arial Hebrew" w:hint="cs"/>
            <w:sz w:val="20"/>
            <w:szCs w:val="20"/>
          </w:rPr>
          <w:t>https://doi.org/10.1016/j.jimonfin.2018.05.001</w:t>
        </w:r>
      </w:hyperlink>
    </w:p>
    <w:p w14:paraId="63A8592B"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686EA112" w14:textId="560D9549"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Jord</w:t>
      </w:r>
      <w:r w:rsidRPr="00147D0A">
        <w:rPr>
          <w:rFonts w:ascii="Cambria" w:hAnsi="Cambria" w:cs="Cambria"/>
          <w:sz w:val="20"/>
          <w:szCs w:val="20"/>
        </w:rPr>
        <w:t>à</w:t>
      </w:r>
      <w:r w:rsidRPr="00147D0A">
        <w:rPr>
          <w:rFonts w:ascii="Arial Hebrew" w:hAnsi="Arial Hebrew" w:cs="Arial Hebrew" w:hint="cs"/>
          <w:sz w:val="20"/>
          <w:szCs w:val="20"/>
        </w:rPr>
        <w:t xml:space="preserve">, </w:t>
      </w:r>
      <w:r w:rsidRPr="00147D0A">
        <w:rPr>
          <w:rFonts w:ascii="Cambria" w:hAnsi="Cambria" w:cs="Cambria"/>
          <w:sz w:val="20"/>
          <w:szCs w:val="20"/>
        </w:rPr>
        <w:t>Ò</w:t>
      </w:r>
      <w:r w:rsidRPr="00147D0A">
        <w:rPr>
          <w:rFonts w:ascii="Arial Hebrew" w:hAnsi="Arial Hebrew" w:cs="Arial Hebrew" w:hint="cs"/>
          <w:sz w:val="20"/>
          <w:szCs w:val="20"/>
        </w:rPr>
        <w:t xml:space="preserve">., &amp; Taylor, A. M. (2016). The time for austerity: Estimating the average treatment effect of fiscal policy. The Economic Journal, 126(590), 219–255. </w:t>
      </w:r>
      <w:hyperlink r:id="rId26" w:history="1">
        <w:r w:rsidRPr="00147D0A">
          <w:rPr>
            <w:rStyle w:val="Hyperlink"/>
            <w:rFonts w:ascii="Arial Hebrew" w:hAnsi="Arial Hebrew" w:cs="Arial Hebrew" w:hint="cs"/>
            <w:sz w:val="20"/>
            <w:szCs w:val="20"/>
          </w:rPr>
          <w:t>https://doi.org/10.1111/ecoj.12332</w:t>
        </w:r>
      </w:hyperlink>
    </w:p>
    <w:p w14:paraId="7565AC24" w14:textId="77777777" w:rsidR="0065111A" w:rsidRPr="00147D0A" w:rsidRDefault="0065111A" w:rsidP="001C35F9">
      <w:pPr>
        <w:pStyle w:val="NormalWeb"/>
        <w:spacing w:before="0" w:beforeAutospacing="0" w:after="0" w:afterAutospacing="0"/>
        <w:rPr>
          <w:rFonts w:ascii="Arial Hebrew" w:hAnsi="Arial Hebrew" w:cs="Arial Hebrew"/>
          <w:sz w:val="20"/>
          <w:szCs w:val="20"/>
        </w:rPr>
      </w:pPr>
    </w:p>
    <w:p w14:paraId="38A0866D" w14:textId="4E73C092" w:rsidR="0065111A" w:rsidRPr="00147D0A" w:rsidRDefault="0065111A"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Langbein, L., &amp; Knack, S. (2010). The Worldwide Governance Indicators: Six, One, or None? </w:t>
      </w:r>
      <w:r w:rsidRPr="00147D0A">
        <w:rPr>
          <w:rFonts w:ascii="Arial Hebrew" w:hAnsi="Arial Hebrew" w:cs="Arial Hebrew" w:hint="cs"/>
          <w:i/>
          <w:iCs/>
          <w:sz w:val="20"/>
          <w:szCs w:val="20"/>
        </w:rPr>
        <w:t>Journal of Development Studies</w:t>
      </w:r>
      <w:r w:rsidRPr="00147D0A">
        <w:rPr>
          <w:rFonts w:ascii="Arial Hebrew" w:hAnsi="Arial Hebrew" w:cs="Arial Hebrew" w:hint="cs"/>
          <w:sz w:val="20"/>
          <w:szCs w:val="20"/>
        </w:rPr>
        <w:t>, 46(2), 350–370. https://doi.org/10.1080/00220380902952399</w:t>
      </w:r>
    </w:p>
    <w:p w14:paraId="3CA7E921"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598D61AF" w14:textId="6BEBE722" w:rsidR="00EE6ACC" w:rsidRPr="00147D0A" w:rsidRDefault="00EE6AC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Ministry of the Interior and Safety. (n.d.). Korea's Digital Government Exhibition Hall. Retrieved from </w:t>
      </w:r>
      <w:hyperlink r:id="rId27" w:history="1">
        <w:r w:rsidRPr="00147D0A">
          <w:rPr>
            <w:rStyle w:val="Hyperlink"/>
            <w:rFonts w:ascii="Arial Hebrew" w:hAnsi="Arial Hebrew" w:cs="Arial Hebrew" w:hint="cs"/>
            <w:sz w:val="20"/>
            <w:szCs w:val="20"/>
          </w:rPr>
          <w:t>https://www.mois.go.kr/eng/sub/a03/digitalGovernmentServiceExperience/screen.do</w:t>
        </w:r>
      </w:hyperlink>
    </w:p>
    <w:p w14:paraId="77BCD4E3" w14:textId="77777777" w:rsidR="00EE6ACC" w:rsidRPr="00147D0A" w:rsidRDefault="00EE6ACC" w:rsidP="001C35F9">
      <w:pPr>
        <w:pStyle w:val="NormalWeb"/>
        <w:spacing w:before="0" w:beforeAutospacing="0" w:after="0" w:afterAutospacing="0"/>
        <w:rPr>
          <w:rFonts w:ascii="Arial Hebrew" w:hAnsi="Arial Hebrew" w:cs="Arial Hebrew"/>
          <w:sz w:val="20"/>
          <w:szCs w:val="20"/>
        </w:rPr>
      </w:pPr>
    </w:p>
    <w:p w14:paraId="40C9199E" w14:textId="46E26EAE" w:rsidR="00094126" w:rsidRPr="00147D0A" w:rsidRDefault="00BB785B"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Moody's Investors Service. (2022, November 22). </w:t>
      </w:r>
      <w:r w:rsidRPr="00147D0A">
        <w:rPr>
          <w:rFonts w:ascii="Arial Hebrew" w:hAnsi="Arial Hebrew" w:cs="Arial Hebrew" w:hint="cs"/>
          <w:i/>
          <w:iCs/>
          <w:sz w:val="20"/>
          <w:szCs w:val="20"/>
        </w:rPr>
        <w:t>Rating methodology: Sovereigns</w:t>
      </w:r>
      <w:r w:rsidRPr="00147D0A">
        <w:rPr>
          <w:rFonts w:ascii="Arial Hebrew" w:hAnsi="Arial Hebrew" w:cs="Arial Hebrew" w:hint="cs"/>
          <w:sz w:val="20"/>
          <w:szCs w:val="20"/>
        </w:rPr>
        <w:t xml:space="preserve"> (Document No. 395819). Moody's Ratings.</w:t>
      </w:r>
    </w:p>
    <w:p w14:paraId="6F2D8EE0" w14:textId="715164C3" w:rsidR="00FA65FC" w:rsidRPr="00147D0A" w:rsidRDefault="00FA65FC" w:rsidP="001C35F9">
      <w:pPr>
        <w:pStyle w:val="NormalWeb"/>
        <w:tabs>
          <w:tab w:val="left" w:pos="2623"/>
        </w:tabs>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ab/>
      </w:r>
    </w:p>
    <w:p w14:paraId="2F2C5FE2" w14:textId="69558EF6" w:rsidR="00FA65FC" w:rsidRPr="00147D0A" w:rsidRDefault="00FA65F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Moody's Investors Service. (2023, March 6). </w:t>
      </w:r>
      <w:r w:rsidRPr="00147D0A">
        <w:rPr>
          <w:rFonts w:ascii="Arial Hebrew" w:hAnsi="Arial Hebrew" w:cs="Arial Hebrew" w:hint="cs"/>
          <w:i/>
          <w:iCs/>
          <w:sz w:val="20"/>
          <w:szCs w:val="20"/>
        </w:rPr>
        <w:t>Rating methodology: Regional and Local Governments</w:t>
      </w:r>
      <w:r w:rsidRPr="00147D0A">
        <w:rPr>
          <w:rFonts w:ascii="Arial Hebrew" w:hAnsi="Arial Hebrew" w:cs="Arial Hebrew" w:hint="cs"/>
          <w:sz w:val="20"/>
          <w:szCs w:val="20"/>
        </w:rPr>
        <w:t xml:space="preserve"> (Document No. 395819). Moody's Ratings.</w:t>
      </w:r>
    </w:p>
    <w:p w14:paraId="2C896D21" w14:textId="77777777" w:rsidR="00FA65FC" w:rsidRPr="00147D0A" w:rsidRDefault="00FA65FC" w:rsidP="001C35F9">
      <w:pPr>
        <w:pStyle w:val="NormalWeb"/>
        <w:tabs>
          <w:tab w:val="left" w:pos="2623"/>
        </w:tabs>
        <w:spacing w:before="0" w:beforeAutospacing="0" w:after="0" w:afterAutospacing="0"/>
        <w:rPr>
          <w:rFonts w:ascii="Arial Hebrew" w:hAnsi="Arial Hebrew" w:cs="Arial Hebrew"/>
          <w:sz w:val="20"/>
          <w:szCs w:val="20"/>
        </w:rPr>
      </w:pPr>
    </w:p>
    <w:p w14:paraId="150F3617" w14:textId="2302FB36" w:rsidR="00FA65FC" w:rsidRPr="00147D0A" w:rsidRDefault="00FA65FC"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sz w:val="20"/>
          <w:szCs w:val="20"/>
        </w:rPr>
        <w:t xml:space="preserve">Moody's Investors Service. (2024, July 24). </w:t>
      </w:r>
      <w:r w:rsidRPr="00147D0A">
        <w:rPr>
          <w:rFonts w:ascii="Arial Hebrew" w:hAnsi="Arial Hebrew" w:cs="Arial Hebrew" w:hint="cs"/>
          <w:i/>
          <w:iCs/>
          <w:sz w:val="20"/>
          <w:szCs w:val="20"/>
        </w:rPr>
        <w:t>Rating methodology: U.S. States and Territories</w:t>
      </w:r>
      <w:r w:rsidRPr="00147D0A">
        <w:rPr>
          <w:rFonts w:ascii="Arial Hebrew" w:hAnsi="Arial Hebrew" w:cs="Arial Hebrew" w:hint="cs"/>
          <w:sz w:val="20"/>
          <w:szCs w:val="20"/>
        </w:rPr>
        <w:t xml:space="preserve"> (Document No. 1401432). Moody's Ratings.</w:t>
      </w:r>
    </w:p>
    <w:p w14:paraId="3E712117" w14:textId="77777777" w:rsidR="00FA65FC" w:rsidRPr="00147D0A" w:rsidRDefault="00FA65FC" w:rsidP="001C35F9">
      <w:pPr>
        <w:pStyle w:val="NormalWeb"/>
        <w:spacing w:before="0" w:beforeAutospacing="0" w:after="0" w:afterAutospacing="0"/>
        <w:rPr>
          <w:rFonts w:ascii="Arial Hebrew" w:hAnsi="Arial Hebrew" w:cs="Arial Hebrew"/>
          <w:color w:val="000000" w:themeColor="text1"/>
          <w:sz w:val="20"/>
          <w:szCs w:val="20"/>
        </w:rPr>
      </w:pPr>
    </w:p>
    <w:p w14:paraId="697856DC" w14:textId="31121118" w:rsidR="00FA65FC" w:rsidRPr="00147D0A" w:rsidRDefault="00FA65FC"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Moody's Investors Service. (2024, July 24). </w:t>
      </w:r>
      <w:r w:rsidRPr="00147D0A">
        <w:rPr>
          <w:rFonts w:ascii="Arial Hebrew" w:hAnsi="Arial Hebrew" w:cs="Arial Hebrew" w:hint="cs"/>
          <w:i/>
          <w:iCs/>
          <w:sz w:val="20"/>
          <w:szCs w:val="20"/>
        </w:rPr>
        <w:t>Rating methodology: U.S. Cities and Counties</w:t>
      </w:r>
      <w:r w:rsidRPr="00147D0A">
        <w:rPr>
          <w:rFonts w:ascii="Arial Hebrew" w:hAnsi="Arial Hebrew" w:cs="Arial Hebrew" w:hint="cs"/>
          <w:sz w:val="20"/>
          <w:szCs w:val="20"/>
        </w:rPr>
        <w:t xml:space="preserve"> (Document No. 1401434). Moody's Ratings.</w:t>
      </w:r>
    </w:p>
    <w:p w14:paraId="3C0947B2" w14:textId="77777777" w:rsidR="005612B1" w:rsidRPr="00147D0A" w:rsidRDefault="005612B1" w:rsidP="001C35F9">
      <w:pPr>
        <w:pStyle w:val="NormalWeb"/>
        <w:spacing w:before="0" w:beforeAutospacing="0" w:after="0" w:afterAutospacing="0"/>
        <w:rPr>
          <w:rFonts w:ascii="Arial Hebrew" w:hAnsi="Arial Hebrew" w:cs="Arial Hebrew"/>
          <w:sz w:val="20"/>
          <w:szCs w:val="20"/>
        </w:rPr>
      </w:pPr>
    </w:p>
    <w:p w14:paraId="46FD67EA" w14:textId="457CFE8B" w:rsidR="00EE43E3" w:rsidRPr="00147D0A" w:rsidRDefault="005612B1" w:rsidP="00EE43E3">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Nageswaran, V. A., &amp; Mishra, R. (2023). </w:t>
      </w:r>
      <w:r w:rsidRPr="00147D0A">
        <w:rPr>
          <w:rFonts w:ascii="Arial Hebrew" w:hAnsi="Arial Hebrew" w:cs="Arial Hebrew" w:hint="cs"/>
          <w:i/>
          <w:iCs/>
          <w:sz w:val="20"/>
          <w:szCs w:val="20"/>
        </w:rPr>
        <w:t>Re-examining Narratives: A Collection of Essays.</w:t>
      </w:r>
      <w:r w:rsidRPr="00147D0A">
        <w:rPr>
          <w:rFonts w:ascii="Arial Hebrew" w:hAnsi="Arial Hebrew" w:cs="Arial Hebrew" w:hint="cs"/>
          <w:sz w:val="20"/>
          <w:szCs w:val="20"/>
        </w:rPr>
        <w:t xml:space="preserve"> Office of the Chief Economic Adviser, Ministry of Finance, Government of India.</w:t>
      </w:r>
    </w:p>
    <w:p w14:paraId="6453AECE" w14:textId="77777777" w:rsidR="00EE43E3" w:rsidRPr="00147D0A" w:rsidRDefault="00EE43E3" w:rsidP="00EE43E3">
      <w:pPr>
        <w:pStyle w:val="NormalWeb"/>
        <w:spacing w:before="0" w:beforeAutospacing="0" w:after="0" w:afterAutospacing="0"/>
        <w:rPr>
          <w:rFonts w:ascii="Arial Hebrew" w:hAnsi="Arial Hebrew" w:cs="Arial Hebrew"/>
          <w:sz w:val="20"/>
          <w:szCs w:val="20"/>
        </w:rPr>
      </w:pPr>
    </w:p>
    <w:p w14:paraId="5784E8E1" w14:textId="1D668DC9" w:rsidR="00EE43E3" w:rsidRPr="00147D0A" w:rsidRDefault="00EE43E3" w:rsidP="00EE43E3">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OECD. (2022). </w:t>
      </w:r>
      <w:r w:rsidRPr="00147D0A">
        <w:rPr>
          <w:rFonts w:ascii="Arial Hebrew" w:hAnsi="Arial Hebrew" w:cs="Arial Hebrew" w:hint="cs"/>
          <w:i/>
          <w:iCs/>
          <w:sz w:val="20"/>
          <w:szCs w:val="20"/>
        </w:rPr>
        <w:t>Survey on the Drivers of Trust in Public Institutions: Technical report on the 2021 pilot.</w:t>
      </w:r>
      <w:r w:rsidRPr="00147D0A">
        <w:rPr>
          <w:rFonts w:ascii="Arial Hebrew" w:hAnsi="Arial Hebrew" w:cs="Arial Hebrew" w:hint="cs"/>
          <w:sz w:val="20"/>
          <w:szCs w:val="20"/>
        </w:rPr>
        <w:t xml:space="preserve"> OECD Publishing. </w:t>
      </w:r>
    </w:p>
    <w:p w14:paraId="504BFEFA" w14:textId="77777777" w:rsidR="00EE43E3" w:rsidRPr="00147D0A" w:rsidRDefault="00EE43E3" w:rsidP="00EE43E3">
      <w:pPr>
        <w:pStyle w:val="NormalWeb"/>
        <w:spacing w:before="0" w:beforeAutospacing="0" w:after="0" w:afterAutospacing="0"/>
        <w:rPr>
          <w:rFonts w:ascii="Arial Hebrew" w:hAnsi="Arial Hebrew" w:cs="Arial Hebrew"/>
          <w:sz w:val="20"/>
          <w:szCs w:val="20"/>
        </w:rPr>
      </w:pPr>
    </w:p>
    <w:p w14:paraId="6E90D476" w14:textId="4FF7E1FB" w:rsidR="00EE43E3" w:rsidRPr="00147D0A" w:rsidRDefault="00EE43E3" w:rsidP="00EE43E3">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OECD. (2023). </w:t>
      </w:r>
      <w:r w:rsidRPr="00147D0A">
        <w:rPr>
          <w:rFonts w:ascii="Arial Hebrew" w:hAnsi="Arial Hebrew" w:cs="Arial Hebrew" w:hint="cs"/>
          <w:i/>
          <w:iCs/>
          <w:sz w:val="20"/>
          <w:szCs w:val="20"/>
        </w:rPr>
        <w:t>Government at a Glance 2023.</w:t>
      </w:r>
      <w:r w:rsidRPr="00147D0A">
        <w:rPr>
          <w:rFonts w:ascii="Arial Hebrew" w:hAnsi="Arial Hebrew" w:cs="Arial Hebrew" w:hint="cs"/>
          <w:sz w:val="20"/>
          <w:szCs w:val="20"/>
        </w:rPr>
        <w:t xml:space="preserve"> OECD Publishing. </w:t>
      </w:r>
      <w:hyperlink r:id="rId28" w:history="1">
        <w:r w:rsidRPr="00147D0A">
          <w:rPr>
            <w:rStyle w:val="Hyperlink"/>
            <w:rFonts w:ascii="Arial Hebrew" w:hAnsi="Arial Hebrew" w:cs="Arial Hebrew" w:hint="cs"/>
            <w:sz w:val="20"/>
            <w:szCs w:val="20"/>
          </w:rPr>
          <w:t>https://doi.org/10.1787/1c258f55-en</w:t>
        </w:r>
      </w:hyperlink>
    </w:p>
    <w:p w14:paraId="4B51C4AE" w14:textId="77777777" w:rsidR="00EE43E3" w:rsidRPr="00147D0A" w:rsidRDefault="00EE43E3" w:rsidP="00EE43E3">
      <w:pPr>
        <w:pStyle w:val="NormalWeb"/>
        <w:spacing w:before="0" w:beforeAutospacing="0" w:after="0" w:afterAutospacing="0"/>
        <w:rPr>
          <w:rFonts w:ascii="Arial Hebrew" w:hAnsi="Arial Hebrew" w:cs="Arial Hebrew"/>
          <w:sz w:val="20"/>
          <w:szCs w:val="20"/>
        </w:rPr>
      </w:pPr>
    </w:p>
    <w:p w14:paraId="57CC36E9" w14:textId="6BB616DE" w:rsidR="00EE43E3" w:rsidRPr="00147D0A" w:rsidRDefault="00EE43E3" w:rsidP="00EE43E3">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Office for National Statistics. (2025). Public service productivity, quarterly, UK: October to December 2024. </w:t>
      </w:r>
    </w:p>
    <w:p w14:paraId="5F40F2B3" w14:textId="77777777" w:rsidR="00984D43" w:rsidRPr="00147D0A" w:rsidRDefault="00984D43" w:rsidP="001C35F9">
      <w:pPr>
        <w:pStyle w:val="NormalWeb"/>
        <w:spacing w:before="0" w:beforeAutospacing="0" w:after="0" w:afterAutospacing="0"/>
        <w:rPr>
          <w:rFonts w:ascii="Arial Hebrew" w:hAnsi="Arial Hebrew" w:cs="Arial Hebrew"/>
          <w:sz w:val="20"/>
          <w:szCs w:val="20"/>
        </w:rPr>
      </w:pPr>
    </w:p>
    <w:p w14:paraId="2AA747B4" w14:textId="000BA43F" w:rsidR="00984D43" w:rsidRPr="00147D0A" w:rsidRDefault="00984D43" w:rsidP="001C35F9">
      <w:pPr>
        <w:pStyle w:val="NormalWeb"/>
        <w:spacing w:before="0" w:beforeAutospacing="0" w:after="0" w:afterAutospacing="0"/>
        <w:rPr>
          <w:rFonts w:ascii="Arial Hebrew" w:hAnsi="Arial Hebrew" w:cs="Arial Hebrew"/>
          <w:sz w:val="20"/>
          <w:szCs w:val="20"/>
        </w:rPr>
      </w:pPr>
      <w:r w:rsidRPr="00147D0A">
        <w:rPr>
          <w:rFonts w:ascii="Arial Hebrew" w:hAnsi="Arial Hebrew" w:cs="Arial Hebrew" w:hint="cs"/>
          <w:sz w:val="20"/>
          <w:szCs w:val="20"/>
        </w:rPr>
        <w:t xml:space="preserve">Phillips, L. (2018). </w:t>
      </w:r>
      <w:r w:rsidRPr="00147D0A">
        <w:rPr>
          <w:rFonts w:ascii="Arial Hebrew" w:hAnsi="Arial Hebrew" w:cs="Arial Hebrew" w:hint="cs"/>
          <w:i/>
          <w:iCs/>
          <w:sz w:val="20"/>
          <w:szCs w:val="20"/>
        </w:rPr>
        <w:t>Improving the performance of sub-national governments through benchmarking and performance reporting</w:t>
      </w:r>
      <w:r w:rsidRPr="00147D0A">
        <w:rPr>
          <w:rFonts w:ascii="Arial Hebrew" w:hAnsi="Arial Hebrew" w:cs="Arial Hebrew" w:hint="cs"/>
          <w:sz w:val="20"/>
          <w:szCs w:val="20"/>
        </w:rPr>
        <w:t xml:space="preserve"> (OECD Working Papers on Fiscal Federalism, No. 22). OECD Publishing.</w:t>
      </w:r>
    </w:p>
    <w:p w14:paraId="66D9C441" w14:textId="77777777" w:rsidR="00BB69A6" w:rsidRPr="00147D0A" w:rsidRDefault="00BB69A6" w:rsidP="001C35F9">
      <w:pPr>
        <w:pStyle w:val="NormalWeb"/>
        <w:spacing w:before="0" w:beforeAutospacing="0" w:after="0" w:afterAutospacing="0"/>
        <w:rPr>
          <w:rFonts w:ascii="Arial Hebrew" w:hAnsi="Arial Hebrew" w:cs="Arial Hebrew"/>
          <w:sz w:val="20"/>
          <w:szCs w:val="20"/>
        </w:rPr>
      </w:pPr>
    </w:p>
    <w:p w14:paraId="78E2395E" w14:textId="6827E1AF" w:rsidR="00BB69A6" w:rsidRPr="00147D0A" w:rsidRDefault="00BB69A6"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S&amp;P Global Ratings. (2019, February 15). How we rate sovereigns. S&amp;P Global Ratings.</w:t>
      </w:r>
    </w:p>
    <w:p w14:paraId="72FD6A7F" w14:textId="77777777" w:rsidR="005612B1" w:rsidRPr="00147D0A" w:rsidRDefault="005612B1" w:rsidP="001C35F9">
      <w:pPr>
        <w:pStyle w:val="NormalWeb"/>
        <w:spacing w:before="0" w:beforeAutospacing="0" w:after="0" w:afterAutospacing="0"/>
        <w:rPr>
          <w:rFonts w:ascii="Arial Hebrew" w:hAnsi="Arial Hebrew" w:cs="Arial Hebrew"/>
          <w:color w:val="000000" w:themeColor="text1"/>
          <w:sz w:val="20"/>
          <w:szCs w:val="20"/>
        </w:rPr>
      </w:pPr>
    </w:p>
    <w:p w14:paraId="6DEBED3C" w14:textId="3914EE0E" w:rsidR="00BB69A6" w:rsidRPr="00147D0A" w:rsidRDefault="00BB69A6"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S&amp;P Global Ratings. (2019, July 15). Methodology for rating local and regional governments outside of the U.S. S&amp;P Global Ratings.</w:t>
      </w:r>
    </w:p>
    <w:p w14:paraId="2ADC97BD" w14:textId="77777777" w:rsidR="005612B1" w:rsidRPr="00147D0A" w:rsidRDefault="005612B1" w:rsidP="001C35F9">
      <w:pPr>
        <w:pStyle w:val="NormalWeb"/>
        <w:spacing w:before="0" w:beforeAutospacing="0" w:after="0" w:afterAutospacing="0"/>
        <w:rPr>
          <w:rFonts w:ascii="Arial Hebrew" w:hAnsi="Arial Hebrew" w:cs="Arial Hebrew"/>
          <w:color w:val="000000" w:themeColor="text1"/>
          <w:sz w:val="20"/>
          <w:szCs w:val="20"/>
        </w:rPr>
      </w:pPr>
    </w:p>
    <w:p w14:paraId="135445CF" w14:textId="7EEB7B0D" w:rsidR="00BB69A6" w:rsidRPr="00147D0A" w:rsidRDefault="00BB69A6"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S&amp;P Global Ratings. (2023, October 4). Methodology for rating U.S. governments. S&amp;P Global Ratings.</w:t>
      </w:r>
    </w:p>
    <w:p w14:paraId="44CCCBAA" w14:textId="00889659" w:rsidR="00EE43E3"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Denmark. (2023). Statistical programme 2023. </w:t>
      </w:r>
    </w:p>
    <w:p w14:paraId="7FAE0974" w14:textId="77777777" w:rsidR="00EE43E3"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Finland. (2025). Health and social protection. </w:t>
      </w:r>
    </w:p>
    <w:p w14:paraId="52AD9908" w14:textId="77777777" w:rsidR="00EE43E3"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Netherlands. (2024). The Netherlands in numbers, 2024 edition. </w:t>
      </w:r>
    </w:p>
    <w:p w14:paraId="40D7E7DA" w14:textId="12FC8257" w:rsidR="00EE43E3" w:rsidRPr="00147D0A" w:rsidRDefault="00EE43E3" w:rsidP="00EE43E3">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Norway. (2023). Report on the quality of official statistics, 2023. </w:t>
      </w:r>
    </w:p>
    <w:p w14:paraId="3FBC764F" w14:textId="7C210B4F" w:rsidR="001E3B81" w:rsidRPr="00147D0A" w:rsidRDefault="00EE43E3" w:rsidP="00EE43E3">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Statistics Sweden. (2024). Official statistics of Sweden 2023, part 1. Annual Report. </w:t>
      </w:r>
    </w:p>
    <w:p w14:paraId="146597F2" w14:textId="1C63F64E" w:rsidR="00EF28C6" w:rsidRPr="00147D0A" w:rsidRDefault="00EF28C6" w:rsidP="00EF28C6">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Su</w:t>
      </w:r>
      <w:r w:rsidRPr="00147D0A">
        <w:rPr>
          <w:rFonts w:ascii="Cambria" w:hAnsi="Cambria" w:cs="Cambria"/>
          <w:color w:val="000000" w:themeColor="text1"/>
          <w:sz w:val="20"/>
          <w:szCs w:val="20"/>
        </w:rPr>
        <w:t>á</w:t>
      </w:r>
      <w:r w:rsidRPr="00147D0A">
        <w:rPr>
          <w:rFonts w:ascii="Arial Hebrew" w:hAnsi="Arial Hebrew" w:cs="Arial Hebrew" w:hint="cs"/>
          <w:color w:val="000000" w:themeColor="text1"/>
          <w:sz w:val="20"/>
          <w:szCs w:val="20"/>
        </w:rPr>
        <w:t xml:space="preserve">rez Serrato, J. C., &amp; Wingender, P. (2016). Estimating local fiscal multipliers. NBER Working Paper No. 22425. </w:t>
      </w:r>
      <w:hyperlink r:id="rId29" w:history="1">
        <w:r w:rsidRPr="00147D0A">
          <w:rPr>
            <w:rStyle w:val="Hyperlink"/>
            <w:rFonts w:ascii="Arial Hebrew" w:hAnsi="Arial Hebrew" w:cs="Arial Hebrew" w:hint="cs"/>
            <w:sz w:val="20"/>
            <w:szCs w:val="20"/>
          </w:rPr>
          <w:t>https://doi.org/10.3386/w22425</w:t>
        </w:r>
      </w:hyperlink>
    </w:p>
    <w:p w14:paraId="3F7972A6" w14:textId="1882E86C" w:rsidR="00EF28C6" w:rsidRPr="00147D0A" w:rsidRDefault="00EF28C6" w:rsidP="00EF28C6">
      <w:pPr>
        <w:pStyle w:val="NormalWeb"/>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Su</w:t>
      </w:r>
      <w:r w:rsidRPr="00147D0A">
        <w:rPr>
          <w:rFonts w:ascii="Cambria" w:hAnsi="Cambria" w:cs="Cambria"/>
          <w:color w:val="000000" w:themeColor="text1"/>
          <w:sz w:val="20"/>
          <w:szCs w:val="20"/>
        </w:rPr>
        <w:t>á</w:t>
      </w:r>
      <w:r w:rsidRPr="00147D0A">
        <w:rPr>
          <w:rFonts w:ascii="Arial Hebrew" w:hAnsi="Arial Hebrew" w:cs="Arial Hebrew" w:hint="cs"/>
          <w:color w:val="000000" w:themeColor="text1"/>
          <w:sz w:val="20"/>
          <w:szCs w:val="20"/>
        </w:rPr>
        <w:t>rez Serrato, J. C., &amp; Wingender, P. (2016). Estimating local fiscal multipliers. NBER Working Paper No. 22425. https://doi.org/10.3386/w22425</w:t>
      </w:r>
    </w:p>
    <w:p w14:paraId="5675489D" w14:textId="3D91219A" w:rsidR="001E3B81" w:rsidRPr="00147D0A" w:rsidRDefault="001E3B81"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Economic Forum. (2023, October 3). Measuring digital trust: Supporting decision-making for trustworthy technologies. </w:t>
      </w:r>
      <w:hyperlink r:id="rId30" w:history="1">
        <w:r w:rsidRPr="00147D0A">
          <w:rPr>
            <w:rStyle w:val="Hyperlink"/>
            <w:rFonts w:ascii="Arial Hebrew" w:hAnsi="Arial Hebrew" w:cs="Arial Hebrew" w:hint="cs"/>
            <w:sz w:val="20"/>
            <w:szCs w:val="20"/>
          </w:rPr>
          <w:t>https://www.weforum.org/publications/measuring-digital-trust-supporting-decision-making-for-trustworthy-technologies/</w:t>
        </w:r>
      </w:hyperlink>
    </w:p>
    <w:p w14:paraId="07EA2537" w14:textId="77777777" w:rsidR="001C35F9" w:rsidRPr="00147D0A" w:rsidRDefault="001C35F9" w:rsidP="001C35F9">
      <w:pPr>
        <w:pStyle w:val="NormalWeb"/>
        <w:spacing w:before="0" w:beforeAutospacing="0" w:after="0" w:afterAutospacing="0"/>
        <w:rPr>
          <w:rFonts w:ascii="Arial Hebrew" w:hAnsi="Arial Hebrew" w:cs="Arial Hebrew"/>
          <w:color w:val="000000" w:themeColor="text1"/>
          <w:sz w:val="20"/>
          <w:szCs w:val="20"/>
        </w:rPr>
      </w:pPr>
    </w:p>
    <w:p w14:paraId="63304122" w14:textId="1ACD16AC" w:rsidR="00EE43E3" w:rsidRPr="00147D0A" w:rsidRDefault="00EE43E3"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Bank. (2020). Service Delivery Indicators: Measuring service delivery in education and health in Africa and Asia. Washington, DC: World Bank. Retrieved from </w:t>
      </w:r>
      <w:hyperlink r:id="rId31" w:history="1">
        <w:r w:rsidRPr="00147D0A">
          <w:rPr>
            <w:rStyle w:val="Hyperlink"/>
            <w:rFonts w:ascii="Arial Hebrew" w:hAnsi="Arial Hebrew" w:cs="Arial Hebrew" w:hint="cs"/>
            <w:sz w:val="20"/>
            <w:szCs w:val="20"/>
          </w:rPr>
          <w:t>https://www.worldbank.org/en/programs/service-delivery-indicators</w:t>
        </w:r>
      </w:hyperlink>
    </w:p>
    <w:p w14:paraId="17BFDC7B" w14:textId="77777777" w:rsidR="00EE43E3" w:rsidRPr="00147D0A" w:rsidRDefault="00EE43E3" w:rsidP="001C35F9">
      <w:pPr>
        <w:pStyle w:val="NormalWeb"/>
        <w:spacing w:before="0" w:beforeAutospacing="0" w:after="0" w:afterAutospacing="0"/>
        <w:rPr>
          <w:rFonts w:ascii="Arial Hebrew" w:hAnsi="Arial Hebrew" w:cs="Arial Hebrew"/>
          <w:color w:val="000000" w:themeColor="text1"/>
          <w:sz w:val="20"/>
          <w:szCs w:val="20"/>
        </w:rPr>
      </w:pPr>
    </w:p>
    <w:p w14:paraId="3F14D83E" w14:textId="5DB3C866" w:rsidR="001C35F9" w:rsidRPr="00147D0A" w:rsidRDefault="001C35F9"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Bank. (2024, November 5). World Bank response to the external review of the Worldwide Governance Indicators. </w:t>
      </w:r>
      <w:hyperlink r:id="rId32" w:history="1">
        <w:r w:rsidRPr="00147D0A">
          <w:rPr>
            <w:rStyle w:val="Hyperlink"/>
            <w:rFonts w:ascii="Arial Hebrew" w:hAnsi="Arial Hebrew" w:cs="Arial Hebrew" w:hint="cs"/>
            <w:sz w:val="20"/>
            <w:szCs w:val="20"/>
          </w:rPr>
          <w:t>https://www.worldbank.org/content/dam/sites/govindicators/doc/wgireviewresponse.pdf</w:t>
        </w:r>
      </w:hyperlink>
    </w:p>
    <w:p w14:paraId="224B5BE1" w14:textId="77777777" w:rsidR="001C35F9" w:rsidRPr="00147D0A" w:rsidRDefault="001C35F9" w:rsidP="001C35F9">
      <w:pPr>
        <w:pStyle w:val="NormalWeb"/>
        <w:spacing w:before="0" w:beforeAutospacing="0" w:after="0" w:afterAutospacing="0"/>
        <w:rPr>
          <w:rFonts w:ascii="Arial Hebrew" w:hAnsi="Arial Hebrew" w:cs="Arial Hebrew"/>
          <w:color w:val="000000" w:themeColor="text1"/>
          <w:sz w:val="20"/>
          <w:szCs w:val="20"/>
        </w:rPr>
      </w:pPr>
    </w:p>
    <w:p w14:paraId="7AE62076" w14:textId="77777777" w:rsidR="00FA65FC" w:rsidRPr="00147D0A" w:rsidRDefault="00FA65FC" w:rsidP="001C35F9">
      <w:pPr>
        <w:pStyle w:val="NormalWeb"/>
        <w:spacing w:before="0" w:beforeAutospacing="0" w:after="0" w:afterAutospacing="0"/>
        <w:rPr>
          <w:rFonts w:ascii="Arial Hebrew" w:hAnsi="Arial Hebrew" w:cs="Arial Hebrew"/>
          <w:color w:val="000000" w:themeColor="text1"/>
          <w:sz w:val="20"/>
          <w:szCs w:val="20"/>
        </w:rPr>
      </w:pPr>
    </w:p>
    <w:p w14:paraId="76E80A60" w14:textId="21E4A5E2" w:rsidR="0036618E" w:rsidRPr="00147D0A" w:rsidRDefault="0036618E" w:rsidP="001C35F9">
      <w:pPr>
        <w:pStyle w:val="NormalWeb"/>
        <w:spacing w:before="0" w:beforeAutospacing="0" w:after="0" w:afterAutospacing="0"/>
        <w:rPr>
          <w:rFonts w:ascii="Arial Hebrew" w:hAnsi="Arial Hebrew" w:cs="Arial Hebrew"/>
          <w:color w:val="000000" w:themeColor="text1"/>
          <w:sz w:val="20"/>
          <w:szCs w:val="20"/>
        </w:rPr>
      </w:pPr>
      <w:r w:rsidRPr="00147D0A">
        <w:rPr>
          <w:rFonts w:ascii="Arial Hebrew" w:hAnsi="Arial Hebrew" w:cs="Arial Hebrew" w:hint="cs"/>
          <w:color w:val="000000" w:themeColor="text1"/>
          <w:sz w:val="20"/>
          <w:szCs w:val="20"/>
        </w:rPr>
        <w:t xml:space="preserve">World Bank. (2024, November 5). WGI usage advisory. Worldwide Governance Indicators. </w:t>
      </w:r>
      <w:hyperlink r:id="rId33" w:history="1">
        <w:r w:rsidRPr="00147D0A">
          <w:rPr>
            <w:rStyle w:val="Hyperlink"/>
            <w:rFonts w:ascii="Arial Hebrew" w:hAnsi="Arial Hebrew" w:cs="Arial Hebrew" w:hint="cs"/>
            <w:sz w:val="20"/>
            <w:szCs w:val="20"/>
          </w:rPr>
          <w:t>https://www.worldbank.org/en/publication/worldwide-governance-indicators/usage-advisory</w:t>
        </w:r>
      </w:hyperlink>
    </w:p>
    <w:p w14:paraId="58E295AD" w14:textId="77777777" w:rsidR="00EE43E3" w:rsidRPr="00147D0A" w:rsidRDefault="00EE43E3" w:rsidP="001C35F9">
      <w:pPr>
        <w:pStyle w:val="NormalWeb"/>
        <w:spacing w:before="0" w:beforeAutospacing="0" w:after="0" w:afterAutospacing="0"/>
        <w:rPr>
          <w:rFonts w:ascii="Arial Hebrew" w:hAnsi="Arial Hebrew" w:cs="Arial Hebrew"/>
          <w:color w:val="000000" w:themeColor="text1"/>
          <w:sz w:val="20"/>
          <w:szCs w:val="20"/>
        </w:rPr>
      </w:pPr>
    </w:p>
    <w:p w14:paraId="7648B7B3" w14:textId="77777777" w:rsidR="00EE43E3" w:rsidRPr="00147D0A" w:rsidRDefault="00EE43E3" w:rsidP="00EE43E3">
      <w:pPr>
        <w:pStyle w:val="NormalWeb"/>
        <w:rPr>
          <w:rFonts w:ascii="Arial Hebrew" w:hAnsi="Arial Hebrew" w:cs="Arial Hebrew"/>
          <w:color w:val="000000" w:themeColor="text1"/>
          <w:sz w:val="20"/>
          <w:szCs w:val="20"/>
        </w:rPr>
      </w:pPr>
    </w:p>
    <w:p w14:paraId="75B0C608" w14:textId="77777777" w:rsidR="00EE43E3" w:rsidRPr="00147D0A" w:rsidRDefault="00EE43E3" w:rsidP="00EE43E3">
      <w:pPr>
        <w:pStyle w:val="NormalWeb"/>
        <w:rPr>
          <w:rFonts w:ascii="Arial Hebrew" w:hAnsi="Arial Hebrew" w:cs="Arial Hebrew"/>
          <w:color w:val="000000" w:themeColor="text1"/>
          <w:sz w:val="20"/>
          <w:szCs w:val="20"/>
        </w:rPr>
      </w:pPr>
    </w:p>
    <w:p w14:paraId="0A987B65" w14:textId="77777777" w:rsidR="00EE43E3" w:rsidRPr="00147D0A" w:rsidRDefault="00EE43E3" w:rsidP="00EE43E3">
      <w:pPr>
        <w:pStyle w:val="NormalWeb"/>
        <w:rPr>
          <w:rFonts w:ascii="Arial Hebrew" w:hAnsi="Arial Hebrew" w:cs="Arial Hebrew"/>
          <w:color w:val="000000" w:themeColor="text1"/>
          <w:sz w:val="20"/>
          <w:szCs w:val="20"/>
        </w:rPr>
      </w:pPr>
    </w:p>
    <w:p w14:paraId="2EBD8917" w14:textId="77777777" w:rsidR="0036618E" w:rsidRPr="00147D0A" w:rsidRDefault="0036618E" w:rsidP="001C35F9">
      <w:pPr>
        <w:pStyle w:val="NormalWeb"/>
        <w:spacing w:before="0" w:beforeAutospacing="0" w:after="0" w:afterAutospacing="0"/>
        <w:rPr>
          <w:rFonts w:ascii="Arial Hebrew" w:hAnsi="Arial Hebrew" w:cs="Arial Hebrew"/>
          <w:color w:val="000000" w:themeColor="text1"/>
          <w:sz w:val="20"/>
          <w:szCs w:val="20"/>
        </w:rPr>
      </w:pPr>
    </w:p>
    <w:sectPr w:rsidR="0036618E" w:rsidRPr="00147D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A59C5" w14:textId="77777777" w:rsidR="00C27DF7" w:rsidRDefault="00C27DF7" w:rsidP="00930C15">
      <w:r>
        <w:separator/>
      </w:r>
    </w:p>
  </w:endnote>
  <w:endnote w:type="continuationSeparator" w:id="0">
    <w:p w14:paraId="3D6B5B7D" w14:textId="77777777" w:rsidR="00C27DF7" w:rsidRDefault="00C27DF7"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DB59E" w14:textId="77777777" w:rsidR="00C27DF7" w:rsidRDefault="00C27DF7" w:rsidP="00930C15">
      <w:r>
        <w:separator/>
      </w:r>
    </w:p>
  </w:footnote>
  <w:footnote w:type="continuationSeparator" w:id="0">
    <w:p w14:paraId="2D01158E" w14:textId="77777777" w:rsidR="00C27DF7" w:rsidRDefault="00C27DF7" w:rsidP="00930C15">
      <w:r>
        <w:continuationSeparator/>
      </w:r>
    </w:p>
  </w:footnote>
  <w:footnote w:id="1">
    <w:p w14:paraId="4E42D661" w14:textId="4C1CF229" w:rsidR="00A90C71" w:rsidRPr="007C5D03" w:rsidRDefault="00A90C71" w:rsidP="009F5066">
      <w:pPr>
        <w:pStyle w:val="FootnoteText"/>
        <w:ind w:firstLine="720"/>
        <w:rPr>
          <w:rFonts w:ascii="Arial Hebrew" w:hAnsi="Arial Hebrew" w:cs="Arial Hebrew"/>
          <w:i/>
          <w:iCs/>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 xml:space="preserve">See </w:t>
      </w:r>
      <w:r w:rsidR="00BD4997" w:rsidRPr="007C5D03">
        <w:rPr>
          <w:rFonts w:ascii="Arial Hebrew" w:hAnsi="Arial Hebrew" w:cs="Arial Hebrew" w:hint="cs"/>
          <w:sz w:val="18"/>
          <w:szCs w:val="18"/>
          <w:lang w:val="en-US"/>
        </w:rPr>
        <w:t xml:space="preserve">the </w:t>
      </w:r>
      <w:r w:rsidRPr="007C5D03">
        <w:rPr>
          <w:rFonts w:ascii="Arial Hebrew" w:hAnsi="Arial Hebrew" w:cs="Arial Hebrew" w:hint="cs"/>
          <w:sz w:val="18"/>
          <w:szCs w:val="18"/>
          <w:lang w:val="en-US"/>
        </w:rPr>
        <w:t>a</w:t>
      </w:r>
      <w:r w:rsidR="00503EEC" w:rsidRPr="007C5D03">
        <w:rPr>
          <w:rFonts w:ascii="Arial Hebrew" w:hAnsi="Arial Hebrew" w:cs="Arial Hebrew" w:hint="cs"/>
          <w:sz w:val="18"/>
          <w:szCs w:val="18"/>
          <w:lang w:val="en-US"/>
        </w:rPr>
        <w:t>ccompanying</w:t>
      </w:r>
      <w:r w:rsidR="008E7FA5" w:rsidRPr="007C5D03">
        <w:rPr>
          <w:rFonts w:ascii="Arial Hebrew" w:hAnsi="Arial Hebrew" w:cs="Arial Hebrew" w:hint="cs"/>
          <w:sz w:val="18"/>
          <w:szCs w:val="18"/>
          <w:lang w:val="en-US"/>
        </w:rPr>
        <w:t xml:space="preserve"> </w:t>
      </w:r>
      <w:r w:rsidR="009C067D" w:rsidRPr="007C5D03">
        <w:rPr>
          <w:rFonts w:ascii="Arial Hebrew" w:hAnsi="Arial Hebrew" w:cs="Arial Hebrew" w:hint="cs"/>
          <w:sz w:val="18"/>
          <w:szCs w:val="18"/>
          <w:lang w:val="en-US"/>
        </w:rPr>
        <w:t xml:space="preserve">TDS </w:t>
      </w:r>
      <w:r w:rsidRPr="007C5D03">
        <w:rPr>
          <w:rFonts w:ascii="Arial Hebrew" w:hAnsi="Arial Hebrew" w:cs="Arial Hebrew" w:hint="cs"/>
          <w:sz w:val="18"/>
          <w:szCs w:val="18"/>
          <w:lang w:val="en-US"/>
        </w:rPr>
        <w:t>note</w:t>
      </w:r>
      <w:r w:rsidR="00566972" w:rsidRPr="007C5D03">
        <w:rPr>
          <w:rFonts w:ascii="Arial Hebrew" w:hAnsi="Arial Hebrew" w:cs="Arial Hebrew" w:hint="cs"/>
          <w:sz w:val="18"/>
          <w:szCs w:val="18"/>
          <w:lang w:val="en-US"/>
        </w:rPr>
        <w:t xml:space="preserve"> </w:t>
      </w:r>
      <w:r w:rsidR="00566972" w:rsidRPr="007C5D03">
        <w:rPr>
          <w:rFonts w:ascii="Arial Hebrew" w:hAnsi="Arial Hebrew" w:cs="Arial Hebrew" w:hint="cs"/>
          <w:i/>
          <w:iCs/>
          <w:sz w:val="18"/>
          <w:szCs w:val="18"/>
          <w:lang w:val="en-US"/>
        </w:rPr>
        <w:t>An Index for Trustworthy Government in the Digital Age</w:t>
      </w:r>
      <w:r w:rsidRPr="007C5D03">
        <w:rPr>
          <w:rFonts w:ascii="Arial Hebrew" w:hAnsi="Arial Hebrew" w:cs="Arial Hebrew" w:hint="cs"/>
          <w:i/>
          <w:iCs/>
          <w:sz w:val="18"/>
          <w:szCs w:val="18"/>
          <w:lang w:val="en-US"/>
        </w:rPr>
        <w:t>.</w:t>
      </w:r>
    </w:p>
  </w:footnote>
  <w:footnote w:id="2">
    <w:p w14:paraId="7C045E1B" w14:textId="3128FAFD" w:rsidR="00D21EB9" w:rsidRPr="007C5D03" w:rsidRDefault="00D21EB9"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6578DE" w:rsidRPr="007C5D03">
        <w:rPr>
          <w:rFonts w:ascii="Arial Hebrew" w:hAnsi="Arial Hebrew" w:cs="Arial Hebrew" w:hint="cs"/>
          <w:i/>
          <w:iCs/>
          <w:sz w:val="18"/>
          <w:szCs w:val="18"/>
        </w:rPr>
        <w:t>Scale</w:t>
      </w:r>
      <w:r w:rsidR="006578DE" w:rsidRPr="007C5D03">
        <w:rPr>
          <w:rFonts w:ascii="Arial Hebrew" w:hAnsi="Arial Hebrew" w:cs="Arial Hebrew" w:hint="cs"/>
          <w:sz w:val="18"/>
          <w:szCs w:val="18"/>
        </w:rPr>
        <w:t xml:space="preserve"> is </w:t>
      </w:r>
      <w:r w:rsidR="000B50F8" w:rsidRPr="007C5D03">
        <w:rPr>
          <w:rFonts w:ascii="Arial Hebrew" w:hAnsi="Arial Hebrew" w:cs="Arial Hebrew" w:hint="cs"/>
          <w:sz w:val="18"/>
          <w:szCs w:val="18"/>
        </w:rPr>
        <w:t xml:space="preserve">measured using </w:t>
      </w:r>
      <w:r w:rsidR="006578DE" w:rsidRPr="007C5D03">
        <w:rPr>
          <w:rFonts w:ascii="Arial Hebrew" w:hAnsi="Arial Hebrew" w:cs="Arial Hebrew" w:hint="cs"/>
          <w:sz w:val="18"/>
          <w:szCs w:val="18"/>
        </w:rPr>
        <w:t xml:space="preserve">Nominal </w:t>
      </w:r>
      <w:r w:rsidRPr="007C5D03">
        <w:rPr>
          <w:rFonts w:ascii="Arial Hebrew" w:hAnsi="Arial Hebrew" w:cs="Arial Hebrew" w:hint="cs"/>
          <w:sz w:val="18"/>
          <w:szCs w:val="18"/>
        </w:rPr>
        <w:t>GDP</w:t>
      </w:r>
      <w:r w:rsidR="006578DE" w:rsidRPr="007C5D03">
        <w:rPr>
          <w:rFonts w:ascii="Arial Hebrew" w:hAnsi="Arial Hebrew" w:cs="Arial Hebrew" w:hint="cs"/>
          <w:sz w:val="18"/>
          <w:szCs w:val="18"/>
        </w:rPr>
        <w:t>,</w:t>
      </w:r>
      <w:r w:rsidRPr="007C5D03">
        <w:rPr>
          <w:rFonts w:ascii="Arial Hebrew" w:hAnsi="Arial Hebrew" w:cs="Arial Hebrew" w:hint="cs"/>
          <w:sz w:val="18"/>
          <w:szCs w:val="18"/>
        </w:rPr>
        <w:t xml:space="preserve"> the </w:t>
      </w:r>
      <w:r w:rsidR="006578DE" w:rsidRPr="007C5D03">
        <w:rPr>
          <w:rFonts w:ascii="Arial Hebrew" w:hAnsi="Arial Hebrew" w:cs="Arial Hebrew" w:hint="cs"/>
          <w:sz w:val="18"/>
          <w:szCs w:val="18"/>
        </w:rPr>
        <w:t xml:space="preserve">annual </w:t>
      </w:r>
      <w:r w:rsidRPr="007C5D03">
        <w:rPr>
          <w:rFonts w:ascii="Arial Hebrew" w:hAnsi="Arial Hebrew" w:cs="Arial Hebrew" w:hint="cs"/>
          <w:sz w:val="18"/>
          <w:szCs w:val="18"/>
        </w:rPr>
        <w:t>value of all final domestic production (production for final consumption, investment</w:t>
      </w:r>
      <w:r w:rsidR="003C399F" w:rsidRPr="007C5D03">
        <w:rPr>
          <w:rFonts w:ascii="Arial Hebrew" w:hAnsi="Arial Hebrew" w:cs="Arial Hebrew" w:hint="cs"/>
          <w:sz w:val="18"/>
          <w:szCs w:val="18"/>
        </w:rPr>
        <w:t>,</w:t>
      </w:r>
      <w:r w:rsidRPr="007C5D03">
        <w:rPr>
          <w:rFonts w:ascii="Arial Hebrew" w:hAnsi="Arial Hebrew" w:cs="Arial Hebrew" w:hint="cs"/>
          <w:sz w:val="18"/>
          <w:szCs w:val="18"/>
        </w:rPr>
        <w:t xml:space="preserve"> or export) gross of capital depreciation</w:t>
      </w:r>
      <w:r w:rsidR="006578DE" w:rsidRPr="007C5D03">
        <w:rPr>
          <w:rFonts w:ascii="Arial Hebrew" w:hAnsi="Arial Hebrew" w:cs="Arial Hebrew" w:hint="cs"/>
          <w:sz w:val="18"/>
          <w:szCs w:val="18"/>
        </w:rPr>
        <w:t xml:space="preserve"> and net of imports. </w:t>
      </w:r>
      <w:r w:rsidR="006578DE" w:rsidRPr="007C5D03">
        <w:rPr>
          <w:rFonts w:ascii="Arial Hebrew" w:hAnsi="Arial Hebrew" w:cs="Arial Hebrew" w:hint="cs"/>
          <w:i/>
          <w:iCs/>
          <w:sz w:val="18"/>
          <w:szCs w:val="18"/>
        </w:rPr>
        <w:t>Income</w:t>
      </w:r>
      <w:r w:rsidR="006578DE" w:rsidRPr="007C5D03">
        <w:rPr>
          <w:rFonts w:ascii="Arial Hebrew" w:hAnsi="Arial Hebrew" w:cs="Arial Hebrew" w:hint="cs"/>
          <w:sz w:val="18"/>
          <w:szCs w:val="18"/>
        </w:rPr>
        <w:t xml:space="preserve"> is per capita GDP adjusted for Purchasing Power Parity (PPP)</w:t>
      </w:r>
      <w:r w:rsidR="0043249D" w:rsidRPr="007C5D03">
        <w:rPr>
          <w:rFonts w:ascii="Arial Hebrew" w:hAnsi="Arial Hebrew" w:cs="Arial Hebrew" w:hint="cs"/>
          <w:sz w:val="18"/>
          <w:szCs w:val="18"/>
        </w:rPr>
        <w:t xml:space="preserve">. PPP </w:t>
      </w:r>
      <w:r w:rsidR="000B50F8" w:rsidRPr="007C5D03">
        <w:rPr>
          <w:rFonts w:ascii="Arial Hebrew" w:hAnsi="Arial Hebrew" w:cs="Arial Hebrew" w:hint="cs"/>
          <w:sz w:val="18"/>
          <w:szCs w:val="18"/>
        </w:rPr>
        <w:t>account</w:t>
      </w:r>
      <w:r w:rsidR="0043249D" w:rsidRPr="007C5D03">
        <w:rPr>
          <w:rFonts w:ascii="Arial Hebrew" w:hAnsi="Arial Hebrew" w:cs="Arial Hebrew" w:hint="cs"/>
          <w:sz w:val="18"/>
          <w:szCs w:val="18"/>
        </w:rPr>
        <w:t>s</w:t>
      </w:r>
      <w:r w:rsidR="000B50F8" w:rsidRPr="007C5D03">
        <w:rPr>
          <w:rFonts w:ascii="Arial Hebrew" w:hAnsi="Arial Hebrew" w:cs="Arial Hebrew" w:hint="cs"/>
          <w:sz w:val="18"/>
          <w:szCs w:val="18"/>
        </w:rPr>
        <w:t xml:space="preserve"> </w:t>
      </w:r>
      <w:r w:rsidR="006578DE" w:rsidRPr="007C5D03">
        <w:rPr>
          <w:rFonts w:ascii="Arial Hebrew" w:hAnsi="Arial Hebrew" w:cs="Arial Hebrew" w:hint="cs"/>
          <w:sz w:val="18"/>
          <w:szCs w:val="18"/>
        </w:rPr>
        <w:t>for price differentials between countries</w:t>
      </w:r>
      <w:r w:rsidR="0043249D" w:rsidRPr="007C5D03">
        <w:rPr>
          <w:rFonts w:ascii="Arial Hebrew" w:hAnsi="Arial Hebrew" w:cs="Arial Hebrew" w:hint="cs"/>
          <w:sz w:val="18"/>
          <w:szCs w:val="18"/>
        </w:rPr>
        <w:t xml:space="preserve"> and generally raises real-income estimates for lower-income countries</w:t>
      </w:r>
      <w:r w:rsidR="006578DE" w:rsidRPr="007C5D03">
        <w:rPr>
          <w:rFonts w:ascii="Arial Hebrew" w:hAnsi="Arial Hebrew" w:cs="Arial Hebrew" w:hint="cs"/>
          <w:sz w:val="18"/>
          <w:szCs w:val="18"/>
        </w:rPr>
        <w:t xml:space="preserve">. </w:t>
      </w:r>
      <w:r w:rsidR="006578DE" w:rsidRPr="007C5D03">
        <w:rPr>
          <w:rFonts w:ascii="Arial Hebrew" w:hAnsi="Arial Hebrew" w:cs="Arial Hebrew" w:hint="cs"/>
          <w:i/>
          <w:iCs/>
          <w:sz w:val="18"/>
          <w:szCs w:val="18"/>
        </w:rPr>
        <w:t>Growth</w:t>
      </w:r>
      <w:r w:rsidR="006578DE" w:rsidRPr="007C5D03">
        <w:rPr>
          <w:rFonts w:ascii="Arial Hebrew" w:hAnsi="Arial Hebrew" w:cs="Arial Hebrew" w:hint="cs"/>
          <w:sz w:val="18"/>
          <w:szCs w:val="18"/>
        </w:rPr>
        <w:t xml:space="preserve"> is ten-year centred-average GDP growth</w:t>
      </w:r>
      <w:r w:rsidR="000B50F8" w:rsidRPr="007C5D03">
        <w:rPr>
          <w:rFonts w:ascii="Arial Hebrew" w:hAnsi="Arial Hebrew" w:cs="Arial Hebrew" w:hint="cs"/>
          <w:sz w:val="18"/>
          <w:szCs w:val="18"/>
        </w:rPr>
        <w:t>,</w:t>
      </w:r>
      <w:r w:rsidR="006578DE" w:rsidRPr="007C5D03">
        <w:rPr>
          <w:rFonts w:ascii="Arial Hebrew" w:hAnsi="Arial Hebrew" w:cs="Arial Hebrew" w:hint="cs"/>
          <w:sz w:val="18"/>
          <w:szCs w:val="18"/>
        </w:rPr>
        <w:t xml:space="preserve"> using five-year future growth forecasts published by the annual IMF World Economic Outlook (WEO).</w:t>
      </w:r>
      <w:r w:rsidRPr="007C5D03">
        <w:rPr>
          <w:rFonts w:ascii="Arial Hebrew" w:hAnsi="Arial Hebrew" w:cs="Arial Hebrew" w:hint="cs"/>
          <w:sz w:val="18"/>
          <w:szCs w:val="18"/>
        </w:rPr>
        <w:t xml:space="preserve"> </w:t>
      </w:r>
      <w:r w:rsidR="006578DE" w:rsidRPr="007C5D03">
        <w:rPr>
          <w:rFonts w:ascii="Arial Hebrew" w:hAnsi="Arial Hebrew" w:cs="Arial Hebrew" w:hint="cs"/>
          <w:i/>
          <w:iCs/>
          <w:sz w:val="18"/>
          <w:szCs w:val="18"/>
        </w:rPr>
        <w:t>Volatility</w:t>
      </w:r>
      <w:r w:rsidR="006578DE" w:rsidRPr="007C5D03">
        <w:rPr>
          <w:rFonts w:ascii="Arial Hebrew" w:hAnsi="Arial Hebrew" w:cs="Arial Hebrew" w:hint="cs"/>
          <w:sz w:val="18"/>
          <w:szCs w:val="18"/>
        </w:rPr>
        <w:t xml:space="preserve"> is </w:t>
      </w:r>
      <w:r w:rsidR="0043249D" w:rsidRPr="007C5D03">
        <w:rPr>
          <w:rFonts w:ascii="Arial Hebrew" w:hAnsi="Arial Hebrew" w:cs="Arial Hebrew" w:hint="cs"/>
          <w:sz w:val="18"/>
          <w:szCs w:val="18"/>
        </w:rPr>
        <w:t xml:space="preserve">measured as </w:t>
      </w:r>
      <w:r w:rsidR="006578DE" w:rsidRPr="007C5D03">
        <w:rPr>
          <w:rFonts w:ascii="Arial Hebrew" w:hAnsi="Arial Hebrew" w:cs="Arial Hebrew" w:hint="cs"/>
          <w:sz w:val="18"/>
          <w:szCs w:val="18"/>
        </w:rPr>
        <w:t xml:space="preserve">the Median Absolute Deviation in GDP growth over ten years. </w:t>
      </w:r>
      <w:r w:rsidRPr="007C5D03">
        <w:rPr>
          <w:rFonts w:ascii="Arial Hebrew" w:hAnsi="Arial Hebrew" w:cs="Arial Hebrew" w:hint="cs"/>
          <w:sz w:val="18"/>
          <w:szCs w:val="18"/>
        </w:rPr>
        <w:t xml:space="preserve"> </w:t>
      </w:r>
    </w:p>
  </w:footnote>
  <w:footnote w:id="3">
    <w:p w14:paraId="080F947C" w14:textId="1FC53029" w:rsidR="001968C3" w:rsidRPr="007C5D03" w:rsidRDefault="001968C3" w:rsidP="001968C3">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This </w:t>
      </w:r>
      <w:r w:rsidR="001C2F06" w:rsidRPr="007C5D03">
        <w:rPr>
          <w:rFonts w:ascii="Arial Hebrew" w:hAnsi="Arial Hebrew" w:cs="Arial Hebrew" w:hint="cs"/>
          <w:sz w:val="18"/>
          <w:szCs w:val="18"/>
        </w:rPr>
        <w:t xml:space="preserve">minimum function </w:t>
      </w:r>
      <w:r w:rsidRPr="007C5D03">
        <w:rPr>
          <w:rFonts w:ascii="Arial Hebrew" w:hAnsi="Arial Hebrew" w:cs="Arial Hebrew" w:hint="cs"/>
          <w:sz w:val="18"/>
          <w:szCs w:val="18"/>
        </w:rPr>
        <w:t xml:space="preserve">lets the </w:t>
      </w:r>
      <w:r w:rsidR="001C2F06" w:rsidRPr="007C5D03">
        <w:rPr>
          <w:rFonts w:ascii="Arial Hebrew" w:hAnsi="Arial Hebrew" w:cs="Arial Hebrew" w:hint="cs"/>
          <w:sz w:val="18"/>
          <w:szCs w:val="18"/>
        </w:rPr>
        <w:t xml:space="preserve">most negative score </w:t>
      </w:r>
      <w:r w:rsidRPr="007C5D03">
        <w:rPr>
          <w:rFonts w:ascii="Arial Hebrew" w:hAnsi="Arial Hebrew" w:cs="Arial Hebrew" w:hint="cs"/>
          <w:sz w:val="18"/>
          <w:szCs w:val="18"/>
        </w:rPr>
        <w:t xml:space="preserve">of the four </w:t>
      </w:r>
      <w:r w:rsidRPr="007C5D03">
        <w:rPr>
          <w:rFonts w:ascii="Arial Hebrew" w:hAnsi="Arial Hebrew" w:cs="Arial Hebrew" w:hint="cs"/>
          <w:b/>
          <w:bCs/>
          <w:sz w:val="18"/>
          <w:szCs w:val="18"/>
        </w:rPr>
        <w:t>Susceptibility to Event Risk</w:t>
      </w:r>
      <w:r w:rsidRPr="007C5D03">
        <w:rPr>
          <w:rFonts w:ascii="Arial Hebrew" w:hAnsi="Arial Hebrew" w:cs="Arial Hebrew" w:hint="cs"/>
          <w:sz w:val="18"/>
          <w:szCs w:val="18"/>
        </w:rPr>
        <w:t xml:space="preserve"> sub-factors determine th</w:t>
      </w:r>
      <w:r w:rsidR="001C2F06" w:rsidRPr="007C5D03">
        <w:rPr>
          <w:rFonts w:ascii="Arial Hebrew" w:hAnsi="Arial Hebrew" w:cs="Arial Hebrew" w:hint="cs"/>
          <w:sz w:val="18"/>
          <w:szCs w:val="18"/>
        </w:rPr>
        <w:t>at</w:t>
      </w:r>
      <w:r w:rsidRPr="007C5D03">
        <w:rPr>
          <w:rFonts w:ascii="Arial Hebrew" w:hAnsi="Arial Hebrew" w:cs="Arial Hebrew" w:hint="cs"/>
          <w:sz w:val="18"/>
          <w:szCs w:val="18"/>
        </w:rPr>
        <w:t xml:space="preserve"> factor’s overall </w:t>
      </w:r>
      <w:r w:rsidR="005E1771" w:rsidRPr="007C5D03">
        <w:rPr>
          <w:rFonts w:ascii="Arial Hebrew" w:hAnsi="Arial Hebrew" w:cs="Arial Hebrew" w:hint="cs"/>
          <w:sz w:val="18"/>
          <w:szCs w:val="18"/>
        </w:rPr>
        <w:t>influence</w:t>
      </w:r>
      <w:r w:rsidRPr="007C5D03">
        <w:rPr>
          <w:rFonts w:ascii="Arial Hebrew" w:hAnsi="Arial Hebrew" w:cs="Arial Hebrew" w:hint="cs"/>
          <w:sz w:val="18"/>
          <w:szCs w:val="18"/>
        </w:rPr>
        <w:t>.</w:t>
      </w:r>
    </w:p>
  </w:footnote>
  <w:footnote w:id="4">
    <w:p w14:paraId="362B9989" w14:textId="31D09B88" w:rsidR="00D63D25" w:rsidRPr="007C5D03" w:rsidRDefault="00D63D25"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The five factors determine a </w:t>
      </w:r>
      <w:r w:rsidRPr="007C5D03">
        <w:rPr>
          <w:rFonts w:ascii="Arial Hebrew" w:hAnsi="Arial Hebrew" w:cs="Arial Hebrew" w:hint="cs"/>
          <w:b/>
          <w:bCs/>
          <w:i/>
          <w:iCs/>
          <w:sz w:val="18"/>
          <w:szCs w:val="18"/>
        </w:rPr>
        <w:t>Likelihood of Support</w:t>
      </w:r>
      <w:r w:rsidRPr="007C5D03">
        <w:rPr>
          <w:rFonts w:ascii="Arial Hebrew" w:hAnsi="Arial Hebrew" w:cs="Arial Hebrew" w:hint="cs"/>
          <w:sz w:val="18"/>
          <w:szCs w:val="18"/>
        </w:rPr>
        <w:t xml:space="preserve"> assessment, which is considered jointly in the </w:t>
      </w:r>
      <w:r w:rsidRPr="007C5D03">
        <w:rPr>
          <w:rFonts w:ascii="Arial Hebrew" w:hAnsi="Arial Hebrew" w:cs="Arial Hebrew" w:hint="cs"/>
          <w:b/>
          <w:bCs/>
          <w:sz w:val="18"/>
          <w:szCs w:val="18"/>
        </w:rPr>
        <w:t>Extraordinary Support</w:t>
      </w:r>
      <w:r w:rsidRPr="007C5D03">
        <w:rPr>
          <w:rFonts w:ascii="Arial Hebrew" w:hAnsi="Arial Hebrew" w:cs="Arial Hebrew" w:hint="cs"/>
          <w:sz w:val="18"/>
          <w:szCs w:val="18"/>
        </w:rPr>
        <w:t xml:space="preserve"> assessment with the higher-tier supporting government’s credit rating and a </w:t>
      </w:r>
      <w:r w:rsidRPr="007C5D03">
        <w:rPr>
          <w:rFonts w:ascii="Arial Hebrew" w:hAnsi="Arial Hebrew" w:cs="Arial Hebrew" w:hint="cs"/>
          <w:b/>
          <w:bCs/>
          <w:i/>
          <w:iCs/>
          <w:sz w:val="18"/>
          <w:szCs w:val="18"/>
        </w:rPr>
        <w:t>Joint Default Analysis</w:t>
      </w:r>
      <w:r w:rsidRPr="007C5D03">
        <w:rPr>
          <w:rFonts w:ascii="Arial Hebrew" w:hAnsi="Arial Hebrew" w:cs="Arial Hebrew" w:hint="cs"/>
          <w:sz w:val="18"/>
          <w:szCs w:val="18"/>
        </w:rPr>
        <w:t xml:space="preserve"> </w:t>
      </w:r>
      <w:r w:rsidR="003C399F" w:rsidRPr="007C5D03">
        <w:rPr>
          <w:rFonts w:ascii="Arial Hebrew" w:hAnsi="Arial Hebrew" w:cs="Arial Hebrew" w:hint="cs"/>
          <w:sz w:val="18"/>
          <w:szCs w:val="18"/>
        </w:rPr>
        <w:t>which</w:t>
      </w:r>
      <w:r w:rsidRPr="007C5D03">
        <w:rPr>
          <w:rFonts w:ascii="Arial Hebrew" w:hAnsi="Arial Hebrew" w:cs="Arial Hebrew" w:hint="cs"/>
          <w:sz w:val="18"/>
          <w:szCs w:val="18"/>
        </w:rPr>
        <w:t xml:space="preserve"> inc</w:t>
      </w:r>
      <w:r w:rsidR="003C399F" w:rsidRPr="007C5D03">
        <w:rPr>
          <w:rFonts w:ascii="Arial Hebrew" w:hAnsi="Arial Hebrew" w:cs="Arial Hebrew" w:hint="cs"/>
          <w:sz w:val="18"/>
          <w:szCs w:val="18"/>
        </w:rPr>
        <w:t>orporates</w:t>
      </w:r>
      <w:r w:rsidRPr="007C5D03">
        <w:rPr>
          <w:rFonts w:ascii="Arial Hebrew" w:hAnsi="Arial Hebrew" w:cs="Arial Hebrew" w:hint="cs"/>
          <w:sz w:val="18"/>
          <w:szCs w:val="18"/>
        </w:rPr>
        <w:t xml:space="preserve"> an estimate of the default correlation between the two entities.</w:t>
      </w:r>
    </w:p>
  </w:footnote>
  <w:footnote w:id="5">
    <w:p w14:paraId="02AE4FB4" w14:textId="0EA06686" w:rsidR="00203174" w:rsidRPr="007C5D03" w:rsidRDefault="00203174"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 xml:space="preserve">Notching factors differ for state and local governments. As with other assessments, final adjustments may be made based on various other considerations. </w:t>
      </w:r>
      <w:r w:rsidRPr="007C5D03">
        <w:rPr>
          <w:rFonts w:ascii="Arial Hebrew" w:hAnsi="Arial Hebrew" w:cs="Arial Hebrew" w:hint="cs"/>
          <w:sz w:val="18"/>
          <w:szCs w:val="18"/>
        </w:rPr>
        <w:t xml:space="preserve">The methodology for U.S. sub-sovereigns also includes </w:t>
      </w:r>
      <w:r w:rsidRPr="007C5D03">
        <w:rPr>
          <w:rFonts w:ascii="Arial Hebrew" w:hAnsi="Arial Hebrew" w:cs="Arial Hebrew" w:hint="cs"/>
          <w:b/>
          <w:bCs/>
          <w:sz w:val="18"/>
          <w:szCs w:val="18"/>
        </w:rPr>
        <w:t>Instrument-Level Ratings</w:t>
      </w:r>
      <w:r w:rsidRPr="007C5D03">
        <w:rPr>
          <w:rFonts w:ascii="Arial Hebrew" w:hAnsi="Arial Hebrew" w:cs="Arial Hebrew" w:hint="cs"/>
          <w:sz w:val="18"/>
          <w:szCs w:val="18"/>
        </w:rPr>
        <w:t xml:space="preserve">, adjustments to </w:t>
      </w:r>
      <w:r w:rsidR="0028676A">
        <w:rPr>
          <w:rFonts w:ascii="Cambria" w:hAnsi="Cambria" w:cs="Arial Hebrew"/>
          <w:sz w:val="18"/>
          <w:szCs w:val="18"/>
        </w:rPr>
        <w:t xml:space="preserve">issuer rating </w:t>
      </w:r>
      <w:r w:rsidRPr="007C5D03">
        <w:rPr>
          <w:rFonts w:ascii="Arial Hebrew" w:hAnsi="Arial Hebrew" w:cs="Arial Hebrew" w:hint="cs"/>
          <w:sz w:val="18"/>
          <w:szCs w:val="18"/>
        </w:rPr>
        <w:t>applied to rate the different types of securities issued in U.S. LRG debt markets; general obligation bonds (unlimited and limited tax), contingent obligations (appropriation, lease, and moral obligations), and special tax pledges.</w:t>
      </w:r>
    </w:p>
  </w:footnote>
  <w:footnote w:id="6">
    <w:p w14:paraId="03C829D2" w14:textId="18DD2FFA" w:rsidR="006E7ECE" w:rsidRPr="007C5D03" w:rsidRDefault="006E7ECE" w:rsidP="006E7ECE">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Regarding specific data sources, S&amp;P’s </w:t>
      </w:r>
      <w:r w:rsidR="008E45DE" w:rsidRPr="007C5D03">
        <w:rPr>
          <w:rFonts w:ascii="Arial Hebrew" w:hAnsi="Arial Hebrew" w:cs="Arial Hebrew" w:hint="cs"/>
          <w:sz w:val="18"/>
          <w:szCs w:val="18"/>
        </w:rPr>
        <w:t>publicly available documentation</w:t>
      </w:r>
      <w:r w:rsidRPr="007C5D03">
        <w:rPr>
          <w:rFonts w:ascii="Arial Hebrew" w:hAnsi="Arial Hebrew" w:cs="Arial Hebrew" w:hint="cs"/>
          <w:sz w:val="18"/>
          <w:szCs w:val="18"/>
        </w:rPr>
        <w:t xml:space="preserve"> reveals</w:t>
      </w:r>
      <w:r w:rsidR="008E45DE" w:rsidRPr="007C5D03">
        <w:rPr>
          <w:rFonts w:ascii="Arial Hebrew" w:hAnsi="Arial Hebrew" w:cs="Arial Hebrew" w:hint="cs"/>
          <w:sz w:val="18"/>
          <w:szCs w:val="18"/>
        </w:rPr>
        <w:t xml:space="preserve"> only</w:t>
      </w:r>
      <w:r w:rsidRPr="007C5D03">
        <w:rPr>
          <w:rFonts w:ascii="Arial Hebrew" w:hAnsi="Arial Hebrew" w:cs="Arial Hebrew" w:hint="cs"/>
          <w:sz w:val="18"/>
          <w:szCs w:val="18"/>
        </w:rPr>
        <w:t xml:space="preserve"> that the</w:t>
      </w:r>
      <w:r w:rsidR="008E45DE" w:rsidRPr="007C5D03">
        <w:rPr>
          <w:rFonts w:ascii="Arial Hebrew" w:hAnsi="Arial Hebrew" w:cs="Arial Hebrew" w:hint="cs"/>
          <w:sz w:val="18"/>
          <w:szCs w:val="18"/>
        </w:rPr>
        <w:t xml:space="preserve"> agency’s</w:t>
      </w:r>
      <w:r w:rsidRPr="007C5D03">
        <w:rPr>
          <w:rFonts w:ascii="Arial Hebrew" w:hAnsi="Arial Hebrew" w:cs="Arial Hebrew" w:hint="cs"/>
          <w:sz w:val="18"/>
          <w:szCs w:val="18"/>
        </w:rPr>
        <w:t xml:space="preserve"> qualitative analysis </w:t>
      </w:r>
      <w:r w:rsidRPr="007C5D03">
        <w:rPr>
          <w:rFonts w:ascii="Arial Hebrew" w:hAnsi="Arial Hebrew" w:cs="Arial Hebrew" w:hint="cs"/>
          <w:i/>
          <w:iCs/>
          <w:sz w:val="18"/>
          <w:szCs w:val="18"/>
        </w:rPr>
        <w:t>“may be informed by external sources such as the World Bank or the IMF”</w:t>
      </w:r>
      <w:r w:rsidR="00391F3D" w:rsidRPr="007C5D03">
        <w:rPr>
          <w:rFonts w:ascii="Arial Hebrew" w:hAnsi="Arial Hebrew" w:cs="Arial Hebrew" w:hint="cs"/>
          <w:i/>
          <w:iCs/>
          <w:sz w:val="18"/>
          <w:szCs w:val="18"/>
        </w:rPr>
        <w:t>.</w:t>
      </w:r>
    </w:p>
  </w:footnote>
  <w:footnote w:id="7">
    <w:p w14:paraId="5F423B7C" w14:textId="7FA3D2C7" w:rsidR="001F3782" w:rsidRPr="007C5D03" w:rsidRDefault="001F3782"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Combining two indicators in a risk matrix means that</w:t>
      </w:r>
      <w:r w:rsidR="00E709DE" w:rsidRPr="007C5D03">
        <w:rPr>
          <w:rFonts w:ascii="Arial Hebrew" w:hAnsi="Arial Hebrew" w:cs="Arial Hebrew" w:hint="cs"/>
          <w:sz w:val="18"/>
          <w:szCs w:val="18"/>
          <w:lang w:val="en-US"/>
        </w:rPr>
        <w:t xml:space="preserve"> the resulting assessment</w:t>
      </w:r>
      <w:r w:rsidR="00BE344F" w:rsidRPr="007C5D03">
        <w:rPr>
          <w:rFonts w:ascii="Arial Hebrew" w:hAnsi="Arial Hebrew" w:cs="Arial Hebrew" w:hint="cs"/>
          <w:sz w:val="18"/>
          <w:szCs w:val="18"/>
          <w:lang w:val="en-US"/>
        </w:rPr>
        <w:t xml:space="preserve"> score</w:t>
      </w:r>
      <w:r w:rsidRPr="007C5D03">
        <w:rPr>
          <w:rFonts w:ascii="Arial Hebrew" w:hAnsi="Arial Hebrew" w:cs="Arial Hebrew" w:hint="cs"/>
          <w:sz w:val="18"/>
          <w:szCs w:val="18"/>
          <w:lang w:val="en-US"/>
        </w:rPr>
        <w:t xml:space="preserve"> does not need to be a</w:t>
      </w:r>
      <w:r w:rsidR="001A2CF6" w:rsidRPr="007C5D03">
        <w:rPr>
          <w:rFonts w:ascii="Arial Hebrew" w:hAnsi="Arial Hebrew" w:cs="Arial Hebrew" w:hint="cs"/>
          <w:sz w:val="18"/>
          <w:szCs w:val="18"/>
          <w:lang w:val="en-US"/>
        </w:rPr>
        <w:t xml:space="preserve"> </w:t>
      </w:r>
      <w:r w:rsidRPr="007C5D03">
        <w:rPr>
          <w:rFonts w:ascii="Arial Hebrew" w:hAnsi="Arial Hebrew" w:cs="Arial Hebrew" w:hint="cs"/>
          <w:sz w:val="18"/>
          <w:szCs w:val="18"/>
          <w:lang w:val="en-US"/>
        </w:rPr>
        <w:t xml:space="preserve">simple function of the </w:t>
      </w:r>
      <w:r w:rsidR="00BE344F" w:rsidRPr="007C5D03">
        <w:rPr>
          <w:rFonts w:ascii="Arial Hebrew" w:hAnsi="Arial Hebrew" w:cs="Arial Hebrew" w:hint="cs"/>
          <w:sz w:val="18"/>
          <w:szCs w:val="18"/>
          <w:lang w:val="en-US"/>
        </w:rPr>
        <w:t>component scores</w:t>
      </w:r>
      <w:r w:rsidR="001A2CF6" w:rsidRPr="007C5D03">
        <w:rPr>
          <w:rFonts w:ascii="Arial Hebrew" w:hAnsi="Arial Hebrew" w:cs="Arial Hebrew" w:hint="cs"/>
          <w:sz w:val="18"/>
          <w:szCs w:val="18"/>
          <w:lang w:val="en-US"/>
        </w:rPr>
        <w:t>,</w:t>
      </w:r>
      <w:r w:rsidRPr="007C5D03">
        <w:rPr>
          <w:rFonts w:ascii="Arial Hebrew" w:hAnsi="Arial Hebrew" w:cs="Arial Hebrew" w:hint="cs"/>
          <w:sz w:val="18"/>
          <w:szCs w:val="18"/>
          <w:lang w:val="en-US"/>
        </w:rPr>
        <w:t xml:space="preserve"> such as a weighted average.</w:t>
      </w:r>
    </w:p>
  </w:footnote>
  <w:footnote w:id="8">
    <w:p w14:paraId="0771BD77" w14:textId="202DCE65" w:rsidR="00BE344F" w:rsidRPr="007C5D03" w:rsidRDefault="00BE344F" w:rsidP="00DC639F">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D9004F" w:rsidRPr="007C5D03">
        <w:rPr>
          <w:rFonts w:ascii="Arial Hebrew" w:hAnsi="Arial Hebrew" w:cs="Arial Hebrew" w:hint="cs"/>
          <w:sz w:val="18"/>
          <w:szCs w:val="18"/>
        </w:rPr>
        <w:t>The Individual Credit Profile for U.S. sub-sovereigns incorporates a range of</w:t>
      </w:r>
      <w:r w:rsidRPr="007C5D03">
        <w:rPr>
          <w:rFonts w:ascii="Arial Hebrew" w:hAnsi="Arial Hebrew" w:cs="Arial Hebrew" w:hint="cs"/>
          <w:sz w:val="18"/>
          <w:szCs w:val="18"/>
        </w:rPr>
        <w:t xml:space="preserve"> standardised U.S. financial reporting metrics</w:t>
      </w:r>
      <w:r w:rsidR="00D9004F" w:rsidRPr="007C5D03">
        <w:rPr>
          <w:rFonts w:ascii="Arial Hebrew" w:hAnsi="Arial Hebrew" w:cs="Arial Hebrew" w:hint="cs"/>
          <w:sz w:val="18"/>
          <w:szCs w:val="18"/>
        </w:rPr>
        <w:t xml:space="preserve"> and</w:t>
      </w:r>
      <w:r w:rsidRPr="007C5D03">
        <w:rPr>
          <w:rFonts w:ascii="Arial Hebrew" w:hAnsi="Arial Hebrew" w:cs="Arial Hebrew" w:hint="cs"/>
          <w:sz w:val="18"/>
          <w:szCs w:val="18"/>
        </w:rPr>
        <w:t xml:space="preserve"> places more importance on </w:t>
      </w:r>
      <w:r w:rsidR="00D9004F" w:rsidRPr="007C5D03">
        <w:rPr>
          <w:rFonts w:ascii="Arial Hebrew" w:hAnsi="Arial Hebrew" w:cs="Arial Hebrew" w:hint="cs"/>
          <w:sz w:val="18"/>
          <w:szCs w:val="18"/>
        </w:rPr>
        <w:t xml:space="preserve">RLG </w:t>
      </w:r>
      <w:r w:rsidRPr="007C5D03">
        <w:rPr>
          <w:rFonts w:ascii="Arial Hebrew" w:hAnsi="Arial Hebrew" w:cs="Arial Hebrew" w:hint="cs"/>
          <w:sz w:val="18"/>
          <w:szCs w:val="18"/>
        </w:rPr>
        <w:t>cash reserves and retirement liabilities.</w:t>
      </w:r>
    </w:p>
  </w:footnote>
  <w:footnote w:id="9">
    <w:p w14:paraId="25C28AB3" w14:textId="5CA3E685" w:rsidR="008F587A" w:rsidRPr="007C5D03" w:rsidRDefault="008F587A" w:rsidP="00DC639F">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5B62C2" w:rsidRPr="007C5D03">
        <w:rPr>
          <w:rFonts w:ascii="Arial Hebrew" w:hAnsi="Arial Hebrew" w:cs="Arial Hebrew" w:hint="cs"/>
          <w:sz w:val="18"/>
          <w:szCs w:val="18"/>
        </w:rPr>
        <w:t>Fitch Sovereign Rating Model w</w:t>
      </w:r>
      <w:r w:rsidRPr="007C5D03">
        <w:rPr>
          <w:rFonts w:ascii="Arial Hebrew" w:hAnsi="Arial Hebrew" w:cs="Arial Hebrew" w:hint="cs"/>
          <w:sz w:val="18"/>
          <w:szCs w:val="18"/>
        </w:rPr>
        <w:t>eights</w:t>
      </w:r>
      <w:r w:rsidR="0045429E" w:rsidRPr="007C5D03">
        <w:rPr>
          <w:rFonts w:ascii="Arial Hebrew" w:hAnsi="Arial Hebrew" w:cs="Arial Hebrew" w:hint="cs"/>
          <w:sz w:val="18"/>
          <w:szCs w:val="18"/>
        </w:rPr>
        <w:t xml:space="preserve"> are regularly updated</w:t>
      </w:r>
      <w:r w:rsidR="0020496B" w:rsidRPr="007C5D03">
        <w:rPr>
          <w:rFonts w:ascii="Arial Hebrew" w:hAnsi="Arial Hebrew" w:cs="Arial Hebrew" w:hint="cs"/>
          <w:sz w:val="18"/>
          <w:szCs w:val="18"/>
        </w:rPr>
        <w:t xml:space="preserve"> based on the share of bond-spread variances explained by the indicators</w:t>
      </w:r>
      <w:r w:rsidR="008E45DE" w:rsidRPr="007C5D03">
        <w:rPr>
          <w:rFonts w:ascii="Arial Hebrew" w:hAnsi="Arial Hebrew" w:cs="Arial Hebrew" w:hint="cs"/>
          <w:sz w:val="18"/>
          <w:szCs w:val="18"/>
        </w:rPr>
        <w:t xml:space="preserve">; </w:t>
      </w:r>
      <w:r w:rsidR="005B62C2" w:rsidRPr="007C5D03">
        <w:rPr>
          <w:rFonts w:ascii="Arial Hebrew" w:hAnsi="Arial Hebrew" w:cs="Arial Hebrew" w:hint="cs"/>
          <w:sz w:val="18"/>
          <w:szCs w:val="18"/>
        </w:rPr>
        <w:t>weights</w:t>
      </w:r>
      <w:r w:rsidR="008E45DE" w:rsidRPr="007C5D03">
        <w:rPr>
          <w:rFonts w:ascii="Arial Hebrew" w:hAnsi="Arial Hebrew" w:cs="Arial Hebrew" w:hint="cs"/>
          <w:sz w:val="18"/>
          <w:szCs w:val="18"/>
        </w:rPr>
        <w:t xml:space="preserve"> given</w:t>
      </w:r>
      <w:r w:rsidR="005B62C2" w:rsidRPr="007C5D03">
        <w:rPr>
          <w:rFonts w:ascii="Arial Hebrew" w:hAnsi="Arial Hebrew" w:cs="Arial Hebrew" w:hint="cs"/>
          <w:sz w:val="18"/>
          <w:szCs w:val="18"/>
        </w:rPr>
        <w:t xml:space="preserve"> </w:t>
      </w:r>
      <w:r w:rsidR="001C2F06" w:rsidRPr="007C5D03">
        <w:rPr>
          <w:rFonts w:ascii="Arial Hebrew" w:hAnsi="Arial Hebrew" w:cs="Arial Hebrew" w:hint="cs"/>
          <w:sz w:val="18"/>
          <w:szCs w:val="18"/>
        </w:rPr>
        <w:t xml:space="preserve">here </w:t>
      </w:r>
      <w:r w:rsidR="005B62C2" w:rsidRPr="007C5D03">
        <w:rPr>
          <w:rFonts w:ascii="Arial Hebrew" w:hAnsi="Arial Hebrew" w:cs="Arial Hebrew" w:hint="cs"/>
          <w:sz w:val="18"/>
          <w:szCs w:val="18"/>
        </w:rPr>
        <w:t xml:space="preserve">are the most-recently published (for 2025 assessments). </w:t>
      </w:r>
    </w:p>
  </w:footnote>
  <w:footnote w:id="10">
    <w:p w14:paraId="46E60017" w14:textId="709B98A1" w:rsidR="00861798" w:rsidRPr="007C5D03" w:rsidRDefault="00861798" w:rsidP="00DC639F">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3C1C9F" w:rsidRPr="007C5D03">
        <w:rPr>
          <w:rFonts w:ascii="Arial Hebrew" w:hAnsi="Arial Hebrew" w:cs="Arial Hebrew" w:hint="cs"/>
          <w:sz w:val="18"/>
          <w:szCs w:val="18"/>
        </w:rPr>
        <w:t>The</w:t>
      </w:r>
      <w:r w:rsidR="00A37450" w:rsidRPr="007C5D03">
        <w:rPr>
          <w:rFonts w:ascii="Arial Hebrew" w:hAnsi="Arial Hebrew" w:cs="Arial Hebrew" w:hint="cs"/>
          <w:sz w:val="18"/>
          <w:szCs w:val="18"/>
        </w:rPr>
        <w:t xml:space="preserve"> </w:t>
      </w:r>
      <w:r w:rsidR="00A37450" w:rsidRPr="007C5D03">
        <w:rPr>
          <w:rFonts w:ascii="Arial Hebrew" w:hAnsi="Arial Hebrew" w:cs="Arial Hebrew" w:hint="cs"/>
          <w:i/>
          <w:iCs/>
          <w:sz w:val="18"/>
          <w:szCs w:val="18"/>
        </w:rPr>
        <w:t>Composite Governance Indicator</w:t>
      </w:r>
      <w:r w:rsidR="00A37450" w:rsidRPr="007C5D03">
        <w:rPr>
          <w:rFonts w:ascii="Arial Hebrew" w:hAnsi="Arial Hebrew" w:cs="Arial Hebrew" w:hint="cs"/>
          <w:sz w:val="18"/>
          <w:szCs w:val="18"/>
        </w:rPr>
        <w:t xml:space="preserve"> is </w:t>
      </w:r>
      <w:r w:rsidR="0028676A">
        <w:rPr>
          <w:rFonts w:ascii="Cambria" w:hAnsi="Cambria" w:cs="Arial Hebrew"/>
          <w:sz w:val="18"/>
          <w:szCs w:val="18"/>
        </w:rPr>
        <w:t>an average of</w:t>
      </w:r>
      <w:r w:rsidR="00A37450" w:rsidRPr="007C5D03">
        <w:rPr>
          <w:rFonts w:ascii="Arial Hebrew" w:hAnsi="Arial Hebrew" w:cs="Arial Hebrew" w:hint="cs"/>
          <w:sz w:val="18"/>
          <w:szCs w:val="18"/>
        </w:rPr>
        <w:t xml:space="preserve"> World Bank WGI</w:t>
      </w:r>
      <w:r w:rsidR="0028676A">
        <w:rPr>
          <w:rFonts w:ascii="Cambria" w:hAnsi="Cambria" w:cs="Arial Hebrew"/>
          <w:sz w:val="18"/>
          <w:szCs w:val="18"/>
        </w:rPr>
        <w:t>s</w:t>
      </w:r>
      <w:r w:rsidR="00A37450" w:rsidRPr="007C5D03">
        <w:rPr>
          <w:rFonts w:ascii="Arial Hebrew" w:hAnsi="Arial Hebrew" w:cs="Arial Hebrew" w:hint="cs"/>
          <w:sz w:val="18"/>
          <w:szCs w:val="18"/>
        </w:rPr>
        <w:t>.</w:t>
      </w:r>
      <w:r w:rsidR="003C1C9F" w:rsidRPr="007C5D03">
        <w:rPr>
          <w:rFonts w:ascii="Arial Hebrew" w:hAnsi="Arial Hebrew" w:cs="Arial Hebrew" w:hint="cs"/>
          <w:sz w:val="18"/>
          <w:szCs w:val="18"/>
        </w:rPr>
        <w:t xml:space="preserve"> </w:t>
      </w:r>
    </w:p>
  </w:footnote>
  <w:footnote w:id="11">
    <w:p w14:paraId="72DF002A" w14:textId="736667F0" w:rsidR="00DD75F8" w:rsidRPr="007C5D03" w:rsidRDefault="00DD75F8"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The Institutional Assessment is 50% of S&amp;P’s </w:t>
      </w:r>
      <w:r w:rsidRPr="007C5D03">
        <w:rPr>
          <w:rFonts w:ascii="Arial Hebrew" w:hAnsi="Arial Hebrew" w:cs="Arial Hebrew" w:hint="cs"/>
          <w:b/>
          <w:bCs/>
          <w:sz w:val="18"/>
          <w:szCs w:val="18"/>
        </w:rPr>
        <w:t>Institutional and Economic Profile</w:t>
      </w:r>
      <w:r w:rsidR="001003A1" w:rsidRPr="007C5D03">
        <w:rPr>
          <w:rFonts w:ascii="Arial Hebrew" w:hAnsi="Arial Hebrew" w:cs="Arial Hebrew" w:hint="cs"/>
          <w:sz w:val="18"/>
          <w:szCs w:val="18"/>
        </w:rPr>
        <w:t xml:space="preserve">. This yields the preliminary rating together with the </w:t>
      </w:r>
      <w:r w:rsidR="001003A1" w:rsidRPr="007C5D03">
        <w:rPr>
          <w:rFonts w:ascii="Arial Hebrew" w:hAnsi="Arial Hebrew" w:cs="Arial Hebrew" w:hint="cs"/>
          <w:b/>
          <w:bCs/>
          <w:sz w:val="18"/>
          <w:szCs w:val="18"/>
        </w:rPr>
        <w:t>Flexibility and Performance Profile</w:t>
      </w:r>
      <w:r w:rsidR="001003A1" w:rsidRPr="007C5D03">
        <w:rPr>
          <w:rFonts w:ascii="Arial Hebrew" w:hAnsi="Arial Hebrew" w:cs="Arial Hebrew" w:hint="cs"/>
          <w:sz w:val="18"/>
          <w:szCs w:val="18"/>
        </w:rPr>
        <w:t>, but because the two profiles are combined using a risk-matrix, weightings of individual component assessments will be variable.</w:t>
      </w:r>
      <w:r w:rsidR="0034460D" w:rsidRPr="007C5D03">
        <w:rPr>
          <w:rFonts w:ascii="Arial Hebrew" w:hAnsi="Arial Hebrew" w:cs="Arial Hebrew" w:hint="cs"/>
          <w:sz w:val="18"/>
          <w:szCs w:val="18"/>
        </w:rPr>
        <w:t xml:space="preserve"> </w:t>
      </w:r>
    </w:p>
  </w:footnote>
  <w:footnote w:id="12">
    <w:p w14:paraId="6BF9F9A2" w14:textId="0BDD6D63" w:rsidR="007F7EA2" w:rsidRPr="007C5D03" w:rsidRDefault="007F7EA2"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AD0F82" w:rsidRPr="007C5D03">
        <w:rPr>
          <w:rFonts w:ascii="Arial Hebrew" w:hAnsi="Arial Hebrew" w:cs="Arial Hebrew" w:hint="cs"/>
          <w:sz w:val="18"/>
          <w:szCs w:val="18"/>
        </w:rPr>
        <w:t>Qualitative i</w:t>
      </w:r>
      <w:r w:rsidRPr="007C5D03">
        <w:rPr>
          <w:rFonts w:ascii="Arial Hebrew" w:hAnsi="Arial Hebrew" w:cs="Arial Hebrew" w:hint="cs"/>
          <w:sz w:val="18"/>
          <w:szCs w:val="18"/>
        </w:rPr>
        <w:t>nstitutional</w:t>
      </w:r>
      <w:r w:rsidR="00AD0F82" w:rsidRPr="007C5D03">
        <w:rPr>
          <w:rFonts w:ascii="Arial Hebrew" w:hAnsi="Arial Hebrew" w:cs="Arial Hebrew" w:hint="cs"/>
          <w:sz w:val="18"/>
          <w:szCs w:val="18"/>
        </w:rPr>
        <w:t xml:space="preserve"> and governance</w:t>
      </w:r>
      <w:r w:rsidRPr="007C5D03">
        <w:rPr>
          <w:rFonts w:ascii="Arial Hebrew" w:hAnsi="Arial Hebrew" w:cs="Arial Hebrew" w:hint="cs"/>
          <w:sz w:val="18"/>
          <w:szCs w:val="18"/>
        </w:rPr>
        <w:t xml:space="preserve"> factors also influence international sub-sovereign assessments through the significant influence of the corresponding sovereign rating.</w:t>
      </w:r>
      <w:r w:rsidR="00346C44" w:rsidRPr="007C5D03">
        <w:rPr>
          <w:rFonts w:ascii="Arial Hebrew" w:hAnsi="Arial Hebrew" w:cs="Arial Hebrew" w:hint="cs"/>
          <w:sz w:val="18"/>
          <w:szCs w:val="18"/>
        </w:rPr>
        <w:t xml:space="preserve"> The direct incorporation of institutional factors into sub-sovereign assessment framework is generally focused on the transparency and accountability of RLG financial management practices.</w:t>
      </w:r>
    </w:p>
  </w:footnote>
  <w:footnote w:id="13">
    <w:p w14:paraId="5EE245A2" w14:textId="60B55389" w:rsidR="00362B60" w:rsidRPr="007C5D03" w:rsidRDefault="00362B60"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The WGI are explicitly incorporated in the sovereign assessment frameworks of Moody’s and Fitch, and implicitly incorporated in the</w:t>
      </w:r>
      <w:r w:rsidR="000B73F8" w:rsidRPr="007C5D03">
        <w:rPr>
          <w:rFonts w:ascii="Arial Hebrew" w:hAnsi="Arial Hebrew" w:cs="Arial Hebrew" w:hint="cs"/>
          <w:sz w:val="18"/>
          <w:szCs w:val="18"/>
          <w:lang w:val="en-US"/>
        </w:rPr>
        <w:t xml:space="preserve"> less transparent</w:t>
      </w:r>
      <w:r w:rsidRPr="007C5D03">
        <w:rPr>
          <w:rFonts w:ascii="Arial Hebrew" w:hAnsi="Arial Hebrew" w:cs="Arial Hebrew" w:hint="cs"/>
          <w:sz w:val="18"/>
          <w:szCs w:val="18"/>
          <w:lang w:val="en-US"/>
        </w:rPr>
        <w:t xml:space="preserve"> sovereign assessment framework of Standard &amp; Poor’s.</w:t>
      </w:r>
    </w:p>
  </w:footnote>
  <w:footnote w:id="14">
    <w:p w14:paraId="7C37B9D1" w14:textId="11A8DBD5" w:rsidR="000906E4" w:rsidRPr="007C5D03" w:rsidRDefault="000906E4"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sz w:val="18"/>
          <w:szCs w:val="18"/>
          <w:lang w:val="en-US"/>
        </w:rPr>
        <w:t>The WGI are updated annually with a one-year lag</w:t>
      </w:r>
      <w:r w:rsidR="00CF71EA" w:rsidRPr="007C5D03">
        <w:rPr>
          <w:rFonts w:ascii="Arial Hebrew" w:hAnsi="Arial Hebrew" w:cs="Arial Hebrew" w:hint="cs"/>
          <w:sz w:val="18"/>
          <w:szCs w:val="18"/>
          <w:lang w:val="en-US"/>
        </w:rPr>
        <w:t>. The latest available WGIs are for</w:t>
      </w:r>
      <w:r w:rsidRPr="007C5D03">
        <w:rPr>
          <w:rFonts w:ascii="Arial Hebrew" w:hAnsi="Arial Hebrew" w:cs="Arial Hebrew" w:hint="cs"/>
          <w:sz w:val="18"/>
          <w:szCs w:val="18"/>
          <w:lang w:val="en-US"/>
        </w:rPr>
        <w:t xml:space="preserve"> 2023 </w:t>
      </w:r>
      <w:r w:rsidR="00CF71EA" w:rsidRPr="007C5D03">
        <w:rPr>
          <w:rFonts w:ascii="Arial Hebrew" w:hAnsi="Arial Hebrew" w:cs="Arial Hebrew" w:hint="cs"/>
          <w:sz w:val="18"/>
          <w:szCs w:val="18"/>
          <w:lang w:val="en-US"/>
        </w:rPr>
        <w:t xml:space="preserve">and were </w:t>
      </w:r>
      <w:r w:rsidRPr="007C5D03">
        <w:rPr>
          <w:rFonts w:ascii="Arial Hebrew" w:hAnsi="Arial Hebrew" w:cs="Arial Hebrew" w:hint="cs"/>
          <w:sz w:val="18"/>
          <w:szCs w:val="18"/>
          <w:lang w:val="en-US"/>
        </w:rPr>
        <w:t>published in November 2024.</w:t>
      </w:r>
    </w:p>
  </w:footnote>
  <w:footnote w:id="15">
    <w:p w14:paraId="7915EFBD" w14:textId="5F7304B7" w:rsidR="00465D36" w:rsidRPr="007C5D03" w:rsidRDefault="00465D36" w:rsidP="00D008E6">
      <w:pPr>
        <w:pStyle w:val="FootnoteText"/>
        <w:ind w:firstLine="720"/>
        <w:jc w:val="both"/>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Sources include the </w:t>
      </w:r>
      <w:r w:rsidRPr="007C5D03">
        <w:rPr>
          <w:rFonts w:ascii="Arial Hebrew" w:hAnsi="Arial Hebrew" w:cs="Arial Hebrew" w:hint="cs"/>
          <w:i/>
          <w:iCs/>
          <w:sz w:val="18"/>
          <w:szCs w:val="18"/>
        </w:rPr>
        <w:t>Gallup World Poll</w:t>
      </w:r>
      <w:r w:rsidRPr="007C5D03">
        <w:rPr>
          <w:rFonts w:ascii="Arial Hebrew" w:hAnsi="Arial Hebrew" w:cs="Arial Hebrew" w:hint="cs"/>
          <w:sz w:val="18"/>
          <w:szCs w:val="18"/>
        </w:rPr>
        <w:t xml:space="preserve">, the </w:t>
      </w:r>
      <w:r w:rsidRPr="007C5D03">
        <w:rPr>
          <w:rFonts w:ascii="Arial Hebrew" w:hAnsi="Arial Hebrew" w:cs="Arial Hebrew" w:hint="cs"/>
          <w:i/>
          <w:iCs/>
          <w:sz w:val="18"/>
          <w:szCs w:val="18"/>
        </w:rPr>
        <w:t>World Economic Forum’s Executive Opinion Survey</w:t>
      </w:r>
      <w:r w:rsidRPr="007C5D03">
        <w:rPr>
          <w:rFonts w:ascii="Arial Hebrew" w:hAnsi="Arial Hebrew" w:cs="Arial Hebrew" w:hint="cs"/>
          <w:sz w:val="18"/>
          <w:szCs w:val="18"/>
        </w:rPr>
        <w:t xml:space="preserve">, the </w:t>
      </w:r>
      <w:r w:rsidRPr="007C5D03">
        <w:rPr>
          <w:rFonts w:ascii="Arial Hebrew" w:hAnsi="Arial Hebrew" w:cs="Arial Hebrew" w:hint="cs"/>
          <w:i/>
          <w:iCs/>
          <w:sz w:val="18"/>
          <w:szCs w:val="18"/>
        </w:rPr>
        <w:t>IMD World Competitiveness Yearbook</w:t>
      </w:r>
      <w:r w:rsidR="000E5EBA" w:rsidRPr="007C5D03">
        <w:rPr>
          <w:rFonts w:ascii="Arial Hebrew" w:hAnsi="Arial Hebrew" w:cs="Arial Hebrew" w:hint="cs"/>
          <w:i/>
          <w:iCs/>
          <w:sz w:val="18"/>
          <w:szCs w:val="18"/>
        </w:rPr>
        <w:t xml:space="preserve"> (WCY)</w:t>
      </w:r>
      <w:r w:rsidRPr="007C5D03">
        <w:rPr>
          <w:rFonts w:ascii="Arial Hebrew" w:hAnsi="Arial Hebrew" w:cs="Arial Hebrew" w:hint="cs"/>
          <w:sz w:val="18"/>
          <w:szCs w:val="18"/>
        </w:rPr>
        <w:t xml:space="preserve"> survey, </w:t>
      </w:r>
      <w:r w:rsidR="00FB5972" w:rsidRPr="007C5D03">
        <w:rPr>
          <w:rFonts w:ascii="Arial Hebrew" w:hAnsi="Arial Hebrew" w:cs="Arial Hebrew" w:hint="cs"/>
          <w:sz w:val="18"/>
          <w:szCs w:val="18"/>
        </w:rPr>
        <w:t>the</w:t>
      </w:r>
      <w:r w:rsidR="006F799D" w:rsidRPr="007C5D03">
        <w:rPr>
          <w:rFonts w:ascii="Arial Hebrew" w:hAnsi="Arial Hebrew" w:cs="Arial Hebrew" w:hint="cs"/>
          <w:sz w:val="18"/>
          <w:szCs w:val="18"/>
        </w:rPr>
        <w:t xml:space="preserve"> </w:t>
      </w:r>
      <w:r w:rsidR="006F799D" w:rsidRPr="007C5D03">
        <w:rPr>
          <w:rFonts w:ascii="Arial Hebrew" w:hAnsi="Arial Hebrew" w:cs="Arial Hebrew" w:hint="cs"/>
          <w:i/>
          <w:iCs/>
          <w:sz w:val="18"/>
          <w:szCs w:val="18"/>
        </w:rPr>
        <w:t>PRS International Country Risk Guide (ICRG)</w:t>
      </w:r>
      <w:r w:rsidR="006F799D" w:rsidRPr="007C5D03">
        <w:rPr>
          <w:rFonts w:ascii="Arial Hebrew" w:hAnsi="Arial Hebrew" w:cs="Arial Hebrew" w:hint="cs"/>
          <w:sz w:val="18"/>
          <w:szCs w:val="18"/>
        </w:rPr>
        <w:t>, the</w:t>
      </w:r>
      <w:r w:rsidR="00FB5972" w:rsidRPr="007C5D03">
        <w:rPr>
          <w:rFonts w:ascii="Arial Hebrew" w:hAnsi="Arial Hebrew" w:cs="Arial Hebrew" w:hint="cs"/>
          <w:sz w:val="18"/>
          <w:szCs w:val="18"/>
        </w:rPr>
        <w:t xml:space="preserve"> </w:t>
      </w:r>
      <w:r w:rsidR="00FB5972" w:rsidRPr="007C5D03">
        <w:rPr>
          <w:rFonts w:ascii="Arial Hebrew" w:hAnsi="Arial Hebrew" w:cs="Arial Hebrew" w:hint="cs"/>
          <w:i/>
          <w:iCs/>
          <w:sz w:val="18"/>
          <w:szCs w:val="18"/>
        </w:rPr>
        <w:t>World Justice Project (WJP) Rule of Law Index</w:t>
      </w:r>
      <w:r w:rsidR="00FB5972" w:rsidRPr="007C5D03">
        <w:rPr>
          <w:rFonts w:ascii="Arial Hebrew" w:hAnsi="Arial Hebrew" w:cs="Arial Hebrew" w:hint="cs"/>
          <w:sz w:val="18"/>
          <w:szCs w:val="18"/>
        </w:rPr>
        <w:t xml:space="preserve">, </w:t>
      </w:r>
      <w:r w:rsidR="000E5EBA" w:rsidRPr="007C5D03">
        <w:rPr>
          <w:rFonts w:ascii="Arial Hebrew" w:hAnsi="Arial Hebrew" w:cs="Arial Hebrew" w:hint="cs"/>
          <w:sz w:val="18"/>
          <w:szCs w:val="18"/>
        </w:rPr>
        <w:t xml:space="preserve">the </w:t>
      </w:r>
      <w:r w:rsidR="000E5EBA" w:rsidRPr="007C5D03">
        <w:rPr>
          <w:rFonts w:ascii="Arial Hebrew" w:hAnsi="Arial Hebrew" w:cs="Arial Hebrew" w:hint="cs"/>
          <w:i/>
          <w:iCs/>
          <w:sz w:val="18"/>
          <w:szCs w:val="18"/>
        </w:rPr>
        <w:t>Institutional Profiles Database</w:t>
      </w:r>
      <w:r w:rsidR="000E5EBA" w:rsidRPr="007C5D03">
        <w:rPr>
          <w:rFonts w:ascii="Arial Hebrew" w:hAnsi="Arial Hebrew" w:cs="Arial Hebrew" w:hint="cs"/>
          <w:sz w:val="18"/>
          <w:szCs w:val="18"/>
        </w:rPr>
        <w:t xml:space="preserve">, </w:t>
      </w:r>
      <w:r w:rsidRPr="007C5D03">
        <w:rPr>
          <w:rFonts w:ascii="Arial Hebrew" w:hAnsi="Arial Hebrew" w:cs="Arial Hebrew" w:hint="cs"/>
          <w:sz w:val="18"/>
          <w:szCs w:val="18"/>
        </w:rPr>
        <w:t xml:space="preserve">and the </w:t>
      </w:r>
      <w:r w:rsidRPr="007C5D03">
        <w:rPr>
          <w:rFonts w:ascii="Arial Hebrew" w:hAnsi="Arial Hebrew" w:cs="Arial Hebrew" w:hint="cs"/>
          <w:i/>
          <w:iCs/>
          <w:sz w:val="18"/>
          <w:szCs w:val="18"/>
        </w:rPr>
        <w:t>World Bank’s Enterprise Surveys</w:t>
      </w:r>
      <w:r w:rsidRPr="007C5D03">
        <w:rPr>
          <w:rFonts w:ascii="Arial Hebrew" w:hAnsi="Arial Hebrew" w:cs="Arial Hebrew" w:hint="cs"/>
          <w:sz w:val="18"/>
          <w:szCs w:val="18"/>
        </w:rPr>
        <w:t xml:space="preserve"> and </w:t>
      </w:r>
      <w:r w:rsidRPr="007C5D03">
        <w:rPr>
          <w:rFonts w:ascii="Arial Hebrew" w:hAnsi="Arial Hebrew" w:cs="Arial Hebrew" w:hint="cs"/>
          <w:i/>
          <w:iCs/>
          <w:sz w:val="18"/>
          <w:szCs w:val="18"/>
        </w:rPr>
        <w:t>Country Policy and Institutional Assessment</w:t>
      </w:r>
      <w:r w:rsidR="006F799D" w:rsidRPr="007C5D03">
        <w:rPr>
          <w:rFonts w:ascii="Arial Hebrew" w:hAnsi="Arial Hebrew" w:cs="Arial Hebrew" w:hint="cs"/>
          <w:i/>
          <w:iCs/>
          <w:sz w:val="18"/>
          <w:szCs w:val="18"/>
        </w:rPr>
        <w:t>s</w:t>
      </w:r>
      <w:r w:rsidRPr="007C5D03">
        <w:rPr>
          <w:rFonts w:ascii="Arial Hebrew" w:hAnsi="Arial Hebrew" w:cs="Arial Hebrew" w:hint="cs"/>
          <w:i/>
          <w:iCs/>
          <w:sz w:val="18"/>
          <w:szCs w:val="18"/>
        </w:rPr>
        <w:t xml:space="preserve"> (CPIA)</w:t>
      </w:r>
      <w:r w:rsidR="008D24AD" w:rsidRPr="007C5D03">
        <w:rPr>
          <w:rFonts w:ascii="Arial Hebrew" w:hAnsi="Arial Hebrew" w:cs="Arial Hebrew" w:hint="cs"/>
          <w:sz w:val="18"/>
          <w:szCs w:val="18"/>
        </w:rPr>
        <w:t>, and other surveys including Eurobarometer and Afrobarometer.</w:t>
      </w:r>
      <w:r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The WGI authors select source organisations but do not conduct surveys or ratings themselves</w:t>
      </w:r>
      <w:r w:rsidR="000E5EBA"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 xml:space="preserve">nor </w:t>
      </w:r>
      <w:r w:rsidR="000E5EBA" w:rsidRPr="007C5D03">
        <w:rPr>
          <w:rFonts w:ascii="Arial Hebrew" w:hAnsi="Arial Hebrew" w:cs="Arial Hebrew" w:hint="cs"/>
          <w:sz w:val="18"/>
          <w:szCs w:val="18"/>
        </w:rPr>
        <w:t xml:space="preserve">do they </w:t>
      </w:r>
      <w:r w:rsidR="00F75426" w:rsidRPr="007C5D03">
        <w:rPr>
          <w:rFonts w:ascii="Arial Hebrew" w:hAnsi="Arial Hebrew" w:cs="Arial Hebrew" w:hint="cs"/>
          <w:sz w:val="18"/>
          <w:szCs w:val="18"/>
        </w:rPr>
        <w:t>influence</w:t>
      </w:r>
      <w:r w:rsidR="000B73F8"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th</w:t>
      </w:r>
      <w:r w:rsidR="000B73F8" w:rsidRPr="007C5D03">
        <w:rPr>
          <w:rFonts w:ascii="Arial Hebrew" w:hAnsi="Arial Hebrew" w:cs="Arial Hebrew" w:hint="cs"/>
          <w:sz w:val="18"/>
          <w:szCs w:val="18"/>
        </w:rPr>
        <w:t>e</w:t>
      </w:r>
      <w:r w:rsidR="00F75426" w:rsidRPr="007C5D03">
        <w:rPr>
          <w:rFonts w:ascii="Arial Hebrew" w:hAnsi="Arial Hebrew" w:cs="Arial Hebrew" w:hint="cs"/>
          <w:sz w:val="18"/>
          <w:szCs w:val="18"/>
        </w:rPr>
        <w:t>se organi</w:t>
      </w:r>
      <w:r w:rsidR="000B73F8" w:rsidRPr="007C5D03">
        <w:rPr>
          <w:rFonts w:ascii="Arial Hebrew" w:hAnsi="Arial Hebrew" w:cs="Arial Hebrew" w:hint="cs"/>
          <w:sz w:val="18"/>
          <w:szCs w:val="18"/>
        </w:rPr>
        <w:t>s</w:t>
      </w:r>
      <w:r w:rsidR="00F75426" w:rsidRPr="007C5D03">
        <w:rPr>
          <w:rFonts w:ascii="Arial Hebrew" w:hAnsi="Arial Hebrew" w:cs="Arial Hebrew" w:hint="cs"/>
          <w:sz w:val="18"/>
          <w:szCs w:val="18"/>
        </w:rPr>
        <w:t>ations</w:t>
      </w:r>
      <w:r w:rsidR="000B73F8" w:rsidRPr="007C5D03">
        <w:rPr>
          <w:rFonts w:ascii="Arial Hebrew" w:hAnsi="Arial Hebrew" w:cs="Arial Hebrew" w:hint="cs"/>
          <w:sz w:val="18"/>
          <w:szCs w:val="18"/>
        </w:rPr>
        <w:t>’</w:t>
      </w:r>
      <w:r w:rsidR="00F75426" w:rsidRPr="007C5D03">
        <w:rPr>
          <w:rFonts w:ascii="Arial Hebrew" w:hAnsi="Arial Hebrew" w:cs="Arial Hebrew" w:hint="cs"/>
          <w:sz w:val="18"/>
          <w:szCs w:val="18"/>
        </w:rPr>
        <w:t xml:space="preserve"> </w:t>
      </w:r>
      <w:r w:rsidR="000B73F8" w:rsidRPr="007C5D03">
        <w:rPr>
          <w:rFonts w:ascii="Arial Hebrew" w:hAnsi="Arial Hebrew" w:cs="Arial Hebrew" w:hint="cs"/>
          <w:sz w:val="18"/>
          <w:szCs w:val="18"/>
        </w:rPr>
        <w:t xml:space="preserve">methods for </w:t>
      </w:r>
      <w:r w:rsidR="00F75426" w:rsidRPr="007C5D03">
        <w:rPr>
          <w:rFonts w:ascii="Arial Hebrew" w:hAnsi="Arial Hebrew" w:cs="Arial Hebrew" w:hint="cs"/>
          <w:sz w:val="18"/>
          <w:szCs w:val="18"/>
        </w:rPr>
        <w:t>governance</w:t>
      </w:r>
      <w:r w:rsidR="000B73F8" w:rsidRPr="007C5D03">
        <w:rPr>
          <w:rFonts w:ascii="Arial Hebrew" w:hAnsi="Arial Hebrew" w:cs="Arial Hebrew" w:hint="cs"/>
          <w:sz w:val="18"/>
          <w:szCs w:val="18"/>
        </w:rPr>
        <w:t>-measurement</w:t>
      </w:r>
      <w:r w:rsidR="00F75426" w:rsidRPr="007C5D03">
        <w:rPr>
          <w:rFonts w:ascii="Arial Hebrew" w:hAnsi="Arial Hebrew" w:cs="Arial Hebrew" w:hint="cs"/>
          <w:sz w:val="18"/>
          <w:szCs w:val="18"/>
        </w:rPr>
        <w:t xml:space="preserve">. </w:t>
      </w:r>
      <w:r w:rsidRPr="007C5D03">
        <w:rPr>
          <w:rFonts w:ascii="Arial Hebrew" w:hAnsi="Arial Hebrew" w:cs="Arial Hebrew" w:hint="cs"/>
          <w:sz w:val="18"/>
          <w:szCs w:val="18"/>
        </w:rPr>
        <w:t xml:space="preserve">Expert assessments are provided by analysts </w:t>
      </w:r>
      <w:r w:rsidR="006E5737" w:rsidRPr="007C5D03">
        <w:rPr>
          <w:rFonts w:ascii="Arial Hebrew" w:hAnsi="Arial Hebrew" w:cs="Arial Hebrew" w:hint="cs"/>
          <w:sz w:val="18"/>
          <w:szCs w:val="18"/>
        </w:rPr>
        <w:t xml:space="preserve">(using standardised rubrics) </w:t>
      </w:r>
      <w:r w:rsidRPr="007C5D03">
        <w:rPr>
          <w:rFonts w:ascii="Arial Hebrew" w:hAnsi="Arial Hebrew" w:cs="Arial Hebrew" w:hint="cs"/>
          <w:sz w:val="18"/>
          <w:szCs w:val="18"/>
        </w:rPr>
        <w:t xml:space="preserve">working for organisations </w:t>
      </w:r>
      <w:r w:rsidR="000B73F8" w:rsidRPr="007C5D03">
        <w:rPr>
          <w:rFonts w:ascii="Arial Hebrew" w:hAnsi="Arial Hebrew" w:cs="Arial Hebrew" w:hint="cs"/>
          <w:sz w:val="18"/>
          <w:szCs w:val="18"/>
        </w:rPr>
        <w:t xml:space="preserve">that </w:t>
      </w:r>
      <w:r w:rsidRPr="007C5D03">
        <w:rPr>
          <w:rFonts w:ascii="Arial Hebrew" w:hAnsi="Arial Hebrew" w:cs="Arial Hebrew" w:hint="cs"/>
          <w:sz w:val="18"/>
          <w:szCs w:val="18"/>
        </w:rPr>
        <w:t>includ</w:t>
      </w:r>
      <w:r w:rsidR="000B73F8" w:rsidRPr="007C5D03">
        <w:rPr>
          <w:rFonts w:ascii="Arial Hebrew" w:hAnsi="Arial Hebrew" w:cs="Arial Hebrew" w:hint="cs"/>
          <w:sz w:val="18"/>
          <w:szCs w:val="18"/>
        </w:rPr>
        <w:t>e</w:t>
      </w:r>
      <w:r w:rsidRPr="007C5D03">
        <w:rPr>
          <w:rFonts w:ascii="Arial Hebrew" w:hAnsi="Arial Hebrew" w:cs="Arial Hebrew" w:hint="cs"/>
          <w:sz w:val="18"/>
          <w:szCs w:val="18"/>
        </w:rPr>
        <w:t xml:space="preserve"> Freedom House, Reporters Without Borders, the Bertelsmann Transformation Index</w:t>
      </w:r>
      <w:r w:rsidR="006F799D" w:rsidRPr="007C5D03">
        <w:rPr>
          <w:rFonts w:ascii="Arial Hebrew" w:hAnsi="Arial Hebrew" w:cs="Arial Hebrew" w:hint="cs"/>
          <w:sz w:val="18"/>
          <w:szCs w:val="18"/>
        </w:rPr>
        <w:t xml:space="preserve"> (BTI)</w:t>
      </w:r>
      <w:r w:rsidRPr="007C5D03">
        <w:rPr>
          <w:rFonts w:ascii="Arial Hebrew" w:hAnsi="Arial Hebrew" w:cs="Arial Hebrew" w:hint="cs"/>
          <w:sz w:val="18"/>
          <w:szCs w:val="18"/>
        </w:rPr>
        <w:t xml:space="preserve">, </w:t>
      </w:r>
      <w:r w:rsidR="00697455" w:rsidRPr="007C5D03">
        <w:rPr>
          <w:rFonts w:ascii="Arial Hebrew" w:hAnsi="Arial Hebrew" w:cs="Arial Hebrew" w:hint="cs"/>
          <w:sz w:val="18"/>
          <w:szCs w:val="18"/>
        </w:rPr>
        <w:t xml:space="preserve">the Economist Intelligence Unit (EIU), </w:t>
      </w:r>
      <w:r w:rsidRPr="007C5D03">
        <w:rPr>
          <w:rFonts w:ascii="Arial Hebrew" w:hAnsi="Arial Hebrew" w:cs="Arial Hebrew" w:hint="cs"/>
          <w:sz w:val="18"/>
          <w:szCs w:val="18"/>
        </w:rPr>
        <w:t xml:space="preserve">the Varieties of Democracy </w:t>
      </w:r>
      <w:r w:rsidR="006F799D" w:rsidRPr="007C5D03">
        <w:rPr>
          <w:rFonts w:ascii="Arial Hebrew" w:hAnsi="Arial Hebrew" w:cs="Arial Hebrew" w:hint="cs"/>
          <w:sz w:val="18"/>
          <w:szCs w:val="18"/>
        </w:rPr>
        <w:t xml:space="preserve">(V-Dem) </w:t>
      </w:r>
      <w:r w:rsidRPr="007C5D03">
        <w:rPr>
          <w:rFonts w:ascii="Arial Hebrew" w:hAnsi="Arial Hebrew" w:cs="Arial Hebrew" w:hint="cs"/>
          <w:sz w:val="18"/>
          <w:szCs w:val="18"/>
        </w:rPr>
        <w:t xml:space="preserve">Project, the Political Risk Services </w:t>
      </w:r>
      <w:r w:rsidR="000B73F8" w:rsidRPr="007C5D03">
        <w:rPr>
          <w:rFonts w:ascii="Arial Hebrew" w:hAnsi="Arial Hebrew" w:cs="Arial Hebrew" w:hint="cs"/>
          <w:sz w:val="18"/>
          <w:szCs w:val="18"/>
        </w:rPr>
        <w:t xml:space="preserve">(PRS) </w:t>
      </w:r>
      <w:r w:rsidRPr="007C5D03">
        <w:rPr>
          <w:rFonts w:ascii="Arial Hebrew" w:hAnsi="Arial Hebrew" w:cs="Arial Hebrew" w:hint="cs"/>
          <w:sz w:val="18"/>
          <w:szCs w:val="18"/>
        </w:rPr>
        <w:t xml:space="preserve">International Country Risk Guide, and </w:t>
      </w:r>
      <w:r w:rsidR="000B73F8" w:rsidRPr="007C5D03">
        <w:rPr>
          <w:rFonts w:ascii="Arial Hebrew" w:hAnsi="Arial Hebrew" w:cs="Arial Hebrew" w:hint="cs"/>
          <w:sz w:val="18"/>
          <w:szCs w:val="18"/>
        </w:rPr>
        <w:t>the Asian and African D</w:t>
      </w:r>
      <w:r w:rsidRPr="007C5D03">
        <w:rPr>
          <w:rFonts w:ascii="Arial Hebrew" w:hAnsi="Arial Hebrew" w:cs="Arial Hebrew" w:hint="cs"/>
          <w:sz w:val="18"/>
          <w:szCs w:val="18"/>
        </w:rPr>
        <w:t xml:space="preserve">evelopment </w:t>
      </w:r>
      <w:r w:rsidR="000B73F8" w:rsidRPr="007C5D03">
        <w:rPr>
          <w:rFonts w:ascii="Arial Hebrew" w:hAnsi="Arial Hebrew" w:cs="Arial Hebrew" w:hint="cs"/>
          <w:sz w:val="18"/>
          <w:szCs w:val="18"/>
        </w:rPr>
        <w:t>B</w:t>
      </w:r>
      <w:r w:rsidRPr="007C5D03">
        <w:rPr>
          <w:rFonts w:ascii="Arial Hebrew" w:hAnsi="Arial Hebrew" w:cs="Arial Hebrew" w:hint="cs"/>
          <w:sz w:val="18"/>
          <w:szCs w:val="18"/>
        </w:rPr>
        <w:t>anks.</w:t>
      </w:r>
      <w:r w:rsidR="006E5737" w:rsidRPr="007C5D03">
        <w:rPr>
          <w:rFonts w:ascii="Arial Hebrew" w:hAnsi="Arial Hebrew" w:cs="Arial Hebrew" w:hint="cs"/>
          <w:sz w:val="18"/>
          <w:szCs w:val="18"/>
        </w:rPr>
        <w:t xml:space="preserve"> </w:t>
      </w:r>
      <w:r w:rsidR="00F75426" w:rsidRPr="007C5D03">
        <w:rPr>
          <w:rFonts w:ascii="Arial Hebrew" w:hAnsi="Arial Hebrew" w:cs="Arial Hebrew" w:hint="cs"/>
          <w:sz w:val="18"/>
          <w:szCs w:val="18"/>
        </w:rPr>
        <w:t xml:space="preserve">Source indicators are combined and scaled using an </w:t>
      </w:r>
      <w:r w:rsidR="006F799D" w:rsidRPr="007C5D03">
        <w:rPr>
          <w:rFonts w:ascii="Arial Hebrew" w:hAnsi="Arial Hebrew" w:cs="Arial Hebrew" w:hint="cs"/>
          <w:sz w:val="18"/>
          <w:szCs w:val="18"/>
        </w:rPr>
        <w:t>U</w:t>
      </w:r>
      <w:r w:rsidR="00F75426" w:rsidRPr="007C5D03">
        <w:rPr>
          <w:rFonts w:ascii="Arial Hebrew" w:hAnsi="Arial Hebrew" w:cs="Arial Hebrew" w:hint="cs"/>
          <w:sz w:val="18"/>
          <w:szCs w:val="18"/>
        </w:rPr>
        <w:t>nobserved-</w:t>
      </w:r>
      <w:r w:rsidR="006F799D" w:rsidRPr="007C5D03">
        <w:rPr>
          <w:rFonts w:ascii="Arial Hebrew" w:hAnsi="Arial Hebrew" w:cs="Arial Hebrew" w:hint="cs"/>
          <w:sz w:val="18"/>
          <w:szCs w:val="18"/>
        </w:rPr>
        <w:t>C</w:t>
      </w:r>
      <w:r w:rsidR="00F75426" w:rsidRPr="007C5D03">
        <w:rPr>
          <w:rFonts w:ascii="Arial Hebrew" w:hAnsi="Arial Hebrew" w:cs="Arial Hebrew" w:hint="cs"/>
          <w:sz w:val="18"/>
          <w:szCs w:val="18"/>
        </w:rPr>
        <w:t xml:space="preserve">omponents </w:t>
      </w:r>
      <w:r w:rsidR="006F799D" w:rsidRPr="007C5D03">
        <w:rPr>
          <w:rFonts w:ascii="Arial Hebrew" w:hAnsi="Arial Hebrew" w:cs="Arial Hebrew" w:hint="cs"/>
          <w:sz w:val="18"/>
          <w:szCs w:val="18"/>
        </w:rPr>
        <w:t>M</w:t>
      </w:r>
      <w:r w:rsidR="00F75426" w:rsidRPr="007C5D03">
        <w:rPr>
          <w:rFonts w:ascii="Arial Hebrew" w:hAnsi="Arial Hebrew" w:cs="Arial Hebrew" w:hint="cs"/>
          <w:sz w:val="18"/>
          <w:szCs w:val="18"/>
        </w:rPr>
        <w:t xml:space="preserve">odel </w:t>
      </w:r>
      <w:r w:rsidR="006F799D" w:rsidRPr="007C5D03">
        <w:rPr>
          <w:rFonts w:ascii="Arial Hebrew" w:hAnsi="Arial Hebrew" w:cs="Arial Hebrew" w:hint="cs"/>
          <w:sz w:val="18"/>
          <w:szCs w:val="18"/>
        </w:rPr>
        <w:t xml:space="preserve">(UCM) </w:t>
      </w:r>
      <w:r w:rsidR="00563F8E" w:rsidRPr="007C5D03">
        <w:rPr>
          <w:rFonts w:ascii="Arial Hebrew" w:hAnsi="Arial Hebrew" w:cs="Arial Hebrew" w:hint="cs"/>
          <w:sz w:val="18"/>
          <w:szCs w:val="18"/>
        </w:rPr>
        <w:t>that determines weights according to source covariance</w:t>
      </w:r>
      <w:r w:rsidR="006F799D" w:rsidRPr="007C5D03">
        <w:rPr>
          <w:rFonts w:ascii="Arial Hebrew" w:hAnsi="Arial Hebrew" w:cs="Arial Hebrew" w:hint="cs"/>
          <w:sz w:val="18"/>
          <w:szCs w:val="18"/>
        </w:rPr>
        <w:t xml:space="preserve">; </w:t>
      </w:r>
      <w:r w:rsidR="00563F8E" w:rsidRPr="007C5D03">
        <w:rPr>
          <w:rFonts w:ascii="Arial Hebrew" w:hAnsi="Arial Hebrew" w:cs="Arial Hebrew" w:hint="cs"/>
          <w:sz w:val="18"/>
          <w:szCs w:val="18"/>
        </w:rPr>
        <w:t xml:space="preserve">sources providing more independent information receiving stronger weights. Aggregate </w:t>
      </w:r>
      <w:r w:rsidR="00F75426" w:rsidRPr="007C5D03">
        <w:rPr>
          <w:rFonts w:ascii="Arial Hebrew" w:hAnsi="Arial Hebrew" w:cs="Arial Hebrew" w:hint="cs"/>
          <w:sz w:val="18"/>
          <w:szCs w:val="18"/>
        </w:rPr>
        <w:t xml:space="preserve">scores </w:t>
      </w:r>
      <w:r w:rsidR="00694CE9" w:rsidRPr="007C5D03">
        <w:rPr>
          <w:rFonts w:ascii="Arial Hebrew" w:hAnsi="Arial Hebrew" w:cs="Arial Hebrew" w:hint="cs"/>
          <w:sz w:val="18"/>
          <w:szCs w:val="18"/>
        </w:rPr>
        <w:t>(</w:t>
      </w:r>
      <w:r w:rsidR="000806CF" w:rsidRPr="007C5D03">
        <w:rPr>
          <w:rFonts w:ascii="Arial Hebrew" w:hAnsi="Arial Hebrew" w:cs="Arial Hebrew" w:hint="cs"/>
          <w:sz w:val="18"/>
          <w:szCs w:val="18"/>
        </w:rPr>
        <w:t xml:space="preserve">measured in standard deviations and normally </w:t>
      </w:r>
      <w:r w:rsidR="00694CE9" w:rsidRPr="007C5D03">
        <w:rPr>
          <w:rFonts w:ascii="Arial Hebrew" w:hAnsi="Arial Hebrew" w:cs="Arial Hebrew" w:hint="cs"/>
          <w:sz w:val="18"/>
          <w:szCs w:val="18"/>
        </w:rPr>
        <w:t>between</w:t>
      </w:r>
      <w:r w:rsidR="000806CF" w:rsidRPr="007C5D03">
        <w:rPr>
          <w:rFonts w:ascii="Arial Hebrew" w:hAnsi="Arial Hebrew" w:cs="Arial Hebrew" w:hint="cs"/>
          <w:sz w:val="18"/>
          <w:szCs w:val="18"/>
        </w:rPr>
        <w:t xml:space="preserve"> </w:t>
      </w:r>
      <w:r w:rsidR="00694CE9" w:rsidRPr="007C5D03">
        <w:rPr>
          <w:rFonts w:ascii="Arial Hebrew" w:hAnsi="Arial Hebrew" w:cs="Arial Hebrew" w:hint="cs"/>
          <w:sz w:val="18"/>
          <w:szCs w:val="18"/>
        </w:rPr>
        <w:t xml:space="preserve">-2.5 and 2.5) </w:t>
      </w:r>
      <w:r w:rsidR="00F75426" w:rsidRPr="007C5D03">
        <w:rPr>
          <w:rFonts w:ascii="Arial Hebrew" w:hAnsi="Arial Hebrew" w:cs="Arial Hebrew" w:hint="cs"/>
          <w:sz w:val="18"/>
          <w:szCs w:val="18"/>
        </w:rPr>
        <w:t>and percentile ranks</w:t>
      </w:r>
      <w:r w:rsidR="00563F8E" w:rsidRPr="007C5D03">
        <w:rPr>
          <w:rFonts w:ascii="Arial Hebrew" w:hAnsi="Arial Hebrew" w:cs="Arial Hebrew" w:hint="cs"/>
          <w:sz w:val="18"/>
          <w:szCs w:val="18"/>
        </w:rPr>
        <w:t xml:space="preserve"> are published</w:t>
      </w:r>
      <w:r w:rsidR="006F799D" w:rsidRPr="007C5D03">
        <w:rPr>
          <w:rFonts w:ascii="Arial Hebrew" w:hAnsi="Arial Hebrew" w:cs="Arial Hebrew" w:hint="cs"/>
          <w:sz w:val="18"/>
          <w:szCs w:val="18"/>
        </w:rPr>
        <w:t>,</w:t>
      </w:r>
      <w:r w:rsidR="00F75426" w:rsidRPr="007C5D03">
        <w:rPr>
          <w:rFonts w:ascii="Arial Hebrew" w:hAnsi="Arial Hebrew" w:cs="Arial Hebrew" w:hint="cs"/>
          <w:sz w:val="18"/>
          <w:szCs w:val="18"/>
        </w:rPr>
        <w:t xml:space="preserve"> along with confidence intervals that reflect data coverage and inter</w:t>
      </w:r>
      <w:r w:rsidR="00F75426" w:rsidRPr="007C5D03">
        <w:rPr>
          <w:rFonts w:ascii="Cambria Math" w:hAnsi="Cambria Math" w:cs="Cambria Math"/>
          <w:sz w:val="18"/>
          <w:szCs w:val="18"/>
        </w:rPr>
        <w:t>‑</w:t>
      </w:r>
      <w:r w:rsidR="00F75426" w:rsidRPr="007C5D03">
        <w:rPr>
          <w:rFonts w:ascii="Arial Hebrew" w:hAnsi="Arial Hebrew" w:cs="Arial Hebrew" w:hint="cs"/>
          <w:sz w:val="18"/>
          <w:szCs w:val="18"/>
        </w:rPr>
        <w:t>source agreement.</w:t>
      </w:r>
      <w:r w:rsidR="00AF4E81" w:rsidRPr="007C5D03">
        <w:rPr>
          <w:rFonts w:ascii="Arial Hebrew" w:hAnsi="Arial Hebrew" w:cs="Arial Hebrew" w:hint="cs"/>
          <w:sz w:val="18"/>
          <w:szCs w:val="18"/>
        </w:rPr>
        <w:t xml:space="preserve"> </w:t>
      </w:r>
    </w:p>
  </w:footnote>
  <w:footnote w:id="16">
    <w:p w14:paraId="6196D5C3" w14:textId="7AC71799" w:rsidR="00F238BF" w:rsidRPr="007C5D03" w:rsidRDefault="00F238BF"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815FF1" w:rsidRPr="007C5D03">
        <w:rPr>
          <w:rFonts w:ascii="Arial Hebrew" w:hAnsi="Arial Hebrew" w:cs="Arial Hebrew" w:hint="cs"/>
          <w:sz w:val="18"/>
          <w:szCs w:val="18"/>
        </w:rPr>
        <w:t xml:space="preserve">Measures for the effectiveness of fiscal, monetary and macroeconomic policy (constituting the remaining 60% of the </w:t>
      </w:r>
      <w:r w:rsidR="00815FF1" w:rsidRPr="007C5D03">
        <w:rPr>
          <w:rFonts w:ascii="Arial Hebrew" w:hAnsi="Arial Hebrew" w:cs="Arial Hebrew" w:hint="cs"/>
          <w:b/>
          <w:bCs/>
          <w:sz w:val="18"/>
          <w:szCs w:val="18"/>
        </w:rPr>
        <w:t xml:space="preserve">Institutions &amp; Governance Strength </w:t>
      </w:r>
      <w:r w:rsidR="00815FF1" w:rsidRPr="007C5D03">
        <w:rPr>
          <w:rFonts w:ascii="Arial Hebrew" w:hAnsi="Arial Hebrew" w:cs="Arial Hebrew" w:hint="cs"/>
          <w:sz w:val="18"/>
          <w:szCs w:val="18"/>
        </w:rPr>
        <w:t>scorecard factor) are derived from other data, including</w:t>
      </w:r>
      <w:r w:rsidRPr="007C5D03">
        <w:rPr>
          <w:rFonts w:ascii="Arial Hebrew" w:hAnsi="Arial Hebrew" w:cs="Arial Hebrew" w:hint="cs"/>
          <w:sz w:val="18"/>
          <w:szCs w:val="18"/>
        </w:rPr>
        <w:t xml:space="preserve"> IMF structural balance data, Open Budget Survey scores, inflation targeting performance, and banking crisis history</w:t>
      </w:r>
      <w:r w:rsidR="00C72404" w:rsidRPr="007C5D03">
        <w:rPr>
          <w:rFonts w:ascii="Arial Hebrew" w:hAnsi="Arial Hebrew" w:cs="Arial Hebrew" w:hint="cs"/>
          <w:sz w:val="18"/>
          <w:szCs w:val="18"/>
        </w:rPr>
        <w:t>.</w:t>
      </w:r>
    </w:p>
  </w:footnote>
  <w:footnote w:id="17">
    <w:p w14:paraId="2243F501" w14:textId="7C58DBE3" w:rsidR="007402F6" w:rsidRPr="007C5D03" w:rsidRDefault="007402F6" w:rsidP="00D008E6">
      <w:pPr>
        <w:ind w:firstLine="720"/>
        <w:jc w:val="both"/>
        <w:rPr>
          <w:rFonts w:ascii="Arial Hebrew" w:hAnsi="Arial Hebrew" w:cs="Arial Hebrew"/>
          <w:i/>
          <w:iCs/>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F</w:t>
      </w:r>
      <w:r w:rsidRPr="007C5D03">
        <w:rPr>
          <w:rFonts w:ascii="Arial Hebrew" w:hAnsi="Arial Hebrew" w:cs="Arial Hebrew" w:hint="cs"/>
          <w:sz w:val="18"/>
          <w:szCs w:val="18"/>
          <w:shd w:val="clear" w:color="auto" w:fill="FFFFFF"/>
        </w:rPr>
        <w:t xml:space="preserve">itch cites the WGI’s </w:t>
      </w:r>
      <w:r w:rsidRPr="007C5D03">
        <w:rPr>
          <w:rFonts w:ascii="Arial Hebrew" w:hAnsi="Arial Hebrew" w:cs="Arial Hebrew" w:hint="cs"/>
          <w:i/>
          <w:iCs/>
          <w:sz w:val="18"/>
          <w:szCs w:val="18"/>
          <w:shd w:val="clear" w:color="auto" w:fill="FFFFFF"/>
        </w:rPr>
        <w:t>“comprehensiveness, methodological</w:t>
      </w:r>
      <w:r w:rsidR="009E0501"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transparency, widespread use in</w:t>
      </w:r>
      <w:r w:rsidR="009E0501"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other</w:t>
      </w:r>
      <w:r w:rsidR="009E0501"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cross-country studies, and</w:t>
      </w:r>
      <w:r w:rsidR="00D008E6" w:rsidRPr="007C5D03">
        <w:rPr>
          <w:rFonts w:ascii="Arial Hebrew" w:hAnsi="Arial Hebrew" w:cs="Arial Hebrew" w:hint="cs"/>
          <w:i/>
          <w:iCs/>
          <w:sz w:val="18"/>
          <w:szCs w:val="18"/>
          <w:shd w:val="clear" w:color="auto" w:fill="FFFFFF"/>
        </w:rPr>
        <w:t xml:space="preserve"> </w:t>
      </w:r>
      <w:r w:rsidRPr="007C5D03">
        <w:rPr>
          <w:rFonts w:ascii="Arial Hebrew" w:hAnsi="Arial Hebrew" w:cs="Arial Hebrew" w:hint="cs"/>
          <w:i/>
          <w:iCs/>
          <w:sz w:val="18"/>
          <w:szCs w:val="18"/>
          <w:shd w:val="clear" w:color="auto" w:fill="FFFFFF"/>
        </w:rPr>
        <w:t>completeness of coverage geographically and over time”.</w:t>
      </w:r>
    </w:p>
  </w:footnote>
  <w:footnote w:id="18">
    <w:p w14:paraId="13575E4C" w14:textId="458B89A3" w:rsidR="001C2F06" w:rsidRPr="007C5D03" w:rsidRDefault="003D633B" w:rsidP="00D008E6">
      <w:pPr>
        <w:pStyle w:val="FootnoteText"/>
        <w:ind w:firstLine="720"/>
        <w:jc w:val="both"/>
        <w:rPr>
          <w:rFonts w:ascii="Arial Hebrew" w:hAnsi="Arial Hebrew" w:cs="Arial Hebrew"/>
          <w:i/>
          <w:iCs/>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1C2F06" w:rsidRPr="007C5D03">
        <w:rPr>
          <w:rFonts w:ascii="Arial Hebrew" w:hAnsi="Arial Hebrew" w:cs="Arial Hebrew" w:hint="cs"/>
          <w:sz w:val="18"/>
          <w:szCs w:val="18"/>
        </w:rPr>
        <w:t>An</w:t>
      </w:r>
      <w:r w:rsidRPr="007C5D03">
        <w:rPr>
          <w:rFonts w:ascii="Arial Hebrew" w:hAnsi="Arial Hebrew" w:cs="Arial Hebrew" w:hint="cs"/>
          <w:sz w:val="18"/>
          <w:szCs w:val="18"/>
        </w:rPr>
        <w:t xml:space="preserve"> example</w:t>
      </w:r>
      <w:r w:rsidR="001C2F06" w:rsidRPr="007C5D03">
        <w:rPr>
          <w:rFonts w:ascii="Arial Hebrew" w:hAnsi="Arial Hebrew" w:cs="Arial Hebrew" w:hint="cs"/>
          <w:sz w:val="18"/>
          <w:szCs w:val="18"/>
        </w:rPr>
        <w:t xml:space="preserve"> of this criticism was given by</w:t>
      </w:r>
      <w:r w:rsidR="00303DD5" w:rsidRPr="007C5D03">
        <w:rPr>
          <w:rFonts w:ascii="Arial Hebrew" w:hAnsi="Arial Hebrew" w:cs="Arial Hebrew" w:hint="cs"/>
          <w:sz w:val="18"/>
          <w:szCs w:val="18"/>
        </w:rPr>
        <w:t xml:space="preserve"> India’s Chief Economist in 2023</w:t>
      </w:r>
      <w:r w:rsidR="001C2F06" w:rsidRPr="007C5D03">
        <w:rPr>
          <w:rFonts w:ascii="Arial Hebrew" w:hAnsi="Arial Hebrew" w:cs="Arial Hebrew" w:hint="cs"/>
          <w:sz w:val="18"/>
          <w:szCs w:val="18"/>
        </w:rPr>
        <w:t>:</w:t>
      </w:r>
    </w:p>
    <w:p w14:paraId="6E9B67A3" w14:textId="5AA6E995" w:rsidR="0052597B" w:rsidRPr="007C5D03" w:rsidRDefault="001C2F06" w:rsidP="0052597B">
      <w:pPr>
        <w:pStyle w:val="FootnoteText"/>
        <w:ind w:firstLine="720"/>
        <w:jc w:val="both"/>
        <w:rPr>
          <w:rFonts w:ascii="Arial Hebrew" w:hAnsi="Arial Hebrew" w:cs="Arial Hebrew"/>
          <w:sz w:val="18"/>
          <w:szCs w:val="18"/>
        </w:rPr>
      </w:pPr>
      <w:r w:rsidRPr="007C5D03">
        <w:rPr>
          <w:rFonts w:ascii="Arial Hebrew" w:hAnsi="Arial Hebrew" w:cs="Arial Hebrew" w:hint="cs"/>
          <w:i/>
          <w:iCs/>
          <w:sz w:val="18"/>
          <w:szCs w:val="18"/>
        </w:rPr>
        <w:t>“O</w:t>
      </w:r>
      <w:r w:rsidR="00FA4F89" w:rsidRPr="007C5D03">
        <w:rPr>
          <w:rFonts w:ascii="Arial Hebrew" w:hAnsi="Arial Hebrew" w:cs="Arial Hebrew" w:hint="cs"/>
          <w:i/>
          <w:iCs/>
          <w:sz w:val="18"/>
          <w:szCs w:val="18"/>
        </w:rPr>
        <w:t>ver-reliance on non-transparent qualitative factors, including perceptions, value judgements, views of a limited number of experts, and surveys with loose methodologies in sovereign rating, results in unacceptable outcomes from a global point of view. It makes the rating of developing countries almost invariant with respect to even sizeable movements in relevant macroeconomic fundamentals. This happens because the base rating, estimated through quantitative scoring of macro-fundamentals, is overridden by qualitative considerations while finalising the published ratings. The set of loose qualitative information fed into the quantitative scoring of countries and the final qualitative overlay, based purely on the agency's subjective assessment of the countries' ability and willingness to pay, become heavily loaded against the developing countries”</w:t>
      </w:r>
      <w:r w:rsidR="005612B1">
        <w:rPr>
          <w:rFonts w:ascii="Arial Hebrew" w:hAnsi="Arial Hebrew" w:cs="Arial Hebrew"/>
          <w:i/>
          <w:iCs/>
          <w:sz w:val="18"/>
          <w:szCs w:val="18"/>
        </w:rPr>
        <w:t xml:space="preserve"> </w:t>
      </w:r>
      <w:r w:rsidR="005612B1" w:rsidRPr="005612B1">
        <w:rPr>
          <w:rFonts w:ascii="Arial Hebrew" w:hAnsi="Arial Hebrew" w:cs="Arial Hebrew"/>
          <w:sz w:val="18"/>
          <w:szCs w:val="18"/>
        </w:rPr>
        <w:t>(Nageswaran &amp; Mishra, 2023).</w:t>
      </w:r>
      <w:r w:rsidR="0052597B" w:rsidRPr="007C5D03">
        <w:rPr>
          <w:rFonts w:ascii="Arial Hebrew" w:hAnsi="Arial Hebrew" w:cs="Arial Hebrew" w:hint="cs"/>
          <w:i/>
          <w:iCs/>
          <w:sz w:val="18"/>
          <w:szCs w:val="18"/>
        </w:rPr>
        <w:t xml:space="preserve"> </w:t>
      </w:r>
    </w:p>
  </w:footnote>
  <w:footnote w:id="19">
    <w:p w14:paraId="592F7B63" w14:textId="72253A41" w:rsidR="00066E37" w:rsidRPr="007C5D03" w:rsidRDefault="00066E37" w:rsidP="00D008E6">
      <w:pPr>
        <w:pStyle w:val="FootnoteText"/>
        <w:ind w:firstLine="720"/>
        <w:jc w:val="both"/>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7B1AE9" w:rsidRPr="007C5D03">
        <w:rPr>
          <w:rFonts w:ascii="Arial Hebrew" w:hAnsi="Arial Hebrew" w:cs="Arial Hebrew" w:hint="cs"/>
          <w:sz w:val="18"/>
          <w:szCs w:val="18"/>
        </w:rPr>
        <w:t xml:space="preserve">Some WGI sources rely heavily on self-reported data from the governments that they are evaluating. </w:t>
      </w:r>
      <w:r w:rsidR="007423B8" w:rsidRPr="007C5D03">
        <w:rPr>
          <w:rFonts w:ascii="Arial Hebrew" w:hAnsi="Arial Hebrew" w:cs="Arial Hebrew" w:hint="cs"/>
          <w:sz w:val="18"/>
          <w:szCs w:val="18"/>
        </w:rPr>
        <w:t xml:space="preserve">Some </w:t>
      </w:r>
      <w:r w:rsidR="007B1AE9" w:rsidRPr="007C5D03">
        <w:rPr>
          <w:rFonts w:ascii="Arial Hebrew" w:hAnsi="Arial Hebrew" w:cs="Arial Hebrew" w:hint="cs"/>
          <w:sz w:val="18"/>
          <w:szCs w:val="18"/>
        </w:rPr>
        <w:t>source organisations</w:t>
      </w:r>
      <w:r w:rsidR="007423B8" w:rsidRPr="007C5D03">
        <w:rPr>
          <w:rFonts w:ascii="Arial Hebrew" w:hAnsi="Arial Hebrew" w:cs="Arial Hebrew" w:hint="cs"/>
          <w:sz w:val="18"/>
          <w:szCs w:val="18"/>
        </w:rPr>
        <w:t xml:space="preserve"> </w:t>
      </w:r>
      <w:r w:rsidR="007B1AE9" w:rsidRPr="007C5D03">
        <w:rPr>
          <w:rFonts w:ascii="Arial Hebrew" w:hAnsi="Arial Hebrew" w:cs="Arial Hebrew" w:hint="cs"/>
          <w:sz w:val="18"/>
          <w:szCs w:val="18"/>
        </w:rPr>
        <w:t>for</w:t>
      </w:r>
      <w:r w:rsidR="007423B8" w:rsidRPr="007C5D03">
        <w:rPr>
          <w:rFonts w:ascii="Arial Hebrew" w:hAnsi="Arial Hebrew" w:cs="Arial Hebrew" w:hint="cs"/>
          <w:sz w:val="18"/>
          <w:szCs w:val="18"/>
        </w:rPr>
        <w:t xml:space="preserve"> WGI </w:t>
      </w:r>
      <w:r w:rsidR="007B1AE9" w:rsidRPr="007C5D03">
        <w:rPr>
          <w:rFonts w:ascii="Arial Hebrew" w:hAnsi="Arial Hebrew" w:cs="Arial Hebrew" w:hint="cs"/>
          <w:sz w:val="18"/>
          <w:szCs w:val="18"/>
        </w:rPr>
        <w:t>input</w:t>
      </w:r>
      <w:r w:rsidR="007423B8" w:rsidRPr="007C5D03">
        <w:rPr>
          <w:rFonts w:ascii="Arial Hebrew" w:hAnsi="Arial Hebrew" w:cs="Arial Hebrew" w:hint="cs"/>
          <w:sz w:val="18"/>
          <w:szCs w:val="18"/>
        </w:rPr>
        <w:t xml:space="preserve"> data </w:t>
      </w:r>
      <w:r w:rsidRPr="007C5D03">
        <w:rPr>
          <w:rFonts w:ascii="Arial Hebrew" w:hAnsi="Arial Hebrew" w:cs="Arial Hebrew" w:hint="cs"/>
          <w:sz w:val="18"/>
          <w:szCs w:val="18"/>
        </w:rPr>
        <w:t>may also be non-transparent with respect to their funding</w:t>
      </w:r>
      <w:r w:rsidR="005F695E" w:rsidRPr="007C5D03">
        <w:rPr>
          <w:rFonts w:ascii="Arial Hebrew" w:hAnsi="Arial Hebrew" w:cs="Arial Hebrew" w:hint="cs"/>
          <w:sz w:val="18"/>
          <w:szCs w:val="18"/>
        </w:rPr>
        <w:t xml:space="preserve"> and</w:t>
      </w:r>
      <w:r w:rsidR="007423B8" w:rsidRPr="007C5D03">
        <w:rPr>
          <w:rFonts w:ascii="Arial Hebrew" w:hAnsi="Arial Hebrew" w:cs="Arial Hebrew" w:hint="cs"/>
          <w:sz w:val="18"/>
          <w:szCs w:val="18"/>
        </w:rPr>
        <w:t xml:space="preserve"> </w:t>
      </w:r>
      <w:r w:rsidR="005F695E" w:rsidRPr="007C5D03">
        <w:rPr>
          <w:rFonts w:ascii="Arial Hebrew" w:hAnsi="Arial Hebrew" w:cs="Arial Hebrew" w:hint="cs"/>
          <w:sz w:val="18"/>
          <w:szCs w:val="18"/>
        </w:rPr>
        <w:t>agendas</w:t>
      </w:r>
      <w:r w:rsidR="007423B8" w:rsidRPr="007C5D03">
        <w:rPr>
          <w:rFonts w:ascii="Arial Hebrew" w:hAnsi="Arial Hebrew" w:cs="Arial Hebrew" w:hint="cs"/>
          <w:sz w:val="18"/>
          <w:szCs w:val="18"/>
        </w:rPr>
        <w:t xml:space="preserve">. </w:t>
      </w:r>
      <w:r w:rsidR="0052597B" w:rsidRPr="007C5D03">
        <w:rPr>
          <w:rFonts w:ascii="Arial Hebrew" w:hAnsi="Arial Hebrew" w:cs="Arial Hebrew" w:hint="cs"/>
          <w:sz w:val="18"/>
          <w:szCs w:val="18"/>
        </w:rPr>
        <w:t xml:space="preserve">The shortcomings of the WGIs have been long recognised; the Organisation </w:t>
      </w:r>
      <w:r w:rsidR="007C5D03" w:rsidRPr="007C5D03">
        <w:rPr>
          <w:rFonts w:ascii="Arial Hebrew" w:hAnsi="Arial Hebrew" w:cs="Arial Hebrew" w:hint="cs"/>
          <w:sz w:val="18"/>
          <w:szCs w:val="18"/>
        </w:rPr>
        <w:t xml:space="preserve">of </w:t>
      </w:r>
      <w:r w:rsidR="0052597B" w:rsidRPr="007C5D03">
        <w:rPr>
          <w:rFonts w:ascii="Arial Hebrew" w:hAnsi="Arial Hebrew" w:cs="Arial Hebrew" w:hint="cs"/>
          <w:sz w:val="18"/>
          <w:szCs w:val="18"/>
        </w:rPr>
        <w:t xml:space="preserve">Economic Cooperation and Development publishing a lengthy critique in 2006 entitled </w:t>
      </w:r>
      <w:r w:rsidR="0052597B" w:rsidRPr="007C5D03">
        <w:rPr>
          <w:rFonts w:ascii="Arial Hebrew" w:hAnsi="Arial Hebrew" w:cs="Arial Hebrew" w:hint="cs"/>
          <w:i/>
          <w:iCs/>
          <w:sz w:val="18"/>
          <w:szCs w:val="18"/>
        </w:rPr>
        <w:t>Uses and Abuses of Governance Indicators</w:t>
      </w:r>
      <w:r w:rsidR="0052597B" w:rsidRPr="007C5D03">
        <w:rPr>
          <w:rFonts w:ascii="Arial Hebrew" w:hAnsi="Arial Hebrew" w:cs="Arial Hebrew" w:hint="cs"/>
          <w:sz w:val="18"/>
          <w:szCs w:val="18"/>
        </w:rPr>
        <w:t xml:space="preserve"> (Arndt and Oman)</w:t>
      </w:r>
      <w:r w:rsidR="007C5D03" w:rsidRPr="007C5D03">
        <w:rPr>
          <w:rFonts w:ascii="Arial Hebrew" w:hAnsi="Arial Hebrew" w:cs="Arial Hebrew" w:hint="cs"/>
          <w:sz w:val="18"/>
          <w:szCs w:val="18"/>
        </w:rPr>
        <w:t>.</w:t>
      </w:r>
    </w:p>
  </w:footnote>
  <w:footnote w:id="20">
    <w:p w14:paraId="4BC73A7F" w14:textId="49D51136" w:rsidR="002202D4" w:rsidRPr="007C5D03" w:rsidRDefault="002202D4" w:rsidP="00D008E6">
      <w:pPr>
        <w:pStyle w:val="FootnoteText"/>
        <w:ind w:firstLine="720"/>
        <w:jc w:val="both"/>
        <w:rPr>
          <w:rFonts w:ascii="Arial Hebrew" w:hAnsi="Arial Hebrew" w:cs="Arial Hebrew"/>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The use by </w:t>
      </w:r>
      <w:r w:rsidR="00A20BB1" w:rsidRPr="007C5D03">
        <w:rPr>
          <w:rFonts w:ascii="Arial Hebrew" w:hAnsi="Arial Hebrew" w:cs="Arial Hebrew" w:hint="cs"/>
          <w:sz w:val="18"/>
          <w:szCs w:val="18"/>
        </w:rPr>
        <w:t>ratings agencies</w:t>
      </w:r>
      <w:r w:rsidRPr="007C5D03">
        <w:rPr>
          <w:rFonts w:ascii="Arial Hebrew" w:hAnsi="Arial Hebrew" w:cs="Arial Hebrew" w:hint="cs"/>
          <w:sz w:val="18"/>
          <w:szCs w:val="18"/>
        </w:rPr>
        <w:t xml:space="preserve"> of WGI country rankings, rather than absolute scores, is specifically criticised in the review</w:t>
      </w:r>
      <w:r w:rsidR="00A20BB1" w:rsidRPr="007C5D03">
        <w:rPr>
          <w:rFonts w:ascii="Arial Hebrew" w:hAnsi="Arial Hebrew" w:cs="Arial Hebrew" w:hint="cs"/>
          <w:sz w:val="18"/>
          <w:szCs w:val="18"/>
        </w:rPr>
        <w:t>, which notes that</w:t>
      </w:r>
      <w:r w:rsidRPr="007C5D03">
        <w:rPr>
          <w:rFonts w:ascii="Arial Hebrew" w:hAnsi="Arial Hebrew" w:cs="Arial Hebrew" w:hint="cs"/>
          <w:sz w:val="18"/>
          <w:szCs w:val="18"/>
        </w:rPr>
        <w:t xml:space="preserve"> ranks are relative and can change even if a country’s own performance does</w:t>
      </w:r>
      <w:r w:rsidR="00A20BB1" w:rsidRPr="007C5D03">
        <w:rPr>
          <w:rFonts w:ascii="Arial Hebrew" w:hAnsi="Arial Hebrew" w:cs="Arial Hebrew" w:hint="cs"/>
          <w:sz w:val="18"/>
          <w:szCs w:val="18"/>
        </w:rPr>
        <w:t xml:space="preserve"> not. The WGI usage advisory also warns against using the data to measure governance over time (rather than making cross-country comparison for a single point in time), noting that the indicators </w:t>
      </w:r>
      <w:r w:rsidR="00A20BB1" w:rsidRPr="007C5D03">
        <w:rPr>
          <w:rFonts w:ascii="Arial Hebrew" w:hAnsi="Arial Hebrew" w:cs="Arial Hebrew" w:hint="cs"/>
          <w:i/>
          <w:iCs/>
          <w:sz w:val="18"/>
          <w:szCs w:val="18"/>
        </w:rPr>
        <w:t>“measure governance in units where the average score for the world as a whole is zero in every period [and therefore] cannot be used to study trends in world averages of governance”</w:t>
      </w:r>
      <w:r w:rsidR="00A20BB1" w:rsidRPr="007C5D03">
        <w:rPr>
          <w:rFonts w:ascii="Arial Hebrew" w:hAnsi="Arial Hebrew" w:cs="Arial Hebrew" w:hint="cs"/>
          <w:sz w:val="18"/>
          <w:szCs w:val="18"/>
        </w:rPr>
        <w:t>.</w:t>
      </w:r>
      <w:r w:rsidR="000C4591" w:rsidRPr="007C5D03">
        <w:rPr>
          <w:rFonts w:ascii="Arial Hebrew" w:hAnsi="Arial Hebrew" w:cs="Arial Hebrew" w:hint="cs"/>
          <w:sz w:val="18"/>
          <w:szCs w:val="18"/>
        </w:rPr>
        <w:t xml:space="preserve"> </w:t>
      </w:r>
      <w:r w:rsidR="002D4BEF" w:rsidRPr="007C5D03">
        <w:rPr>
          <w:rFonts w:ascii="Arial Hebrew" w:hAnsi="Arial Hebrew" w:cs="Arial Hebrew" w:hint="cs"/>
          <w:sz w:val="18"/>
          <w:szCs w:val="18"/>
        </w:rPr>
        <w:t xml:space="preserve">The review also recommended the institution of a standing </w:t>
      </w:r>
      <w:r w:rsidR="001C35F9">
        <w:rPr>
          <w:rFonts w:ascii="Cambria" w:hAnsi="Cambria" w:cs="Arial Hebrew"/>
          <w:sz w:val="18"/>
          <w:szCs w:val="18"/>
        </w:rPr>
        <w:t xml:space="preserve">World Bank </w:t>
      </w:r>
      <w:r w:rsidR="002D4BEF" w:rsidRPr="007C5D03">
        <w:rPr>
          <w:rFonts w:ascii="Arial Hebrew" w:hAnsi="Arial Hebrew" w:cs="Arial Hebrew" w:hint="cs"/>
          <w:sz w:val="18"/>
          <w:szCs w:val="18"/>
        </w:rPr>
        <w:t>advisory panel on governance measurement, able to consider complaints regarding the WGI.</w:t>
      </w:r>
    </w:p>
  </w:footnote>
  <w:footnote w:id="21">
    <w:p w14:paraId="61552B5C" w14:textId="77777777" w:rsidR="000565F7" w:rsidRPr="007C5D03" w:rsidRDefault="000565F7" w:rsidP="00604841">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“Observability” refers to ‘</w:t>
      </w:r>
      <w:r w:rsidRPr="007C5D03">
        <w:rPr>
          <w:rFonts w:ascii="Arial Hebrew" w:hAnsi="Arial Hebrew" w:cs="Arial Hebrew" w:hint="cs"/>
          <w:i/>
          <w:iCs/>
          <w:sz w:val="18"/>
          <w:szCs w:val="18"/>
        </w:rPr>
        <w:t>the ability to understand the internal state or condition of a complex system based solely on knowledge of its external outputs’</w:t>
      </w:r>
      <w:r w:rsidRPr="007C5D03">
        <w:rPr>
          <w:rFonts w:ascii="Arial Hebrew" w:hAnsi="Arial Hebrew" w:cs="Arial Hebrew" w:hint="cs"/>
          <w:sz w:val="18"/>
          <w:szCs w:val="18"/>
        </w:rPr>
        <w:t>.</w:t>
      </w:r>
    </w:p>
  </w:footnote>
  <w:footnote w:id="22">
    <w:p w14:paraId="120EE9CE" w14:textId="386ABC3D" w:rsidR="00135D46" w:rsidRPr="00544EBF" w:rsidRDefault="00135D46" w:rsidP="00604841">
      <w:pPr>
        <w:pStyle w:val="FootnoteText"/>
        <w:ind w:firstLine="720"/>
        <w:jc w:val="both"/>
        <w:rPr>
          <w:rFonts w:ascii="Arial Hebrew" w:hAnsi="Arial Hebrew" w:cs="Arial Hebrew"/>
          <w:sz w:val="18"/>
          <w:szCs w:val="18"/>
        </w:rPr>
      </w:pPr>
      <w:r w:rsidRPr="00544EBF">
        <w:rPr>
          <w:rStyle w:val="FootnoteReference"/>
          <w:rFonts w:ascii="Arial Hebrew" w:hAnsi="Arial Hebrew" w:cs="Arial Hebrew" w:hint="cs"/>
          <w:sz w:val="18"/>
          <w:szCs w:val="18"/>
        </w:rPr>
        <w:footnoteRef/>
      </w:r>
      <w:r w:rsidRPr="00544EBF">
        <w:rPr>
          <w:rFonts w:ascii="Arial Hebrew" w:hAnsi="Arial Hebrew" w:cs="Arial Hebrew" w:hint="cs"/>
          <w:sz w:val="18"/>
          <w:szCs w:val="18"/>
        </w:rPr>
        <w:t xml:space="preserve"> This could include data on the </w:t>
      </w:r>
      <w:r w:rsidR="00AD348E" w:rsidRPr="00544EBF">
        <w:rPr>
          <w:rFonts w:ascii="Arial Hebrew" w:hAnsi="Arial Hebrew" w:cs="Arial Hebrew" w:hint="cs"/>
          <w:sz w:val="18"/>
          <w:szCs w:val="18"/>
        </w:rPr>
        <w:t xml:space="preserve">prevalence of </w:t>
      </w:r>
      <w:r w:rsidRPr="00544EBF">
        <w:rPr>
          <w:rFonts w:ascii="Arial Hebrew" w:hAnsi="Arial Hebrew" w:cs="Arial Hebrew" w:hint="cs"/>
          <w:sz w:val="18"/>
          <w:szCs w:val="18"/>
        </w:rPr>
        <w:t>grievances</w:t>
      </w:r>
      <w:r w:rsidR="00AD348E" w:rsidRPr="00544EBF">
        <w:rPr>
          <w:rFonts w:ascii="Arial Hebrew" w:hAnsi="Arial Hebrew" w:cs="Arial Hebrew" w:hint="cs"/>
          <w:sz w:val="18"/>
          <w:szCs w:val="18"/>
        </w:rPr>
        <w:t xml:space="preserve"> and the timeliness of their resolution</w:t>
      </w:r>
      <w:r w:rsidRPr="00544EBF">
        <w:rPr>
          <w:rFonts w:ascii="Arial Hebrew" w:hAnsi="Arial Hebrew" w:cs="Arial Hebrew" w:hint="cs"/>
          <w:sz w:val="18"/>
          <w:szCs w:val="18"/>
        </w:rPr>
        <w:t xml:space="preserve">, promoting institutional accountability. </w:t>
      </w:r>
      <w:r w:rsidR="00544EBF" w:rsidRPr="00544EBF">
        <w:rPr>
          <w:rFonts w:ascii="Arial Hebrew" w:hAnsi="Arial Hebrew" w:cs="Arial Hebrew" w:hint="cs"/>
          <w:sz w:val="18"/>
          <w:szCs w:val="18"/>
        </w:rPr>
        <w:t xml:space="preserve">A services-based benchmarking system for subnational government was proposed to promote regional productivity in a 2018 OECD Working Paper (Phillips), but without reference to credit assessments. </w:t>
      </w:r>
    </w:p>
  </w:footnote>
  <w:footnote w:id="23">
    <w:p w14:paraId="5DCF718B" w14:textId="0C8F0D09" w:rsidR="009E2092" w:rsidRPr="00984D43" w:rsidRDefault="009E2092" w:rsidP="00953A29">
      <w:pPr>
        <w:pStyle w:val="FootnoteText"/>
        <w:ind w:firstLine="720"/>
        <w:jc w:val="both"/>
        <w:rPr>
          <w:rFonts w:ascii="Cambria" w:hAnsi="Cambria" w:cs="Arial Hebrew"/>
          <w:i/>
          <w:iCs/>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984D43">
        <w:rPr>
          <w:rFonts w:ascii="Cambria" w:hAnsi="Cambria" w:cs="Arial Hebrew"/>
          <w:sz w:val="18"/>
          <w:szCs w:val="18"/>
        </w:rPr>
        <w:t xml:space="preserve">See World Economic Forum white paper </w:t>
      </w:r>
      <w:r w:rsidR="00984D43" w:rsidRPr="00984D43">
        <w:rPr>
          <w:rFonts w:ascii="Cambria" w:hAnsi="Cambria" w:cs="Arial Hebrew"/>
          <w:i/>
          <w:iCs/>
          <w:sz w:val="18"/>
          <w:szCs w:val="18"/>
        </w:rPr>
        <w:t>Measuring digital trust: Supporting decision-making for trustworthy technologies</w:t>
      </w:r>
      <w:r w:rsidR="00984D43">
        <w:rPr>
          <w:rFonts w:ascii="Cambria" w:hAnsi="Cambria" w:cs="Arial Hebrew"/>
          <w:sz w:val="18"/>
          <w:szCs w:val="18"/>
        </w:rPr>
        <w:t xml:space="preserve"> (2023).</w:t>
      </w:r>
    </w:p>
  </w:footnote>
  <w:footnote w:id="24">
    <w:p w14:paraId="568CA727" w14:textId="2C53CC0A" w:rsidR="00030ED8" w:rsidRPr="007C5D03" w:rsidRDefault="00030ED8" w:rsidP="00604841">
      <w:pPr>
        <w:pStyle w:val="FootnoteText"/>
        <w:ind w:firstLine="720"/>
        <w:jc w:val="both"/>
        <w:rPr>
          <w:rFonts w:ascii="Arial Hebrew" w:hAnsi="Arial Hebrew" w:cs="Arial Hebrew"/>
          <w:b/>
          <w:bCs/>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7F6EC9" w:rsidRPr="007C5D03">
        <w:rPr>
          <w:rFonts w:ascii="Arial Hebrew" w:hAnsi="Arial Hebrew" w:cs="Arial Hebrew" w:hint="cs"/>
          <w:sz w:val="18"/>
          <w:szCs w:val="18"/>
        </w:rPr>
        <w:t>Using principal-component analysis, Langbein &amp; Knack (2010) found that a single factor explains virtually all the variation across the six WGI indicators</w:t>
      </w:r>
      <w:r w:rsidR="00571934" w:rsidRPr="007C5D03">
        <w:rPr>
          <w:rFonts w:ascii="Arial Hebrew" w:hAnsi="Arial Hebrew" w:cs="Arial Hebrew" w:hint="cs"/>
          <w:sz w:val="18"/>
          <w:szCs w:val="18"/>
        </w:rPr>
        <w:t xml:space="preserve">, </w:t>
      </w:r>
      <w:r w:rsidR="00972E3B" w:rsidRPr="007C5D03">
        <w:rPr>
          <w:rFonts w:ascii="Arial Hebrew" w:hAnsi="Arial Hebrew" w:cs="Arial Hebrew" w:hint="cs"/>
          <w:sz w:val="18"/>
          <w:szCs w:val="18"/>
        </w:rPr>
        <w:t>comparing</w:t>
      </w:r>
      <w:r w:rsidR="00571934" w:rsidRPr="007C5D03">
        <w:rPr>
          <w:rFonts w:ascii="Arial Hebrew" w:hAnsi="Arial Hebrew" w:cs="Arial Hebrew" w:hint="cs"/>
          <w:sz w:val="18"/>
          <w:szCs w:val="18"/>
        </w:rPr>
        <w:t xml:space="preserve"> an </w:t>
      </w:r>
      <w:r w:rsidR="007F6EC9" w:rsidRPr="007C5D03">
        <w:rPr>
          <w:rFonts w:ascii="Arial Hebrew" w:hAnsi="Arial Hebrew" w:cs="Arial Hebrew" w:hint="cs"/>
          <w:sz w:val="18"/>
          <w:szCs w:val="18"/>
        </w:rPr>
        <w:t>eigenvalue</w:t>
      </w:r>
      <w:r w:rsidR="00571934" w:rsidRPr="007C5D03">
        <w:rPr>
          <w:rFonts w:ascii="Arial Hebrew" w:hAnsi="Arial Hebrew" w:cs="Arial Hebrew" w:hint="cs"/>
          <w:sz w:val="18"/>
          <w:szCs w:val="18"/>
        </w:rPr>
        <w:t xml:space="preserve"> of</w:t>
      </w:r>
      <w:r w:rsidR="007F6EC9" w:rsidRPr="007C5D03">
        <w:rPr>
          <w:rFonts w:ascii="Arial Hebrew" w:hAnsi="Arial Hebrew" w:cs="Arial Hebrew" w:hint="cs"/>
          <w:sz w:val="18"/>
          <w:szCs w:val="18"/>
        </w:rPr>
        <w:t xml:space="preserve"> 4.58 for the first</w:t>
      </w:r>
      <w:r w:rsidR="00E86E29" w:rsidRPr="007C5D03">
        <w:rPr>
          <w:rFonts w:ascii="Arial Hebrew" w:hAnsi="Arial Hebrew" w:cs="Arial Hebrew" w:hint="cs"/>
          <w:sz w:val="18"/>
          <w:szCs w:val="18"/>
        </w:rPr>
        <w:t xml:space="preserve"> principal component</w:t>
      </w:r>
      <w:r w:rsidR="00972E3B" w:rsidRPr="007C5D03">
        <w:rPr>
          <w:rFonts w:ascii="Arial Hebrew" w:hAnsi="Arial Hebrew" w:cs="Arial Hebrew" w:hint="cs"/>
          <w:sz w:val="18"/>
          <w:szCs w:val="18"/>
        </w:rPr>
        <w:t xml:space="preserve"> and </w:t>
      </w:r>
      <w:r w:rsidR="007F6EC9" w:rsidRPr="007C5D03">
        <w:rPr>
          <w:rFonts w:ascii="Arial Hebrew" w:hAnsi="Arial Hebrew" w:cs="Arial Hebrew" w:hint="cs"/>
          <w:sz w:val="18"/>
          <w:szCs w:val="18"/>
        </w:rPr>
        <w:t>0.14 for the second. When testing whether the indicators were causally related (</w:t>
      </w:r>
      <w:r w:rsidR="00E86E29" w:rsidRPr="007C5D03">
        <w:rPr>
          <w:rFonts w:ascii="Arial Hebrew" w:hAnsi="Arial Hebrew" w:cs="Arial Hebrew" w:hint="cs"/>
          <w:sz w:val="18"/>
          <w:szCs w:val="18"/>
        </w:rPr>
        <w:t xml:space="preserve">as opposed to </w:t>
      </w:r>
      <w:r w:rsidR="007F6EC9" w:rsidRPr="007C5D03">
        <w:rPr>
          <w:rFonts w:ascii="Arial Hebrew" w:hAnsi="Arial Hebrew" w:cs="Arial Hebrew" w:hint="cs"/>
          <w:sz w:val="18"/>
          <w:szCs w:val="18"/>
        </w:rPr>
        <w:t xml:space="preserve">measuring </w:t>
      </w:r>
      <w:r w:rsidR="00E86E29" w:rsidRPr="007C5D03">
        <w:rPr>
          <w:rFonts w:ascii="Arial Hebrew" w:hAnsi="Arial Hebrew" w:cs="Arial Hebrew" w:hint="cs"/>
          <w:sz w:val="18"/>
          <w:szCs w:val="18"/>
        </w:rPr>
        <w:t>a single</w:t>
      </w:r>
      <w:r w:rsidR="007F6EC9" w:rsidRPr="007C5D03">
        <w:rPr>
          <w:rFonts w:ascii="Arial Hebrew" w:hAnsi="Arial Hebrew" w:cs="Arial Hebrew" w:hint="cs"/>
          <w:sz w:val="18"/>
          <w:szCs w:val="18"/>
        </w:rPr>
        <w:t xml:space="preserve"> underlying concept), both models fit the data equally well, suggesting that the indicators cannot distinguish between different theoretical relationships</w:t>
      </w:r>
      <w:r w:rsidR="00042D90" w:rsidRPr="007C5D03">
        <w:rPr>
          <w:rFonts w:ascii="Arial Hebrew" w:hAnsi="Arial Hebrew" w:cs="Arial Hebrew" w:hint="cs"/>
          <w:sz w:val="18"/>
          <w:szCs w:val="18"/>
        </w:rPr>
        <w:t xml:space="preserve"> and so do not possess analytically meaningful differences</w:t>
      </w:r>
      <w:r w:rsidR="007F6EC9" w:rsidRPr="007C5D03">
        <w:rPr>
          <w:rFonts w:ascii="Arial Hebrew" w:hAnsi="Arial Hebrew" w:cs="Arial Hebrew" w:hint="cs"/>
          <w:sz w:val="18"/>
          <w:szCs w:val="18"/>
        </w:rPr>
        <w:t xml:space="preserve">. </w:t>
      </w:r>
    </w:p>
  </w:footnote>
  <w:footnote w:id="25">
    <w:p w14:paraId="0C44DDE2" w14:textId="20771271" w:rsidR="001A1E20" w:rsidRPr="007C5D03" w:rsidRDefault="001A1E20" w:rsidP="001A1E20">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This is not to suggest that equal weighting is the statistically optimal combination for a composite WGIs indicator</w:t>
      </w:r>
      <w:r w:rsidR="001E3B81">
        <w:rPr>
          <w:rFonts w:ascii="Arial Hebrew" w:hAnsi="Arial Hebrew" w:cs="Arial Hebrew"/>
          <w:sz w:val="18"/>
          <w:szCs w:val="18"/>
        </w:rPr>
        <w:t>;</w:t>
      </w:r>
      <w:r w:rsidRPr="007C5D03">
        <w:rPr>
          <w:rFonts w:ascii="Arial Hebrew" w:hAnsi="Arial Hebrew" w:cs="Arial Hebrew" w:hint="cs"/>
          <w:sz w:val="18"/>
          <w:szCs w:val="18"/>
        </w:rPr>
        <w:t xml:space="preserve"> empirical research has found the GE Index to be a significant independent predictor of sovereign borrowing costs even after controlling both for agency ratings and their informing economic and financial variables (see Jeanneret 2018). This suggest that there are latent aspects of governance that are captured both by the GE Index and by capital markets but not fully reflected in the frameworks of credit ratings</w:t>
      </w:r>
      <w:r w:rsidR="001E3B81">
        <w:rPr>
          <w:rFonts w:ascii="Arial Hebrew" w:hAnsi="Arial Hebrew" w:cs="Arial Hebrew"/>
          <w:sz w:val="18"/>
          <w:szCs w:val="18"/>
        </w:rPr>
        <w:t xml:space="preserve"> </w:t>
      </w:r>
      <w:r w:rsidR="001E3B81">
        <w:rPr>
          <w:rFonts w:ascii="Cambria" w:hAnsi="Cambria" w:cs="Arial Hebrew"/>
          <w:sz w:val="18"/>
          <w:szCs w:val="18"/>
        </w:rPr>
        <w:t>and</w:t>
      </w:r>
      <w:r w:rsidRPr="007C5D03">
        <w:rPr>
          <w:rFonts w:ascii="Arial Hebrew" w:hAnsi="Arial Hebrew" w:cs="Arial Hebrew" w:hint="cs"/>
          <w:sz w:val="18"/>
          <w:szCs w:val="18"/>
        </w:rPr>
        <w:t xml:space="preserve"> support</w:t>
      </w:r>
      <w:r w:rsidR="001E3B81">
        <w:rPr>
          <w:rFonts w:ascii="Cambria" w:hAnsi="Cambria" w:cs="Arial Hebrew"/>
          <w:sz w:val="18"/>
          <w:szCs w:val="18"/>
        </w:rPr>
        <w:t>s</w:t>
      </w:r>
      <w:r w:rsidRPr="007C5D03">
        <w:rPr>
          <w:rFonts w:ascii="Arial Hebrew" w:hAnsi="Arial Hebrew" w:cs="Arial Hebrew" w:hint="cs"/>
          <w:sz w:val="18"/>
          <w:szCs w:val="18"/>
        </w:rPr>
        <w:t xml:space="preserve"> the argument that service standards are </w:t>
      </w:r>
      <w:r w:rsidR="001E3B81">
        <w:rPr>
          <w:rFonts w:ascii="Cambria" w:hAnsi="Cambria" w:cs="Arial Hebrew"/>
          <w:sz w:val="18"/>
          <w:szCs w:val="18"/>
        </w:rPr>
        <w:t>a superior</w:t>
      </w:r>
      <w:r w:rsidRPr="007C5D03">
        <w:rPr>
          <w:rFonts w:ascii="Arial Hebrew" w:hAnsi="Arial Hebrew" w:cs="Arial Hebrew" w:hint="cs"/>
          <w:sz w:val="18"/>
          <w:szCs w:val="18"/>
        </w:rPr>
        <w:t xml:space="preserve"> indicator of latent good governance factors and the most appropriate focus for more transparent, timely and granular governance indicator</w:t>
      </w:r>
      <w:r w:rsidR="003A5817">
        <w:rPr>
          <w:rFonts w:ascii="Cambria" w:hAnsi="Cambria" w:cs="Arial Hebrew"/>
          <w:sz w:val="18"/>
          <w:szCs w:val="18"/>
        </w:rPr>
        <w:t>s</w:t>
      </w:r>
      <w:r w:rsidRPr="007C5D03">
        <w:rPr>
          <w:rFonts w:ascii="Arial Hebrew" w:hAnsi="Arial Hebrew" w:cs="Arial Hebrew" w:hint="cs"/>
          <w:sz w:val="18"/>
          <w:szCs w:val="18"/>
        </w:rPr>
        <w:t xml:space="preserve">.  </w:t>
      </w:r>
    </w:p>
  </w:footnote>
  <w:footnote w:id="26">
    <w:p w14:paraId="351E9220" w14:textId="728ADB70" w:rsidR="00604841" w:rsidRPr="001E3B81" w:rsidRDefault="00604841" w:rsidP="00604841">
      <w:pPr>
        <w:pStyle w:val="FootnoteText"/>
        <w:ind w:firstLine="720"/>
        <w:jc w:val="both"/>
        <w:rPr>
          <w:rFonts w:ascii="Cambria" w:hAnsi="Cambria" w:cs="Arial Hebrew"/>
          <w:i/>
          <w:iCs/>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This </w:t>
      </w:r>
      <w:r w:rsidR="001E3B81">
        <w:rPr>
          <w:rFonts w:ascii="Cambria" w:hAnsi="Cambria" w:cs="Arial Hebrew"/>
          <w:sz w:val="18"/>
          <w:szCs w:val="18"/>
        </w:rPr>
        <w:t xml:space="preserve">is because the relative value of public services cannot be inferred using market prices. </w:t>
      </w:r>
    </w:p>
  </w:footnote>
  <w:footnote w:id="27">
    <w:p w14:paraId="744ACEB0" w14:textId="5CF50C73" w:rsidR="00291C10" w:rsidRPr="007C5D03" w:rsidRDefault="00291C10" w:rsidP="00291C10">
      <w:pPr>
        <w:pStyle w:val="FootnoteText"/>
        <w:ind w:firstLine="720"/>
        <w:rPr>
          <w:rFonts w:ascii="Arial Hebrew" w:hAnsi="Arial Hebrew" w:cs="Arial Hebrew"/>
          <w:sz w:val="18"/>
          <w:szCs w:val="18"/>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Pr="007C5D03">
        <w:rPr>
          <w:rFonts w:ascii="Arial Hebrew" w:hAnsi="Arial Hebrew" w:cs="Arial Hebrew" w:hint="cs"/>
          <w:color w:val="000000" w:themeColor="text1"/>
          <w:sz w:val="18"/>
          <w:szCs w:val="18"/>
        </w:rPr>
        <w:t>Quality-adjustment indicators are usually objectively observable, but sometimes include post-transaction user-experience surveys.</w:t>
      </w:r>
      <w:r w:rsidR="00D9086B" w:rsidRPr="007C5D03">
        <w:rPr>
          <w:rFonts w:ascii="Arial Hebrew" w:hAnsi="Arial Hebrew" w:cs="Arial Hebrew" w:hint="cs"/>
          <w:color w:val="000000" w:themeColor="text1"/>
          <w:sz w:val="18"/>
          <w:szCs w:val="18"/>
        </w:rPr>
        <w:t xml:space="preserve"> Some countries publish extensive quality indicators as standalone statistical releases without using them for output volume adjustments.</w:t>
      </w:r>
    </w:p>
  </w:footnote>
  <w:footnote w:id="28">
    <w:p w14:paraId="7CD4B233" w14:textId="0BC4D37A" w:rsidR="003A5817" w:rsidRPr="003A5817" w:rsidRDefault="003A5817" w:rsidP="003A5817">
      <w:pPr>
        <w:pStyle w:val="FootnoteText"/>
        <w:ind w:firstLine="720"/>
        <w:rPr>
          <w:rFonts w:ascii="Arial Hebrew" w:hAnsi="Arial Hebrew" w:cs="Arial Hebrew"/>
          <w:sz w:val="18"/>
          <w:szCs w:val="18"/>
          <w:lang w:val="en-US"/>
        </w:rPr>
      </w:pPr>
      <w:r w:rsidRPr="003A5817">
        <w:rPr>
          <w:rStyle w:val="FootnoteReference"/>
          <w:rFonts w:ascii="Arial Hebrew" w:hAnsi="Arial Hebrew" w:cs="Arial Hebrew" w:hint="cs"/>
          <w:sz w:val="18"/>
          <w:szCs w:val="18"/>
        </w:rPr>
        <w:footnoteRef/>
      </w:r>
      <w:r w:rsidRPr="003A5817">
        <w:rPr>
          <w:rFonts w:ascii="Arial Hebrew" w:hAnsi="Arial Hebrew" w:cs="Arial Hebrew" w:hint="cs"/>
          <w:sz w:val="18"/>
          <w:szCs w:val="18"/>
        </w:rPr>
        <w:t xml:space="preserve"> </w:t>
      </w:r>
      <w:r w:rsidRPr="003A5817">
        <w:rPr>
          <w:rFonts w:ascii="Arial Hebrew" w:hAnsi="Arial Hebrew" w:cs="Arial Hebrew" w:hint="cs"/>
          <w:sz w:val="18"/>
          <w:szCs w:val="18"/>
          <w:lang w:val="en-US"/>
        </w:rPr>
        <w:t>The Nordic countries publish extensive public service quality statistics</w:t>
      </w:r>
      <w:r>
        <w:rPr>
          <w:rFonts w:ascii="Arial Hebrew" w:hAnsi="Arial Hebrew" w:cs="Arial Hebrew"/>
          <w:sz w:val="18"/>
          <w:szCs w:val="18"/>
          <w:lang w:val="en-US"/>
        </w:rPr>
        <w:t xml:space="preserve"> </w:t>
      </w:r>
      <w:r>
        <w:rPr>
          <w:rFonts w:ascii="Cambria" w:hAnsi="Cambria" w:cs="Arial Hebrew"/>
          <w:sz w:val="18"/>
          <w:szCs w:val="18"/>
          <w:lang w:val="en-US"/>
        </w:rPr>
        <w:t>through specialised agencies, but these</w:t>
      </w:r>
      <w:r w:rsidRPr="003A5817">
        <w:rPr>
          <w:rFonts w:ascii="Arial Hebrew" w:hAnsi="Arial Hebrew" w:cs="Arial Hebrew" w:hint="cs"/>
          <w:sz w:val="18"/>
          <w:szCs w:val="18"/>
          <w:lang w:val="en-US"/>
        </w:rPr>
        <w:t xml:space="preserve"> are not generally used for constructing productivity indices.</w:t>
      </w:r>
    </w:p>
  </w:footnote>
  <w:footnote w:id="29">
    <w:p w14:paraId="23B7DFAD" w14:textId="3DCD9D2C" w:rsidR="00291C10" w:rsidRPr="007C5D03" w:rsidRDefault="00291C10" w:rsidP="00291C10">
      <w:pPr>
        <w:pStyle w:val="FootnoteText"/>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Notwithstanding that such time lags are not </w:t>
      </w:r>
      <w:r w:rsidR="0095758E" w:rsidRPr="007C5D03">
        <w:rPr>
          <w:rFonts w:ascii="Arial Hebrew" w:hAnsi="Arial Hebrew" w:cs="Arial Hebrew" w:hint="cs"/>
          <w:sz w:val="18"/>
          <w:szCs w:val="18"/>
        </w:rPr>
        <w:t xml:space="preserve">actually </w:t>
      </w:r>
      <w:r w:rsidRPr="007C5D03">
        <w:rPr>
          <w:rFonts w:ascii="Arial Hebrew" w:hAnsi="Arial Hebrew" w:cs="Arial Hebrew" w:hint="cs"/>
          <w:sz w:val="18"/>
          <w:szCs w:val="18"/>
        </w:rPr>
        <w:t>worse than those associated with the indicators that credit ratings agencies currently rely upon for assessments of institutional and governance quality.</w:t>
      </w:r>
    </w:p>
  </w:footnote>
  <w:footnote w:id="30">
    <w:p w14:paraId="568057FB" w14:textId="6D09D07F" w:rsidR="005E69DC" w:rsidRPr="007C5D03" w:rsidRDefault="005E69DC" w:rsidP="00145B67">
      <w:pPr>
        <w:ind w:firstLine="720"/>
        <w:rPr>
          <w:rFonts w:ascii="Arial Hebrew" w:hAnsi="Arial Hebrew" w:cs="Arial Hebrew"/>
          <w:sz w:val="18"/>
          <w:szCs w:val="18"/>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145B67" w:rsidRPr="007C5D03">
        <w:rPr>
          <w:rFonts w:ascii="Arial Hebrew" w:hAnsi="Arial Hebrew" w:cs="Arial Hebrew" w:hint="cs"/>
          <w:sz w:val="18"/>
          <w:szCs w:val="18"/>
        </w:rPr>
        <w:t xml:space="preserve">Government services account for a large share of economic activity, and higher-quality public services boost long-run growth by lowering business transaction costs, improving resource allocation, and building human capital. </w:t>
      </w:r>
      <w:r w:rsidR="005E7234" w:rsidRPr="007C5D03">
        <w:rPr>
          <w:rFonts w:ascii="Arial Hebrew" w:hAnsi="Arial Hebrew" w:cs="Arial Hebrew" w:hint="cs"/>
          <w:sz w:val="18"/>
          <w:szCs w:val="18"/>
        </w:rPr>
        <w:t xml:space="preserve">Because internationally-standardised service-quality metrics are limited, cross-country studies often rely on expenditure composition (Gupta et al. 2005; Baldacci et al. 2008; Egert, Kozluk &amp; Sutherland 2009) or human-capital proxies (standardised-measures of educational attainment in Hanushek &amp; Woessmann; health outcome statistics in Bloom, Canning &amp; Sevilla 2004). </w:t>
      </w:r>
      <w:r w:rsidR="00145B67" w:rsidRPr="007C5D03">
        <w:rPr>
          <w:rFonts w:ascii="Arial Hebrew" w:hAnsi="Arial Hebrew" w:cs="Arial Hebrew" w:hint="cs"/>
          <w:sz w:val="18"/>
          <w:szCs w:val="18"/>
        </w:rPr>
        <w:t>S</w:t>
      </w:r>
      <w:r w:rsidR="005E7234" w:rsidRPr="007C5D03">
        <w:rPr>
          <w:rFonts w:ascii="Arial Hebrew" w:hAnsi="Arial Hebrew" w:cs="Arial Hebrew" w:hint="cs"/>
          <w:sz w:val="18"/>
          <w:szCs w:val="18"/>
        </w:rPr>
        <w:t>ubnational studies have found s</w:t>
      </w:r>
      <w:r w:rsidR="00145B67" w:rsidRPr="007C5D03">
        <w:rPr>
          <w:rFonts w:ascii="Arial Hebrew" w:hAnsi="Arial Hebrew" w:cs="Arial Hebrew" w:hint="cs"/>
          <w:sz w:val="18"/>
          <w:szCs w:val="18"/>
        </w:rPr>
        <w:t xml:space="preserve">imilar patterns (Charron, Lapuente &amp; Rothstein 2019). </w:t>
      </w:r>
    </w:p>
  </w:footnote>
  <w:footnote w:id="31">
    <w:p w14:paraId="309DDF1E" w14:textId="443F2847" w:rsidR="00830618" w:rsidRPr="007C5D03" w:rsidRDefault="00830618" w:rsidP="008C0104">
      <w:pPr>
        <w:pStyle w:val="FootnoteText"/>
        <w:ind w:firstLine="720"/>
        <w:rPr>
          <w:rFonts w:ascii="Arial Hebrew" w:hAnsi="Arial Hebrew" w:cs="Arial Hebrew"/>
          <w:lang w:val="en-US"/>
        </w:rPr>
      </w:pPr>
      <w:r w:rsidRPr="007C5D03">
        <w:rPr>
          <w:rStyle w:val="FootnoteReference"/>
          <w:rFonts w:ascii="Arial Hebrew" w:hAnsi="Arial Hebrew" w:cs="Arial Hebrew" w:hint="cs"/>
          <w:sz w:val="18"/>
          <w:szCs w:val="18"/>
        </w:rPr>
        <w:footnoteRef/>
      </w:r>
      <w:r w:rsidRPr="007C5D03">
        <w:rPr>
          <w:rFonts w:ascii="Arial Hebrew" w:hAnsi="Arial Hebrew" w:cs="Arial Hebrew" w:hint="cs"/>
          <w:sz w:val="18"/>
          <w:szCs w:val="18"/>
        </w:rPr>
        <w:t xml:space="preserve"> </w:t>
      </w:r>
      <w:r w:rsidR="008B7E65" w:rsidRPr="007C5D03">
        <w:rPr>
          <w:rFonts w:ascii="Arial Hebrew" w:hAnsi="Arial Hebrew" w:cs="Arial Hebrew" w:hint="cs"/>
          <w:sz w:val="18"/>
          <w:szCs w:val="18"/>
        </w:rPr>
        <w:t xml:space="preserve">Austerity measures can be self-defeating where the output loss caused by expenditure cuts is large enough that debt ratios remain unchanged or even rise (causing a ‘downward spiral’ in creditworthiness). </w:t>
      </w:r>
      <w:r w:rsidR="008C0104" w:rsidRPr="007C5D03">
        <w:rPr>
          <w:rFonts w:ascii="Arial Hebrew" w:hAnsi="Arial Hebrew" w:cs="Arial Hebrew" w:hint="cs"/>
          <w:sz w:val="18"/>
          <w:szCs w:val="18"/>
        </w:rPr>
        <w:t xml:space="preserve">International evidence places average fiscal multipliers </w:t>
      </w:r>
      <w:r w:rsidR="00DF7C94" w:rsidRPr="007C5D03">
        <w:rPr>
          <w:rFonts w:ascii="Arial Hebrew" w:hAnsi="Arial Hebrew" w:cs="Arial Hebrew" w:hint="cs"/>
          <w:sz w:val="18"/>
          <w:szCs w:val="18"/>
        </w:rPr>
        <w:t>as equal than or greater to</w:t>
      </w:r>
      <w:r w:rsidR="008C0104" w:rsidRPr="007C5D03">
        <w:rPr>
          <w:rFonts w:ascii="Arial Hebrew" w:hAnsi="Arial Hebrew" w:cs="Arial Hebrew" w:hint="cs"/>
          <w:sz w:val="18"/>
          <w:szCs w:val="18"/>
        </w:rPr>
        <w:t xml:space="preserve"> one and confirms that consolidations sharply contract private demand</w:t>
      </w:r>
      <w:r w:rsidR="00DF7C94" w:rsidRPr="007C5D03">
        <w:rPr>
          <w:rFonts w:ascii="Arial Hebrew" w:hAnsi="Arial Hebrew" w:cs="Arial Hebrew" w:hint="cs"/>
          <w:sz w:val="18"/>
          <w:szCs w:val="18"/>
        </w:rPr>
        <w:t>, which can lift the debt-to-GDP ratio</w:t>
      </w:r>
      <w:r w:rsidR="008C0104" w:rsidRPr="007C5D03">
        <w:rPr>
          <w:rFonts w:ascii="Arial Hebrew" w:hAnsi="Arial Hebrew" w:cs="Arial Hebrew" w:hint="cs"/>
          <w:sz w:val="18"/>
          <w:szCs w:val="18"/>
        </w:rPr>
        <w:t xml:space="preserve"> (</w:t>
      </w:r>
      <w:r w:rsidR="00DF7C94" w:rsidRPr="007C5D03">
        <w:rPr>
          <w:rFonts w:ascii="Arial Hebrew" w:hAnsi="Arial Hebrew" w:cs="Arial Hebrew" w:hint="cs"/>
          <w:sz w:val="18"/>
          <w:szCs w:val="18"/>
        </w:rPr>
        <w:t xml:space="preserve">Blanchard &amp; Leigh 2013, Eyraud &amp; Weber 2013, </w:t>
      </w:r>
      <w:r w:rsidR="008C0104" w:rsidRPr="007C5D03">
        <w:rPr>
          <w:rFonts w:ascii="Arial Hebrew" w:hAnsi="Arial Hebrew" w:cs="Arial Hebrew" w:hint="cs"/>
          <w:sz w:val="18"/>
          <w:szCs w:val="18"/>
        </w:rPr>
        <w:t>Guajardo, Leigh &amp; Pescatori 2014</w:t>
      </w:r>
      <w:r w:rsidR="00DF7C94" w:rsidRPr="007C5D03">
        <w:rPr>
          <w:rFonts w:ascii="Arial Hebrew" w:hAnsi="Arial Hebrew" w:cs="Arial Hebrew" w:hint="cs"/>
          <w:sz w:val="18"/>
          <w:szCs w:val="18"/>
        </w:rPr>
        <w:t xml:space="preserve">, </w:t>
      </w:r>
      <w:r w:rsidR="008C0104" w:rsidRPr="007C5D03">
        <w:rPr>
          <w:rFonts w:ascii="Arial Hebrew" w:hAnsi="Arial Hebrew" w:cs="Arial Hebrew" w:hint="cs"/>
          <w:sz w:val="18"/>
          <w:szCs w:val="18"/>
        </w:rPr>
        <w:t>Jord</w:t>
      </w:r>
      <w:r w:rsidR="00DF7C94" w:rsidRPr="007C5D03">
        <w:rPr>
          <w:rFonts w:ascii="Arial Hebrew" w:hAnsi="Arial Hebrew" w:cs="Arial Hebrew" w:hint="cs"/>
          <w:sz w:val="18"/>
          <w:szCs w:val="18"/>
        </w:rPr>
        <w:t>a</w:t>
      </w:r>
      <w:r w:rsidR="008C0104" w:rsidRPr="007C5D03">
        <w:rPr>
          <w:rFonts w:ascii="Arial Hebrew" w:hAnsi="Arial Hebrew" w:cs="Arial Hebrew" w:hint="cs"/>
          <w:sz w:val="18"/>
          <w:szCs w:val="18"/>
        </w:rPr>
        <w:t xml:space="preserve"> &amp; Taylor 2016). Sub-national studies </w:t>
      </w:r>
      <w:r w:rsidR="00B96273" w:rsidRPr="007C5D03">
        <w:rPr>
          <w:rFonts w:ascii="Arial Hebrew" w:hAnsi="Arial Hebrew" w:cs="Arial Hebrew" w:hint="cs"/>
          <w:sz w:val="18"/>
          <w:szCs w:val="18"/>
        </w:rPr>
        <w:t xml:space="preserve">have </w:t>
      </w:r>
      <w:r w:rsidR="00DF7C94" w:rsidRPr="007C5D03">
        <w:rPr>
          <w:rFonts w:ascii="Arial Hebrew" w:hAnsi="Arial Hebrew" w:cs="Arial Hebrew" w:hint="cs"/>
          <w:sz w:val="18"/>
          <w:szCs w:val="18"/>
        </w:rPr>
        <w:t>show</w:t>
      </w:r>
      <w:r w:rsidR="00B96273" w:rsidRPr="007C5D03">
        <w:rPr>
          <w:rFonts w:ascii="Arial Hebrew" w:hAnsi="Arial Hebrew" w:cs="Arial Hebrew" w:hint="cs"/>
          <w:sz w:val="18"/>
          <w:szCs w:val="18"/>
        </w:rPr>
        <w:t>n</w:t>
      </w:r>
      <w:r w:rsidR="00DF7C94" w:rsidRPr="007C5D03">
        <w:rPr>
          <w:rFonts w:ascii="Arial Hebrew" w:hAnsi="Arial Hebrew" w:cs="Arial Hebrew" w:hint="cs"/>
          <w:sz w:val="18"/>
          <w:szCs w:val="18"/>
        </w:rPr>
        <w:t xml:space="preserve"> similar effects (</w:t>
      </w:r>
      <w:r w:rsidR="008C0104" w:rsidRPr="007C5D03">
        <w:rPr>
          <w:rFonts w:ascii="Arial Hebrew" w:hAnsi="Arial Hebrew" w:cs="Arial Hebrew" w:hint="cs"/>
          <w:sz w:val="18"/>
          <w:szCs w:val="18"/>
        </w:rPr>
        <w:t>Su</w:t>
      </w:r>
      <w:r w:rsidR="00DF7C94" w:rsidRPr="007C5D03">
        <w:rPr>
          <w:rFonts w:ascii="Arial Hebrew" w:hAnsi="Arial Hebrew" w:cs="Arial Hebrew" w:hint="cs"/>
          <w:sz w:val="18"/>
          <w:szCs w:val="18"/>
        </w:rPr>
        <w:t>a</w:t>
      </w:r>
      <w:r w:rsidR="008C0104" w:rsidRPr="007C5D03">
        <w:rPr>
          <w:rFonts w:ascii="Arial Hebrew" w:hAnsi="Arial Hebrew" w:cs="Arial Hebrew" w:hint="cs"/>
          <w:sz w:val="18"/>
          <w:szCs w:val="18"/>
        </w:rPr>
        <w:t>rez</w:t>
      </w:r>
      <w:r w:rsidR="00DF7C94" w:rsidRPr="007C5D03">
        <w:rPr>
          <w:rFonts w:ascii="Arial Hebrew" w:hAnsi="Arial Hebrew" w:cs="Arial Hebrew" w:hint="cs"/>
          <w:sz w:val="18"/>
          <w:szCs w:val="18"/>
        </w:rPr>
        <w:t>,</w:t>
      </w:r>
      <w:r w:rsidR="008C0104" w:rsidRPr="007C5D03">
        <w:rPr>
          <w:rFonts w:ascii="Arial Hebrew" w:hAnsi="Arial Hebrew" w:cs="Arial Hebrew" w:hint="cs"/>
          <w:sz w:val="18"/>
          <w:szCs w:val="18"/>
        </w:rPr>
        <w:t xml:space="preserve"> Serrato </w:t>
      </w:r>
      <w:r w:rsidR="00DF7C94" w:rsidRPr="007C5D03">
        <w:rPr>
          <w:rFonts w:ascii="Arial Hebrew" w:hAnsi="Arial Hebrew" w:cs="Arial Hebrew" w:hint="cs"/>
          <w:sz w:val="18"/>
          <w:szCs w:val="18"/>
        </w:rPr>
        <w:t>and</w:t>
      </w:r>
      <w:r w:rsidR="008C0104" w:rsidRPr="007C5D03">
        <w:rPr>
          <w:rFonts w:ascii="Arial Hebrew" w:hAnsi="Arial Hebrew" w:cs="Arial Hebrew" w:hint="cs"/>
          <w:sz w:val="18"/>
          <w:szCs w:val="18"/>
        </w:rPr>
        <w:t xml:space="preserve"> Wingender 2016)</w:t>
      </w:r>
      <w:r w:rsidR="00334CA3">
        <w:rPr>
          <w:rFonts w:ascii="Arial Hebrew" w:hAnsi="Arial Hebrew" w:cs="Arial Hebrew"/>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504"/>
    <w:multiLevelType w:val="hybridMultilevel"/>
    <w:tmpl w:val="8B188598"/>
    <w:lvl w:ilvl="0" w:tplc="567EB1D2">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8C19AA"/>
    <w:multiLevelType w:val="hybridMultilevel"/>
    <w:tmpl w:val="ED7415CC"/>
    <w:lvl w:ilvl="0" w:tplc="0809000F">
      <w:start w:val="1"/>
      <w:numFmt w:val="decimal"/>
      <w:lvlText w:val="%1."/>
      <w:lvlJc w:val="left"/>
      <w:pPr>
        <w:ind w:left="720" w:hanging="360"/>
      </w:pPr>
      <w:rPr>
        <w:rFonts w:hint="default"/>
      </w:rPr>
    </w:lvl>
    <w:lvl w:ilvl="1" w:tplc="469403FE">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FE11E6"/>
    <w:multiLevelType w:val="hybridMultilevel"/>
    <w:tmpl w:val="8A58B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976A24"/>
    <w:multiLevelType w:val="multilevel"/>
    <w:tmpl w:val="4BFC600E"/>
    <w:styleLink w:val="CurrentList2"/>
    <w:lvl w:ilvl="0">
      <w:start w:val="1"/>
      <w:numFmt w:val="bullet"/>
      <w:lvlText w:val=""/>
      <w:lvlJc w:val="left"/>
      <w:pPr>
        <w:ind w:left="108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23"/>
      </w:pPr>
      <w:rPr>
        <w:rFonts w:ascii="Symbol" w:hAnsi="Symbol" w:hint="default"/>
      </w:rPr>
    </w:lvl>
    <w:lvl w:ilvl="3">
      <w:start w:val="1"/>
      <w:numFmt w:val="bullet"/>
      <w:lvlText w:val="o"/>
      <w:lvlJc w:val="left"/>
      <w:pPr>
        <w:ind w:left="360" w:hanging="360"/>
      </w:pPr>
      <w:rPr>
        <w:rFonts w:ascii="Courier New" w:hAnsi="Courier New" w:hint="default"/>
      </w:rPr>
    </w:lvl>
    <w:lvl w:ilvl="4">
      <w:start w:val="1"/>
      <w:numFmt w:val="bullet"/>
      <w:lvlText w:val="o"/>
      <w:lvlJc w:val="left"/>
      <w:pPr>
        <w:ind w:left="513" w:firstLine="207"/>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3F7C79"/>
    <w:multiLevelType w:val="hybridMultilevel"/>
    <w:tmpl w:val="E162FACA"/>
    <w:lvl w:ilvl="0" w:tplc="02F01852">
      <w:start w:val="1"/>
      <w:numFmt w:val="bullet"/>
      <w:lvlText w:val=""/>
      <w:lvlJc w:val="left"/>
      <w:pPr>
        <w:ind w:left="170" w:firstLine="91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03285"/>
    <w:multiLevelType w:val="hybridMultilevel"/>
    <w:tmpl w:val="9466B5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A410A02"/>
    <w:multiLevelType w:val="hybridMultilevel"/>
    <w:tmpl w:val="0EEA643C"/>
    <w:lvl w:ilvl="0" w:tplc="FFFFFFFF">
      <w:start w:val="1"/>
      <w:numFmt w:val="decimal"/>
      <w:lvlText w:val="%1."/>
      <w:lvlJc w:val="left"/>
      <w:pPr>
        <w:ind w:left="720" w:hanging="360"/>
      </w:pPr>
    </w:lvl>
    <w:lvl w:ilvl="1" w:tplc="B59EE5D4">
      <w:start w:val="1"/>
      <w:numFmt w:val="decimal"/>
      <w:lvlText w:val="%2."/>
      <w:lvlJc w:val="left"/>
      <w:pPr>
        <w:ind w:left="1440" w:hanging="360"/>
      </w:pPr>
      <w:rPr>
        <w:b w:val="0"/>
        <w:bCs w:val="0"/>
        <w:i/>
        <w:i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8C408A"/>
    <w:multiLevelType w:val="hybridMultilevel"/>
    <w:tmpl w:val="0F7C7602"/>
    <w:lvl w:ilvl="0" w:tplc="08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0C402F98"/>
    <w:multiLevelType w:val="hybridMultilevel"/>
    <w:tmpl w:val="12AA5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C1685D"/>
    <w:multiLevelType w:val="hybridMultilevel"/>
    <w:tmpl w:val="211E00E6"/>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4D13B8"/>
    <w:multiLevelType w:val="hybridMultilevel"/>
    <w:tmpl w:val="4C68B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821713"/>
    <w:multiLevelType w:val="hybridMultilevel"/>
    <w:tmpl w:val="EC3E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927FE5"/>
    <w:multiLevelType w:val="hybridMultilevel"/>
    <w:tmpl w:val="94E6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8975F9"/>
    <w:multiLevelType w:val="hybridMultilevel"/>
    <w:tmpl w:val="693EE6D2"/>
    <w:lvl w:ilvl="0" w:tplc="5BA075EE">
      <w:start w:val="1"/>
      <w:numFmt w:val="bullet"/>
      <w:lvlText w:val=""/>
      <w:lvlJc w:val="left"/>
      <w:pPr>
        <w:ind w:left="284"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EB2AFE"/>
    <w:multiLevelType w:val="multilevel"/>
    <w:tmpl w:val="33A4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02E40"/>
    <w:multiLevelType w:val="hybridMultilevel"/>
    <w:tmpl w:val="2FD2F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2513922"/>
    <w:multiLevelType w:val="hybridMultilevel"/>
    <w:tmpl w:val="B83458CA"/>
    <w:lvl w:ilvl="0" w:tplc="4C76C8E0">
      <w:start w:val="3"/>
      <w:numFmt w:val="bullet"/>
      <w:lvlText w:val="-"/>
      <w:lvlJc w:val="left"/>
      <w:pPr>
        <w:ind w:left="400" w:hanging="360"/>
      </w:pPr>
      <w:rPr>
        <w:rFonts w:ascii="Arial" w:eastAsiaTheme="minorEastAsia" w:hAnsi="Arial" w:cs="Arial" w:hint="default"/>
        <w:color w:val="auto"/>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7" w15:restartNumberingAfterBreak="0">
    <w:nsid w:val="23DE26DA"/>
    <w:multiLevelType w:val="hybridMultilevel"/>
    <w:tmpl w:val="47E0EFAA"/>
    <w:lvl w:ilvl="0" w:tplc="F27ACC84">
      <w:start w:val="1"/>
      <w:numFmt w:val="decimal"/>
      <w:lvlText w:val="%1."/>
      <w:lvlJc w:val="left"/>
      <w:pPr>
        <w:ind w:left="720" w:hanging="360"/>
      </w:pPr>
      <w:rPr>
        <w:rFonts w:hint="default"/>
        <w:b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6E5780"/>
    <w:multiLevelType w:val="multilevel"/>
    <w:tmpl w:val="221A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E75E15"/>
    <w:multiLevelType w:val="hybridMultilevel"/>
    <w:tmpl w:val="14E4E1C6"/>
    <w:lvl w:ilvl="0" w:tplc="79E0FA5A">
      <w:start w:val="1"/>
      <w:numFmt w:val="bullet"/>
      <w:lvlText w:val=""/>
      <w:lvlJc w:val="left"/>
      <w:pPr>
        <w:ind w:left="1054" w:hanging="227"/>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20"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8D53E06"/>
    <w:multiLevelType w:val="hybridMultilevel"/>
    <w:tmpl w:val="45B45A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0E18A6"/>
    <w:multiLevelType w:val="multilevel"/>
    <w:tmpl w:val="33CC65F8"/>
    <w:numStyleLink w:val="CurrentList1"/>
  </w:abstractNum>
  <w:abstractNum w:abstractNumId="23" w15:restartNumberingAfterBreak="0">
    <w:nsid w:val="2E03611E"/>
    <w:multiLevelType w:val="hybridMultilevel"/>
    <w:tmpl w:val="04220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D84AC1"/>
    <w:multiLevelType w:val="multilevel"/>
    <w:tmpl w:val="3F0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73477DB"/>
    <w:multiLevelType w:val="hybridMultilevel"/>
    <w:tmpl w:val="C1F6B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9FC459C"/>
    <w:multiLevelType w:val="hybridMultilevel"/>
    <w:tmpl w:val="348C6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A244070"/>
    <w:multiLevelType w:val="hybridMultilevel"/>
    <w:tmpl w:val="D0C0CEC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23"/>
      </w:pPr>
      <w:rPr>
        <w:rFonts w:ascii="Symbol" w:hAnsi="Symbol" w:hint="default"/>
      </w:rPr>
    </w:lvl>
    <w:lvl w:ilvl="3" w:tplc="FFFFFFFF">
      <w:start w:val="1"/>
      <w:numFmt w:val="bullet"/>
      <w:lvlText w:val="o"/>
      <w:lvlJc w:val="left"/>
      <w:pPr>
        <w:ind w:left="360" w:hanging="360"/>
      </w:pPr>
      <w:rPr>
        <w:rFonts w:ascii="Courier New" w:hAnsi="Courier New" w:hint="default"/>
      </w:rPr>
    </w:lvl>
    <w:lvl w:ilvl="4" w:tplc="FFFFFFFF">
      <w:start w:val="1"/>
      <w:numFmt w:val="bullet"/>
      <w:lvlText w:val="o"/>
      <w:lvlJc w:val="left"/>
      <w:pPr>
        <w:ind w:left="513" w:firstLine="207"/>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3AAA415D"/>
    <w:multiLevelType w:val="hybridMultilevel"/>
    <w:tmpl w:val="4E68464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DA08DE54">
      <w:start w:val="1"/>
      <w:numFmt w:val="bullet"/>
      <w:lvlText w:val=""/>
      <w:lvlJc w:val="left"/>
      <w:pPr>
        <w:ind w:left="720" w:hanging="323"/>
      </w:pPr>
      <w:rPr>
        <w:rFonts w:ascii="Symbol" w:hAnsi="Symbol" w:hint="default"/>
      </w:rPr>
    </w:lvl>
    <w:lvl w:ilvl="3" w:tplc="08090003">
      <w:start w:val="1"/>
      <w:numFmt w:val="bullet"/>
      <w:lvlText w:val="o"/>
      <w:lvlJc w:val="left"/>
      <w:pPr>
        <w:ind w:left="720" w:hanging="360"/>
      </w:pPr>
      <w:rPr>
        <w:rFonts w:ascii="Courier New" w:hAnsi="Courier New" w:hint="default"/>
      </w:rPr>
    </w:lvl>
    <w:lvl w:ilvl="4" w:tplc="B412A532">
      <w:start w:val="1"/>
      <w:numFmt w:val="bullet"/>
      <w:lvlText w:val="o"/>
      <w:lvlJc w:val="left"/>
      <w:pPr>
        <w:ind w:left="873" w:firstLine="207"/>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0" w15:restartNumberingAfterBreak="0">
    <w:nsid w:val="3ABE57BD"/>
    <w:multiLevelType w:val="hybridMultilevel"/>
    <w:tmpl w:val="49049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F007C2"/>
    <w:multiLevelType w:val="hybridMultilevel"/>
    <w:tmpl w:val="826045A8"/>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DD0133A"/>
    <w:multiLevelType w:val="hybridMultilevel"/>
    <w:tmpl w:val="814E2926"/>
    <w:lvl w:ilvl="0" w:tplc="D3F4B3F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DED5D9F"/>
    <w:multiLevelType w:val="hybridMultilevel"/>
    <w:tmpl w:val="4B5EC7A4"/>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3F2A6D97"/>
    <w:multiLevelType w:val="multilevel"/>
    <w:tmpl w:val="1A3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FB42D9"/>
    <w:multiLevelType w:val="hybridMultilevel"/>
    <w:tmpl w:val="7C707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1005139"/>
    <w:multiLevelType w:val="hybridMultilevel"/>
    <w:tmpl w:val="1D1400D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1047F1F"/>
    <w:multiLevelType w:val="hybridMultilevel"/>
    <w:tmpl w:val="E214D042"/>
    <w:lvl w:ilvl="0" w:tplc="1F7644DA">
      <w:start w:val="1"/>
      <w:numFmt w:val="decimal"/>
      <w:lvlText w:val="%1."/>
      <w:lvlJc w:val="left"/>
      <w:pPr>
        <w:ind w:left="720" w:hanging="360"/>
      </w:pPr>
      <w:rPr>
        <w:rFonts w:hint="default"/>
        <w:i w:val="0"/>
        <w:iCs w:val="0"/>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1342F07"/>
    <w:multiLevelType w:val="hybridMultilevel"/>
    <w:tmpl w:val="C9C0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AA1029"/>
    <w:multiLevelType w:val="hybridMultilevel"/>
    <w:tmpl w:val="39341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D00364B"/>
    <w:multiLevelType w:val="hybridMultilevel"/>
    <w:tmpl w:val="26969EDC"/>
    <w:lvl w:ilvl="0" w:tplc="1F902A3C">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D945DE5"/>
    <w:multiLevelType w:val="multilevel"/>
    <w:tmpl w:val="221A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0F6348"/>
    <w:multiLevelType w:val="multilevel"/>
    <w:tmpl w:val="204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A145F8"/>
    <w:multiLevelType w:val="hybridMultilevel"/>
    <w:tmpl w:val="18A853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4FAF3751"/>
    <w:multiLevelType w:val="multilevel"/>
    <w:tmpl w:val="33CC65F8"/>
    <w:styleLink w:val="CurrentList1"/>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23"/>
      </w:pPr>
      <w:rPr>
        <w:rFonts w:ascii="Symbol" w:hAnsi="Symbol" w:hint="default"/>
      </w:rPr>
    </w:lvl>
    <w:lvl w:ilvl="3">
      <w:start w:val="1"/>
      <w:numFmt w:val="bullet"/>
      <w:lvlText w:val="o"/>
      <w:lvlJc w:val="left"/>
      <w:pPr>
        <w:ind w:left="720" w:hanging="360"/>
      </w:pPr>
      <w:rPr>
        <w:rFonts w:ascii="Courier New" w:hAnsi="Courier New" w:hint="default"/>
      </w:rPr>
    </w:lvl>
    <w:lvl w:ilvl="4">
      <w:start w:val="1"/>
      <w:numFmt w:val="bullet"/>
      <w:lvlText w:val="o"/>
      <w:lvlJc w:val="left"/>
      <w:pPr>
        <w:ind w:left="873" w:firstLine="207"/>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6" w15:restartNumberingAfterBreak="0">
    <w:nsid w:val="53CB6A3A"/>
    <w:multiLevelType w:val="hybridMultilevel"/>
    <w:tmpl w:val="39748A76"/>
    <w:lvl w:ilvl="0" w:tplc="89FC24E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56646F61"/>
    <w:multiLevelType w:val="hybridMultilevel"/>
    <w:tmpl w:val="BE7AF53E"/>
    <w:lvl w:ilvl="0" w:tplc="0809000F">
      <w:start w:val="1"/>
      <w:numFmt w:val="decimal"/>
      <w:lvlText w:val="%1."/>
      <w:lvlJc w:val="left"/>
      <w:pPr>
        <w:ind w:left="720" w:hanging="360"/>
      </w:pPr>
      <w:rPr>
        <w:rFonts w:hint="default"/>
      </w:rPr>
    </w:lvl>
    <w:lvl w:ilvl="1" w:tplc="08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56A36A18"/>
    <w:multiLevelType w:val="hybridMultilevel"/>
    <w:tmpl w:val="F926C8A6"/>
    <w:lvl w:ilvl="0" w:tplc="C1D8247E">
      <w:start w:val="1"/>
      <w:numFmt w:val="bullet"/>
      <w:lvlText w:val=""/>
      <w:lvlJc w:val="left"/>
      <w:pPr>
        <w:ind w:left="170"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E106142"/>
    <w:multiLevelType w:val="hybridMultilevel"/>
    <w:tmpl w:val="D9C04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E1D53AB"/>
    <w:multiLevelType w:val="hybridMultilevel"/>
    <w:tmpl w:val="05DAC0DC"/>
    <w:lvl w:ilvl="0" w:tplc="79E0FA5A">
      <w:start w:val="1"/>
      <w:numFmt w:val="bullet"/>
      <w:lvlText w:val=""/>
      <w:lvlJc w:val="left"/>
      <w:pPr>
        <w:ind w:left="1004" w:hanging="227"/>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5F8A0A71"/>
    <w:multiLevelType w:val="hybridMultilevel"/>
    <w:tmpl w:val="8A429804"/>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21C0819"/>
    <w:multiLevelType w:val="hybridMultilevel"/>
    <w:tmpl w:val="AE1E468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255162A"/>
    <w:multiLevelType w:val="hybridMultilevel"/>
    <w:tmpl w:val="D6A8AA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3C00D00"/>
    <w:multiLevelType w:val="hybridMultilevel"/>
    <w:tmpl w:val="008EBD98"/>
    <w:lvl w:ilvl="0" w:tplc="79E0FA5A">
      <w:start w:val="1"/>
      <w:numFmt w:val="bullet"/>
      <w:lvlText w:val=""/>
      <w:lvlJc w:val="left"/>
      <w:pPr>
        <w:ind w:left="284"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0B676A"/>
    <w:multiLevelType w:val="hybridMultilevel"/>
    <w:tmpl w:val="58E6E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6758647D"/>
    <w:multiLevelType w:val="multilevel"/>
    <w:tmpl w:val="BC1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724EA5"/>
    <w:multiLevelType w:val="hybridMultilevel"/>
    <w:tmpl w:val="B1046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6D797CC8"/>
    <w:multiLevelType w:val="hybridMultilevel"/>
    <w:tmpl w:val="34D8AE8C"/>
    <w:lvl w:ilvl="0" w:tplc="25FEEBE8">
      <w:start w:val="1"/>
      <w:numFmt w:val="bullet"/>
      <w:lvlText w:val=""/>
      <w:lvlJc w:val="left"/>
      <w:pPr>
        <w:ind w:left="1593" w:hanging="873"/>
      </w:pPr>
      <w:rPr>
        <w:rFonts w:ascii="Symbol" w:hAnsi="Symbol" w:hint="default"/>
      </w:rPr>
    </w:lvl>
    <w:lvl w:ilvl="1" w:tplc="08090003" w:tentative="1">
      <w:start w:val="1"/>
      <w:numFmt w:val="bullet"/>
      <w:lvlText w:val="o"/>
      <w:lvlJc w:val="left"/>
      <w:pPr>
        <w:ind w:left="1593" w:hanging="360"/>
      </w:pPr>
      <w:rPr>
        <w:rFonts w:ascii="Courier New" w:hAnsi="Courier New" w:cs="Courier New" w:hint="default"/>
      </w:rPr>
    </w:lvl>
    <w:lvl w:ilvl="2" w:tplc="08090005" w:tentative="1">
      <w:start w:val="1"/>
      <w:numFmt w:val="bullet"/>
      <w:lvlText w:val=""/>
      <w:lvlJc w:val="left"/>
      <w:pPr>
        <w:ind w:left="2313" w:hanging="360"/>
      </w:pPr>
      <w:rPr>
        <w:rFonts w:ascii="Wingdings" w:hAnsi="Wingdings" w:hint="default"/>
      </w:rPr>
    </w:lvl>
    <w:lvl w:ilvl="3" w:tplc="08090001" w:tentative="1">
      <w:start w:val="1"/>
      <w:numFmt w:val="bullet"/>
      <w:lvlText w:val=""/>
      <w:lvlJc w:val="left"/>
      <w:pPr>
        <w:ind w:left="3033" w:hanging="360"/>
      </w:pPr>
      <w:rPr>
        <w:rFonts w:ascii="Symbol" w:hAnsi="Symbol" w:hint="default"/>
      </w:rPr>
    </w:lvl>
    <w:lvl w:ilvl="4" w:tplc="08090003" w:tentative="1">
      <w:start w:val="1"/>
      <w:numFmt w:val="bullet"/>
      <w:lvlText w:val="o"/>
      <w:lvlJc w:val="left"/>
      <w:pPr>
        <w:ind w:left="3753" w:hanging="360"/>
      </w:pPr>
      <w:rPr>
        <w:rFonts w:ascii="Courier New" w:hAnsi="Courier New" w:cs="Courier New" w:hint="default"/>
      </w:rPr>
    </w:lvl>
    <w:lvl w:ilvl="5" w:tplc="08090005" w:tentative="1">
      <w:start w:val="1"/>
      <w:numFmt w:val="bullet"/>
      <w:lvlText w:val=""/>
      <w:lvlJc w:val="left"/>
      <w:pPr>
        <w:ind w:left="4473" w:hanging="360"/>
      </w:pPr>
      <w:rPr>
        <w:rFonts w:ascii="Wingdings" w:hAnsi="Wingdings" w:hint="default"/>
      </w:rPr>
    </w:lvl>
    <w:lvl w:ilvl="6" w:tplc="08090001" w:tentative="1">
      <w:start w:val="1"/>
      <w:numFmt w:val="bullet"/>
      <w:lvlText w:val=""/>
      <w:lvlJc w:val="left"/>
      <w:pPr>
        <w:ind w:left="5193" w:hanging="360"/>
      </w:pPr>
      <w:rPr>
        <w:rFonts w:ascii="Symbol" w:hAnsi="Symbol" w:hint="default"/>
      </w:rPr>
    </w:lvl>
    <w:lvl w:ilvl="7" w:tplc="08090003" w:tentative="1">
      <w:start w:val="1"/>
      <w:numFmt w:val="bullet"/>
      <w:lvlText w:val="o"/>
      <w:lvlJc w:val="left"/>
      <w:pPr>
        <w:ind w:left="5913" w:hanging="360"/>
      </w:pPr>
      <w:rPr>
        <w:rFonts w:ascii="Courier New" w:hAnsi="Courier New" w:cs="Courier New" w:hint="default"/>
      </w:rPr>
    </w:lvl>
    <w:lvl w:ilvl="8" w:tplc="08090005" w:tentative="1">
      <w:start w:val="1"/>
      <w:numFmt w:val="bullet"/>
      <w:lvlText w:val=""/>
      <w:lvlJc w:val="left"/>
      <w:pPr>
        <w:ind w:left="6633" w:hanging="360"/>
      </w:pPr>
      <w:rPr>
        <w:rFonts w:ascii="Wingdings" w:hAnsi="Wingdings" w:hint="default"/>
      </w:rPr>
    </w:lvl>
  </w:abstractNum>
  <w:abstractNum w:abstractNumId="59" w15:restartNumberingAfterBreak="0">
    <w:nsid w:val="6D8E2B03"/>
    <w:multiLevelType w:val="hybridMultilevel"/>
    <w:tmpl w:val="EE8C11C4"/>
    <w:lvl w:ilvl="0" w:tplc="5BA075EE">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710E7F15"/>
    <w:multiLevelType w:val="hybridMultilevel"/>
    <w:tmpl w:val="23CCA1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714E7ED1"/>
    <w:multiLevelType w:val="hybridMultilevel"/>
    <w:tmpl w:val="CC0A56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3" w15:restartNumberingAfterBreak="0">
    <w:nsid w:val="748F6AF9"/>
    <w:multiLevelType w:val="hybridMultilevel"/>
    <w:tmpl w:val="348C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F73BC0"/>
    <w:multiLevelType w:val="hybridMultilevel"/>
    <w:tmpl w:val="441436E0"/>
    <w:lvl w:ilvl="0" w:tplc="E018AB9C">
      <w:start w:val="1"/>
      <w:numFmt w:val="bullet"/>
      <w:lvlText w:val=""/>
      <w:lvlJc w:val="left"/>
      <w:pPr>
        <w:ind w:left="1440" w:hanging="1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C040853"/>
    <w:multiLevelType w:val="hybridMultilevel"/>
    <w:tmpl w:val="1CF2E0C6"/>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F953F81"/>
    <w:multiLevelType w:val="hybridMultilevel"/>
    <w:tmpl w:val="39389C36"/>
    <w:lvl w:ilvl="0" w:tplc="08090001">
      <w:start w:val="1"/>
      <w:numFmt w:val="bullet"/>
      <w:lvlText w:val=""/>
      <w:lvlJc w:val="left"/>
      <w:pPr>
        <w:ind w:left="1440" w:hanging="360"/>
      </w:pPr>
      <w:rPr>
        <w:rFonts w:ascii="Symbol" w:hAnsi="Symbol" w:hint="default"/>
      </w:rPr>
    </w:lvl>
    <w:lvl w:ilvl="1" w:tplc="FFFFFFF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081754907">
    <w:abstractNumId w:val="60"/>
  </w:num>
  <w:num w:numId="2" w16cid:durableId="728117856">
    <w:abstractNumId w:val="64"/>
  </w:num>
  <w:num w:numId="3" w16cid:durableId="837158990">
    <w:abstractNumId w:val="44"/>
  </w:num>
  <w:num w:numId="4" w16cid:durableId="1078213297">
    <w:abstractNumId w:val="57"/>
  </w:num>
  <w:num w:numId="5" w16cid:durableId="200048263">
    <w:abstractNumId w:val="55"/>
  </w:num>
  <w:num w:numId="6" w16cid:durableId="1576209216">
    <w:abstractNumId w:val="38"/>
  </w:num>
  <w:num w:numId="7" w16cid:durableId="600378160">
    <w:abstractNumId w:val="49"/>
  </w:num>
  <w:num w:numId="8" w16cid:durableId="20399753">
    <w:abstractNumId w:val="40"/>
  </w:num>
  <w:num w:numId="9" w16cid:durableId="1002242394">
    <w:abstractNumId w:val="36"/>
  </w:num>
  <w:num w:numId="10" w16cid:durableId="1125923010">
    <w:abstractNumId w:val="1"/>
  </w:num>
  <w:num w:numId="11" w16cid:durableId="836924970">
    <w:abstractNumId w:val="47"/>
  </w:num>
  <w:num w:numId="12" w16cid:durableId="1195002452">
    <w:abstractNumId w:val="25"/>
  </w:num>
  <w:num w:numId="13" w16cid:durableId="721100793">
    <w:abstractNumId w:val="37"/>
  </w:num>
  <w:num w:numId="14" w16cid:durableId="67465427">
    <w:abstractNumId w:val="16"/>
  </w:num>
  <w:num w:numId="15" w16cid:durableId="1672486290">
    <w:abstractNumId w:val="20"/>
  </w:num>
  <w:num w:numId="16" w16cid:durableId="1709797160">
    <w:abstractNumId w:val="21"/>
  </w:num>
  <w:num w:numId="17" w16cid:durableId="1679697614">
    <w:abstractNumId w:val="52"/>
  </w:num>
  <w:num w:numId="18" w16cid:durableId="1239249838">
    <w:abstractNumId w:val="30"/>
  </w:num>
  <w:num w:numId="19" w16cid:durableId="1958370648">
    <w:abstractNumId w:val="29"/>
  </w:num>
  <w:num w:numId="20" w16cid:durableId="1508863971">
    <w:abstractNumId w:val="45"/>
  </w:num>
  <w:num w:numId="21" w16cid:durableId="1316033921">
    <w:abstractNumId w:val="22"/>
  </w:num>
  <w:num w:numId="22" w16cid:durableId="953944466">
    <w:abstractNumId w:val="3"/>
  </w:num>
  <w:num w:numId="23" w16cid:durableId="1130129209">
    <w:abstractNumId w:val="28"/>
  </w:num>
  <w:num w:numId="24" w16cid:durableId="524098518">
    <w:abstractNumId w:val="14"/>
  </w:num>
  <w:num w:numId="25" w16cid:durableId="48307362">
    <w:abstractNumId w:val="24"/>
  </w:num>
  <w:num w:numId="26" w16cid:durableId="332925551">
    <w:abstractNumId w:val="43"/>
  </w:num>
  <w:num w:numId="27" w16cid:durableId="1314602586">
    <w:abstractNumId w:val="18"/>
  </w:num>
  <w:num w:numId="28" w16cid:durableId="184906961">
    <w:abstractNumId w:val="34"/>
  </w:num>
  <w:num w:numId="29" w16cid:durableId="1905795">
    <w:abstractNumId w:val="15"/>
  </w:num>
  <w:num w:numId="30" w16cid:durableId="1528716171">
    <w:abstractNumId w:val="26"/>
  </w:num>
  <w:num w:numId="31" w16cid:durableId="222107283">
    <w:abstractNumId w:val="35"/>
  </w:num>
  <w:num w:numId="32" w16cid:durableId="143664186">
    <w:abstractNumId w:val="63"/>
  </w:num>
  <w:num w:numId="33" w16cid:durableId="282005594">
    <w:abstractNumId w:val="6"/>
  </w:num>
  <w:num w:numId="34" w16cid:durableId="910695472">
    <w:abstractNumId w:val="17"/>
  </w:num>
  <w:num w:numId="35" w16cid:durableId="541794936">
    <w:abstractNumId w:val="7"/>
  </w:num>
  <w:num w:numId="36" w16cid:durableId="1279994917">
    <w:abstractNumId w:val="32"/>
  </w:num>
  <w:num w:numId="37" w16cid:durableId="609554424">
    <w:abstractNumId w:val="0"/>
  </w:num>
  <w:num w:numId="38" w16cid:durableId="237398757">
    <w:abstractNumId w:val="46"/>
  </w:num>
  <w:num w:numId="39" w16cid:durableId="60181482">
    <w:abstractNumId w:val="9"/>
  </w:num>
  <w:num w:numId="40" w16cid:durableId="1077290301">
    <w:abstractNumId w:val="51"/>
  </w:num>
  <w:num w:numId="41" w16cid:durableId="558832151">
    <w:abstractNumId w:val="11"/>
  </w:num>
  <w:num w:numId="42" w16cid:durableId="1299645492">
    <w:abstractNumId w:val="62"/>
  </w:num>
  <w:num w:numId="43" w16cid:durableId="2012831067">
    <w:abstractNumId w:val="33"/>
  </w:num>
  <w:num w:numId="44" w16cid:durableId="1899046721">
    <w:abstractNumId w:val="67"/>
  </w:num>
  <w:num w:numId="45" w16cid:durableId="2142112721">
    <w:abstractNumId w:val="66"/>
  </w:num>
  <w:num w:numId="46" w16cid:durableId="1605111703">
    <w:abstractNumId w:val="31"/>
  </w:num>
  <w:num w:numId="47" w16cid:durableId="51118972">
    <w:abstractNumId w:val="53"/>
  </w:num>
  <w:num w:numId="48" w16cid:durableId="422384047">
    <w:abstractNumId w:val="5"/>
  </w:num>
  <w:num w:numId="49" w16cid:durableId="1151827488">
    <w:abstractNumId w:val="27"/>
  </w:num>
  <w:num w:numId="50" w16cid:durableId="399063411">
    <w:abstractNumId w:val="23"/>
  </w:num>
  <w:num w:numId="51" w16cid:durableId="479420819">
    <w:abstractNumId w:val="10"/>
  </w:num>
  <w:num w:numId="52" w16cid:durableId="242882847">
    <w:abstractNumId w:val="58"/>
  </w:num>
  <w:num w:numId="53" w16cid:durableId="56361600">
    <w:abstractNumId w:val="2"/>
  </w:num>
  <w:num w:numId="54" w16cid:durableId="894270871">
    <w:abstractNumId w:val="56"/>
  </w:num>
  <w:num w:numId="55" w16cid:durableId="2117754048">
    <w:abstractNumId w:val="8"/>
  </w:num>
  <w:num w:numId="56" w16cid:durableId="2067489579">
    <w:abstractNumId w:val="65"/>
  </w:num>
  <w:num w:numId="57" w16cid:durableId="1878274297">
    <w:abstractNumId w:val="4"/>
  </w:num>
  <w:num w:numId="58" w16cid:durableId="1589851622">
    <w:abstractNumId w:val="48"/>
  </w:num>
  <w:num w:numId="59" w16cid:durableId="1186363656">
    <w:abstractNumId w:val="59"/>
  </w:num>
  <w:num w:numId="60" w16cid:durableId="994379589">
    <w:abstractNumId w:val="13"/>
  </w:num>
  <w:num w:numId="61" w16cid:durableId="308478645">
    <w:abstractNumId w:val="12"/>
  </w:num>
  <w:num w:numId="62" w16cid:durableId="1426925425">
    <w:abstractNumId w:val="42"/>
  </w:num>
  <w:num w:numId="63" w16cid:durableId="1117985401">
    <w:abstractNumId w:val="39"/>
  </w:num>
  <w:num w:numId="64" w16cid:durableId="1247613615">
    <w:abstractNumId w:val="61"/>
  </w:num>
  <w:num w:numId="65" w16cid:durableId="15934741">
    <w:abstractNumId w:val="41"/>
  </w:num>
  <w:num w:numId="66" w16cid:durableId="567879731">
    <w:abstractNumId w:val="54"/>
  </w:num>
  <w:num w:numId="67" w16cid:durableId="1974213705">
    <w:abstractNumId w:val="50"/>
  </w:num>
  <w:num w:numId="68" w16cid:durableId="1753234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017D1"/>
    <w:rsid w:val="00005E90"/>
    <w:rsid w:val="00007BCA"/>
    <w:rsid w:val="000101C3"/>
    <w:rsid w:val="00010254"/>
    <w:rsid w:val="00010870"/>
    <w:rsid w:val="000138C7"/>
    <w:rsid w:val="00015919"/>
    <w:rsid w:val="00015A87"/>
    <w:rsid w:val="0001796F"/>
    <w:rsid w:val="0002137D"/>
    <w:rsid w:val="000229E9"/>
    <w:rsid w:val="000259EB"/>
    <w:rsid w:val="00030ED8"/>
    <w:rsid w:val="0003412A"/>
    <w:rsid w:val="00040AB1"/>
    <w:rsid w:val="00042D90"/>
    <w:rsid w:val="00047547"/>
    <w:rsid w:val="00054930"/>
    <w:rsid w:val="000565F7"/>
    <w:rsid w:val="00066E37"/>
    <w:rsid w:val="00070C75"/>
    <w:rsid w:val="000806CF"/>
    <w:rsid w:val="00083E14"/>
    <w:rsid w:val="00084C52"/>
    <w:rsid w:val="000862AA"/>
    <w:rsid w:val="00086625"/>
    <w:rsid w:val="000906E4"/>
    <w:rsid w:val="00094126"/>
    <w:rsid w:val="00097826"/>
    <w:rsid w:val="000B0E8A"/>
    <w:rsid w:val="000B4B45"/>
    <w:rsid w:val="000B50F8"/>
    <w:rsid w:val="000B73F8"/>
    <w:rsid w:val="000C4591"/>
    <w:rsid w:val="000C46A5"/>
    <w:rsid w:val="000D67D3"/>
    <w:rsid w:val="000E0B77"/>
    <w:rsid w:val="000E2CEE"/>
    <w:rsid w:val="000E5EBA"/>
    <w:rsid w:val="000F0B70"/>
    <w:rsid w:val="000F25EB"/>
    <w:rsid w:val="000F55EC"/>
    <w:rsid w:val="001003A1"/>
    <w:rsid w:val="00103272"/>
    <w:rsid w:val="00107BBA"/>
    <w:rsid w:val="00113D50"/>
    <w:rsid w:val="001140EA"/>
    <w:rsid w:val="00115149"/>
    <w:rsid w:val="00117C4A"/>
    <w:rsid w:val="00120C8E"/>
    <w:rsid w:val="00123887"/>
    <w:rsid w:val="001242B1"/>
    <w:rsid w:val="00127609"/>
    <w:rsid w:val="001305AD"/>
    <w:rsid w:val="00135D46"/>
    <w:rsid w:val="00145B67"/>
    <w:rsid w:val="001461B9"/>
    <w:rsid w:val="00147D0A"/>
    <w:rsid w:val="00156515"/>
    <w:rsid w:val="001641A5"/>
    <w:rsid w:val="0017793C"/>
    <w:rsid w:val="00180F51"/>
    <w:rsid w:val="00180F9C"/>
    <w:rsid w:val="00184B6A"/>
    <w:rsid w:val="00193366"/>
    <w:rsid w:val="00196050"/>
    <w:rsid w:val="001968C3"/>
    <w:rsid w:val="001975B5"/>
    <w:rsid w:val="001A1BC5"/>
    <w:rsid w:val="001A1E20"/>
    <w:rsid w:val="001A2CF6"/>
    <w:rsid w:val="001A3158"/>
    <w:rsid w:val="001A7076"/>
    <w:rsid w:val="001B5563"/>
    <w:rsid w:val="001B7EBD"/>
    <w:rsid w:val="001C2F06"/>
    <w:rsid w:val="001C35F9"/>
    <w:rsid w:val="001C5C2C"/>
    <w:rsid w:val="001D11EB"/>
    <w:rsid w:val="001D19D6"/>
    <w:rsid w:val="001D7656"/>
    <w:rsid w:val="001E3B81"/>
    <w:rsid w:val="001F3782"/>
    <w:rsid w:val="001F5006"/>
    <w:rsid w:val="00201D5D"/>
    <w:rsid w:val="00203174"/>
    <w:rsid w:val="0020496B"/>
    <w:rsid w:val="00207D3F"/>
    <w:rsid w:val="0021376F"/>
    <w:rsid w:val="00213C2A"/>
    <w:rsid w:val="0021681E"/>
    <w:rsid w:val="002175AB"/>
    <w:rsid w:val="002202D4"/>
    <w:rsid w:val="002228C4"/>
    <w:rsid w:val="00234E34"/>
    <w:rsid w:val="002378F1"/>
    <w:rsid w:val="00242803"/>
    <w:rsid w:val="00242AAE"/>
    <w:rsid w:val="0024328A"/>
    <w:rsid w:val="00244700"/>
    <w:rsid w:val="002516B3"/>
    <w:rsid w:val="00251D34"/>
    <w:rsid w:val="0025505D"/>
    <w:rsid w:val="0026572C"/>
    <w:rsid w:val="002723FF"/>
    <w:rsid w:val="0027716B"/>
    <w:rsid w:val="00282A48"/>
    <w:rsid w:val="0028676A"/>
    <w:rsid w:val="00291C10"/>
    <w:rsid w:val="0029747B"/>
    <w:rsid w:val="002A30E7"/>
    <w:rsid w:val="002B5B31"/>
    <w:rsid w:val="002B6AC1"/>
    <w:rsid w:val="002B7772"/>
    <w:rsid w:val="002C04A2"/>
    <w:rsid w:val="002C395E"/>
    <w:rsid w:val="002C4B59"/>
    <w:rsid w:val="002D4BEF"/>
    <w:rsid w:val="002D6A61"/>
    <w:rsid w:val="002D7286"/>
    <w:rsid w:val="002E26C3"/>
    <w:rsid w:val="002E4BB4"/>
    <w:rsid w:val="002E5290"/>
    <w:rsid w:val="002E7E1D"/>
    <w:rsid w:val="002F421F"/>
    <w:rsid w:val="00303DD5"/>
    <w:rsid w:val="0031088B"/>
    <w:rsid w:val="003121FD"/>
    <w:rsid w:val="0031570D"/>
    <w:rsid w:val="00317B98"/>
    <w:rsid w:val="00323F46"/>
    <w:rsid w:val="00325C2D"/>
    <w:rsid w:val="003315BB"/>
    <w:rsid w:val="003331F5"/>
    <w:rsid w:val="00334CA3"/>
    <w:rsid w:val="00341FA9"/>
    <w:rsid w:val="003432A2"/>
    <w:rsid w:val="0034460D"/>
    <w:rsid w:val="00345789"/>
    <w:rsid w:val="00346C44"/>
    <w:rsid w:val="00353E93"/>
    <w:rsid w:val="003543BC"/>
    <w:rsid w:val="003546C5"/>
    <w:rsid w:val="003548E4"/>
    <w:rsid w:val="00356C37"/>
    <w:rsid w:val="00362880"/>
    <w:rsid w:val="00362B60"/>
    <w:rsid w:val="0036618E"/>
    <w:rsid w:val="00366FA8"/>
    <w:rsid w:val="00371060"/>
    <w:rsid w:val="0037133C"/>
    <w:rsid w:val="003731C9"/>
    <w:rsid w:val="0037668C"/>
    <w:rsid w:val="00381159"/>
    <w:rsid w:val="003823C6"/>
    <w:rsid w:val="003861FA"/>
    <w:rsid w:val="00391F3D"/>
    <w:rsid w:val="003A5817"/>
    <w:rsid w:val="003A772C"/>
    <w:rsid w:val="003B06B7"/>
    <w:rsid w:val="003B1E0E"/>
    <w:rsid w:val="003B5A36"/>
    <w:rsid w:val="003B695C"/>
    <w:rsid w:val="003C135F"/>
    <w:rsid w:val="003C1C9F"/>
    <w:rsid w:val="003C3929"/>
    <w:rsid w:val="003C399F"/>
    <w:rsid w:val="003C4AF9"/>
    <w:rsid w:val="003C5200"/>
    <w:rsid w:val="003D3617"/>
    <w:rsid w:val="003D60E1"/>
    <w:rsid w:val="003D633B"/>
    <w:rsid w:val="003E1325"/>
    <w:rsid w:val="003E2C21"/>
    <w:rsid w:val="003E3673"/>
    <w:rsid w:val="003F53C7"/>
    <w:rsid w:val="004015BC"/>
    <w:rsid w:val="00406118"/>
    <w:rsid w:val="00410681"/>
    <w:rsid w:val="00410C97"/>
    <w:rsid w:val="0041544A"/>
    <w:rsid w:val="004203B4"/>
    <w:rsid w:val="00423BA1"/>
    <w:rsid w:val="0043249D"/>
    <w:rsid w:val="00434358"/>
    <w:rsid w:val="004344F3"/>
    <w:rsid w:val="00434C4D"/>
    <w:rsid w:val="0045429E"/>
    <w:rsid w:val="00464FD8"/>
    <w:rsid w:val="00465D36"/>
    <w:rsid w:val="004667FB"/>
    <w:rsid w:val="004721C3"/>
    <w:rsid w:val="004734E0"/>
    <w:rsid w:val="004751F6"/>
    <w:rsid w:val="00477D0F"/>
    <w:rsid w:val="00482183"/>
    <w:rsid w:val="004869D0"/>
    <w:rsid w:val="00487E85"/>
    <w:rsid w:val="00490EC2"/>
    <w:rsid w:val="00497813"/>
    <w:rsid w:val="004A1C2B"/>
    <w:rsid w:val="004A5906"/>
    <w:rsid w:val="004B2D1C"/>
    <w:rsid w:val="004C7F9E"/>
    <w:rsid w:val="004C7FE3"/>
    <w:rsid w:val="004D13A7"/>
    <w:rsid w:val="004D37FE"/>
    <w:rsid w:val="004D390C"/>
    <w:rsid w:val="004E0CD6"/>
    <w:rsid w:val="004E3851"/>
    <w:rsid w:val="004E5310"/>
    <w:rsid w:val="004E620C"/>
    <w:rsid w:val="004F7199"/>
    <w:rsid w:val="00503EEC"/>
    <w:rsid w:val="00507994"/>
    <w:rsid w:val="00507D6B"/>
    <w:rsid w:val="00512082"/>
    <w:rsid w:val="005147E3"/>
    <w:rsid w:val="0052597B"/>
    <w:rsid w:val="00534E97"/>
    <w:rsid w:val="0054153E"/>
    <w:rsid w:val="00543C14"/>
    <w:rsid w:val="00544810"/>
    <w:rsid w:val="00544EBF"/>
    <w:rsid w:val="00546B0A"/>
    <w:rsid w:val="005514D2"/>
    <w:rsid w:val="00552591"/>
    <w:rsid w:val="005612B1"/>
    <w:rsid w:val="00563377"/>
    <w:rsid w:val="00563EA3"/>
    <w:rsid w:val="00563F8E"/>
    <w:rsid w:val="00564740"/>
    <w:rsid w:val="00566972"/>
    <w:rsid w:val="00570F3B"/>
    <w:rsid w:val="00571934"/>
    <w:rsid w:val="00573C3A"/>
    <w:rsid w:val="005755B2"/>
    <w:rsid w:val="005818FC"/>
    <w:rsid w:val="00582E9D"/>
    <w:rsid w:val="0058560F"/>
    <w:rsid w:val="00587694"/>
    <w:rsid w:val="0059377A"/>
    <w:rsid w:val="005A02C2"/>
    <w:rsid w:val="005A2C32"/>
    <w:rsid w:val="005A7432"/>
    <w:rsid w:val="005B1751"/>
    <w:rsid w:val="005B1CD9"/>
    <w:rsid w:val="005B62C2"/>
    <w:rsid w:val="005C199F"/>
    <w:rsid w:val="005C2200"/>
    <w:rsid w:val="005C3CA3"/>
    <w:rsid w:val="005C5CD4"/>
    <w:rsid w:val="005D1B24"/>
    <w:rsid w:val="005D3232"/>
    <w:rsid w:val="005E04FD"/>
    <w:rsid w:val="005E1771"/>
    <w:rsid w:val="005E69DC"/>
    <w:rsid w:val="005E7234"/>
    <w:rsid w:val="005F6666"/>
    <w:rsid w:val="005F695E"/>
    <w:rsid w:val="00604841"/>
    <w:rsid w:val="006056BB"/>
    <w:rsid w:val="00610578"/>
    <w:rsid w:val="006166DC"/>
    <w:rsid w:val="006212EA"/>
    <w:rsid w:val="00621BA7"/>
    <w:rsid w:val="00622529"/>
    <w:rsid w:val="006225ED"/>
    <w:rsid w:val="00631C88"/>
    <w:rsid w:val="0064195A"/>
    <w:rsid w:val="0064273A"/>
    <w:rsid w:val="006448A9"/>
    <w:rsid w:val="00647378"/>
    <w:rsid w:val="0065111A"/>
    <w:rsid w:val="006540FF"/>
    <w:rsid w:val="00655A59"/>
    <w:rsid w:val="006578DE"/>
    <w:rsid w:val="00661BB5"/>
    <w:rsid w:val="00662E12"/>
    <w:rsid w:val="00663B44"/>
    <w:rsid w:val="0067643D"/>
    <w:rsid w:val="00693533"/>
    <w:rsid w:val="00694CE9"/>
    <w:rsid w:val="006970C0"/>
    <w:rsid w:val="00697455"/>
    <w:rsid w:val="006A4070"/>
    <w:rsid w:val="006B08F8"/>
    <w:rsid w:val="006C5141"/>
    <w:rsid w:val="006C5363"/>
    <w:rsid w:val="006C5CD9"/>
    <w:rsid w:val="006C7AF9"/>
    <w:rsid w:val="006D0C32"/>
    <w:rsid w:val="006D22BD"/>
    <w:rsid w:val="006D24A7"/>
    <w:rsid w:val="006D6E8B"/>
    <w:rsid w:val="006E4EE7"/>
    <w:rsid w:val="006E5737"/>
    <w:rsid w:val="006E5A42"/>
    <w:rsid w:val="006E7ECE"/>
    <w:rsid w:val="006F0653"/>
    <w:rsid w:val="006F3E0E"/>
    <w:rsid w:val="006F61A2"/>
    <w:rsid w:val="006F6A50"/>
    <w:rsid w:val="006F799D"/>
    <w:rsid w:val="006F7D91"/>
    <w:rsid w:val="00704121"/>
    <w:rsid w:val="007067EB"/>
    <w:rsid w:val="00707278"/>
    <w:rsid w:val="007074F6"/>
    <w:rsid w:val="007122A1"/>
    <w:rsid w:val="00713F0A"/>
    <w:rsid w:val="007144CE"/>
    <w:rsid w:val="007229C1"/>
    <w:rsid w:val="007246CA"/>
    <w:rsid w:val="00727C84"/>
    <w:rsid w:val="00734E29"/>
    <w:rsid w:val="007373C1"/>
    <w:rsid w:val="007374E8"/>
    <w:rsid w:val="007402F6"/>
    <w:rsid w:val="007423B8"/>
    <w:rsid w:val="00746669"/>
    <w:rsid w:val="00746E73"/>
    <w:rsid w:val="00746E74"/>
    <w:rsid w:val="007555C9"/>
    <w:rsid w:val="00763078"/>
    <w:rsid w:val="00773294"/>
    <w:rsid w:val="00774BF4"/>
    <w:rsid w:val="00775D85"/>
    <w:rsid w:val="00780D98"/>
    <w:rsid w:val="007917D5"/>
    <w:rsid w:val="00792157"/>
    <w:rsid w:val="00793676"/>
    <w:rsid w:val="00793919"/>
    <w:rsid w:val="00795BE5"/>
    <w:rsid w:val="007960B2"/>
    <w:rsid w:val="007967FD"/>
    <w:rsid w:val="007A0D6D"/>
    <w:rsid w:val="007B100B"/>
    <w:rsid w:val="007B13BD"/>
    <w:rsid w:val="007B1A02"/>
    <w:rsid w:val="007B1AE9"/>
    <w:rsid w:val="007B5CEF"/>
    <w:rsid w:val="007B68BA"/>
    <w:rsid w:val="007C260A"/>
    <w:rsid w:val="007C5D03"/>
    <w:rsid w:val="007D358C"/>
    <w:rsid w:val="007E7A2A"/>
    <w:rsid w:val="007F6EC9"/>
    <w:rsid w:val="007F7EA2"/>
    <w:rsid w:val="0080687F"/>
    <w:rsid w:val="00813AB6"/>
    <w:rsid w:val="00815E7C"/>
    <w:rsid w:val="00815FF1"/>
    <w:rsid w:val="00821FB8"/>
    <w:rsid w:val="00822959"/>
    <w:rsid w:val="00823638"/>
    <w:rsid w:val="0082758E"/>
    <w:rsid w:val="00830618"/>
    <w:rsid w:val="00847CEC"/>
    <w:rsid w:val="00861798"/>
    <w:rsid w:val="00862FBC"/>
    <w:rsid w:val="0086616D"/>
    <w:rsid w:val="00866664"/>
    <w:rsid w:val="0087257F"/>
    <w:rsid w:val="008800CE"/>
    <w:rsid w:val="00880BA6"/>
    <w:rsid w:val="00883A10"/>
    <w:rsid w:val="008865E4"/>
    <w:rsid w:val="008877C2"/>
    <w:rsid w:val="00891459"/>
    <w:rsid w:val="00892E30"/>
    <w:rsid w:val="00894F09"/>
    <w:rsid w:val="008A2AB3"/>
    <w:rsid w:val="008A35CD"/>
    <w:rsid w:val="008A500F"/>
    <w:rsid w:val="008B0581"/>
    <w:rsid w:val="008B5017"/>
    <w:rsid w:val="008B7E65"/>
    <w:rsid w:val="008C0104"/>
    <w:rsid w:val="008C2601"/>
    <w:rsid w:val="008C46BF"/>
    <w:rsid w:val="008C56A9"/>
    <w:rsid w:val="008C6796"/>
    <w:rsid w:val="008C77E0"/>
    <w:rsid w:val="008D0E6F"/>
    <w:rsid w:val="008D24AD"/>
    <w:rsid w:val="008D3358"/>
    <w:rsid w:val="008E180D"/>
    <w:rsid w:val="008E45DE"/>
    <w:rsid w:val="008E638A"/>
    <w:rsid w:val="008E6D88"/>
    <w:rsid w:val="008E7FA5"/>
    <w:rsid w:val="008F0C88"/>
    <w:rsid w:val="008F114A"/>
    <w:rsid w:val="008F2606"/>
    <w:rsid w:val="008F273C"/>
    <w:rsid w:val="008F587A"/>
    <w:rsid w:val="009010BF"/>
    <w:rsid w:val="00907C72"/>
    <w:rsid w:val="0091468A"/>
    <w:rsid w:val="00914F1F"/>
    <w:rsid w:val="00921FC7"/>
    <w:rsid w:val="00927F61"/>
    <w:rsid w:val="00930AE2"/>
    <w:rsid w:val="00930C15"/>
    <w:rsid w:val="009353D7"/>
    <w:rsid w:val="00940F5E"/>
    <w:rsid w:val="009438E6"/>
    <w:rsid w:val="00953179"/>
    <w:rsid w:val="00953A29"/>
    <w:rsid w:val="00954CAF"/>
    <w:rsid w:val="0095758E"/>
    <w:rsid w:val="00965E0B"/>
    <w:rsid w:val="00967097"/>
    <w:rsid w:val="00972E3B"/>
    <w:rsid w:val="00976965"/>
    <w:rsid w:val="00982C36"/>
    <w:rsid w:val="009840A6"/>
    <w:rsid w:val="00984D43"/>
    <w:rsid w:val="00991E3D"/>
    <w:rsid w:val="00996D32"/>
    <w:rsid w:val="009A4FC0"/>
    <w:rsid w:val="009A74C6"/>
    <w:rsid w:val="009A770C"/>
    <w:rsid w:val="009B32A2"/>
    <w:rsid w:val="009B4F1D"/>
    <w:rsid w:val="009C0617"/>
    <w:rsid w:val="009C067D"/>
    <w:rsid w:val="009C0DC1"/>
    <w:rsid w:val="009C57ED"/>
    <w:rsid w:val="009D18CA"/>
    <w:rsid w:val="009E0501"/>
    <w:rsid w:val="009E2092"/>
    <w:rsid w:val="009E3586"/>
    <w:rsid w:val="009E3DD2"/>
    <w:rsid w:val="009E64C1"/>
    <w:rsid w:val="009F0AC3"/>
    <w:rsid w:val="009F1D4C"/>
    <w:rsid w:val="009F4272"/>
    <w:rsid w:val="009F5066"/>
    <w:rsid w:val="009F657C"/>
    <w:rsid w:val="00A06ED9"/>
    <w:rsid w:val="00A13556"/>
    <w:rsid w:val="00A135FF"/>
    <w:rsid w:val="00A20BB1"/>
    <w:rsid w:val="00A21DB1"/>
    <w:rsid w:val="00A21FA7"/>
    <w:rsid w:val="00A23B8C"/>
    <w:rsid w:val="00A31B3C"/>
    <w:rsid w:val="00A37450"/>
    <w:rsid w:val="00A469DF"/>
    <w:rsid w:val="00A4716F"/>
    <w:rsid w:val="00A61223"/>
    <w:rsid w:val="00A666DA"/>
    <w:rsid w:val="00A667FD"/>
    <w:rsid w:val="00A70D7B"/>
    <w:rsid w:val="00A7780A"/>
    <w:rsid w:val="00A84979"/>
    <w:rsid w:val="00A87C6F"/>
    <w:rsid w:val="00A90C71"/>
    <w:rsid w:val="00A910B3"/>
    <w:rsid w:val="00A940FA"/>
    <w:rsid w:val="00A94BC4"/>
    <w:rsid w:val="00AA7A03"/>
    <w:rsid w:val="00AA7A42"/>
    <w:rsid w:val="00AB0351"/>
    <w:rsid w:val="00AB1717"/>
    <w:rsid w:val="00AB34E2"/>
    <w:rsid w:val="00AB35EA"/>
    <w:rsid w:val="00AC220B"/>
    <w:rsid w:val="00AC5091"/>
    <w:rsid w:val="00AC5204"/>
    <w:rsid w:val="00AC6700"/>
    <w:rsid w:val="00AD0F7A"/>
    <w:rsid w:val="00AD0F82"/>
    <w:rsid w:val="00AD348E"/>
    <w:rsid w:val="00AD7EC9"/>
    <w:rsid w:val="00AE0C03"/>
    <w:rsid w:val="00AE2182"/>
    <w:rsid w:val="00AF32D8"/>
    <w:rsid w:val="00AF4662"/>
    <w:rsid w:val="00AF4E81"/>
    <w:rsid w:val="00AF58AC"/>
    <w:rsid w:val="00B05A39"/>
    <w:rsid w:val="00B20982"/>
    <w:rsid w:val="00B33B0C"/>
    <w:rsid w:val="00B36C62"/>
    <w:rsid w:val="00B473D8"/>
    <w:rsid w:val="00B51C9F"/>
    <w:rsid w:val="00B51EC3"/>
    <w:rsid w:val="00B554EA"/>
    <w:rsid w:val="00B57881"/>
    <w:rsid w:val="00B647A2"/>
    <w:rsid w:val="00B66290"/>
    <w:rsid w:val="00B70951"/>
    <w:rsid w:val="00B73524"/>
    <w:rsid w:val="00B845EF"/>
    <w:rsid w:val="00B85262"/>
    <w:rsid w:val="00B96273"/>
    <w:rsid w:val="00BA3C7A"/>
    <w:rsid w:val="00BB235A"/>
    <w:rsid w:val="00BB59F5"/>
    <w:rsid w:val="00BB69A6"/>
    <w:rsid w:val="00BB785B"/>
    <w:rsid w:val="00BC678D"/>
    <w:rsid w:val="00BD1F0C"/>
    <w:rsid w:val="00BD2DB4"/>
    <w:rsid w:val="00BD4997"/>
    <w:rsid w:val="00BD5EBC"/>
    <w:rsid w:val="00BE344F"/>
    <w:rsid w:val="00BE497E"/>
    <w:rsid w:val="00BE4E71"/>
    <w:rsid w:val="00BE6212"/>
    <w:rsid w:val="00BE69F8"/>
    <w:rsid w:val="00BF0A5C"/>
    <w:rsid w:val="00BF244C"/>
    <w:rsid w:val="00C04AC6"/>
    <w:rsid w:val="00C07431"/>
    <w:rsid w:val="00C11651"/>
    <w:rsid w:val="00C12113"/>
    <w:rsid w:val="00C159C5"/>
    <w:rsid w:val="00C24547"/>
    <w:rsid w:val="00C26037"/>
    <w:rsid w:val="00C27DF7"/>
    <w:rsid w:val="00C3405A"/>
    <w:rsid w:val="00C4146D"/>
    <w:rsid w:val="00C47DBC"/>
    <w:rsid w:val="00C531B1"/>
    <w:rsid w:val="00C54683"/>
    <w:rsid w:val="00C55A6F"/>
    <w:rsid w:val="00C60509"/>
    <w:rsid w:val="00C61F60"/>
    <w:rsid w:val="00C666EB"/>
    <w:rsid w:val="00C72404"/>
    <w:rsid w:val="00C73117"/>
    <w:rsid w:val="00C73DA4"/>
    <w:rsid w:val="00C75730"/>
    <w:rsid w:val="00C80C6F"/>
    <w:rsid w:val="00C83835"/>
    <w:rsid w:val="00CA0D7D"/>
    <w:rsid w:val="00CA184F"/>
    <w:rsid w:val="00CA28E2"/>
    <w:rsid w:val="00CA6C8F"/>
    <w:rsid w:val="00CB2A2E"/>
    <w:rsid w:val="00CB5035"/>
    <w:rsid w:val="00CC216A"/>
    <w:rsid w:val="00CC5710"/>
    <w:rsid w:val="00CC5D1E"/>
    <w:rsid w:val="00CD3C50"/>
    <w:rsid w:val="00CD76DF"/>
    <w:rsid w:val="00CF32BA"/>
    <w:rsid w:val="00CF71EA"/>
    <w:rsid w:val="00CF77B0"/>
    <w:rsid w:val="00D008E6"/>
    <w:rsid w:val="00D00C05"/>
    <w:rsid w:val="00D01886"/>
    <w:rsid w:val="00D07A89"/>
    <w:rsid w:val="00D12E51"/>
    <w:rsid w:val="00D14057"/>
    <w:rsid w:val="00D17CFB"/>
    <w:rsid w:val="00D21A7A"/>
    <w:rsid w:val="00D21EB9"/>
    <w:rsid w:val="00D22095"/>
    <w:rsid w:val="00D258DC"/>
    <w:rsid w:val="00D26102"/>
    <w:rsid w:val="00D3263B"/>
    <w:rsid w:val="00D3486E"/>
    <w:rsid w:val="00D362A3"/>
    <w:rsid w:val="00D36DA2"/>
    <w:rsid w:val="00D40E9E"/>
    <w:rsid w:val="00D56D99"/>
    <w:rsid w:val="00D57BB3"/>
    <w:rsid w:val="00D63D25"/>
    <w:rsid w:val="00D70514"/>
    <w:rsid w:val="00D76ADD"/>
    <w:rsid w:val="00D76AE8"/>
    <w:rsid w:val="00D87570"/>
    <w:rsid w:val="00D9004F"/>
    <w:rsid w:val="00D90164"/>
    <w:rsid w:val="00D9086B"/>
    <w:rsid w:val="00D919A8"/>
    <w:rsid w:val="00D94041"/>
    <w:rsid w:val="00D97035"/>
    <w:rsid w:val="00DA39C7"/>
    <w:rsid w:val="00DA6F91"/>
    <w:rsid w:val="00DB187D"/>
    <w:rsid w:val="00DB190F"/>
    <w:rsid w:val="00DC15E4"/>
    <w:rsid w:val="00DC19F7"/>
    <w:rsid w:val="00DC4426"/>
    <w:rsid w:val="00DC62A1"/>
    <w:rsid w:val="00DC639F"/>
    <w:rsid w:val="00DC7009"/>
    <w:rsid w:val="00DC751D"/>
    <w:rsid w:val="00DD75F8"/>
    <w:rsid w:val="00DE1B22"/>
    <w:rsid w:val="00DF01CC"/>
    <w:rsid w:val="00DF1F98"/>
    <w:rsid w:val="00DF2B95"/>
    <w:rsid w:val="00DF5143"/>
    <w:rsid w:val="00DF7C94"/>
    <w:rsid w:val="00E00338"/>
    <w:rsid w:val="00E106E8"/>
    <w:rsid w:val="00E115D8"/>
    <w:rsid w:val="00E13AA9"/>
    <w:rsid w:val="00E1550D"/>
    <w:rsid w:val="00E16F22"/>
    <w:rsid w:val="00E22AAB"/>
    <w:rsid w:val="00E23B6B"/>
    <w:rsid w:val="00E301D5"/>
    <w:rsid w:val="00E3594F"/>
    <w:rsid w:val="00E37B56"/>
    <w:rsid w:val="00E37C42"/>
    <w:rsid w:val="00E400E7"/>
    <w:rsid w:val="00E458F9"/>
    <w:rsid w:val="00E45E5F"/>
    <w:rsid w:val="00E47D87"/>
    <w:rsid w:val="00E656FD"/>
    <w:rsid w:val="00E66DE2"/>
    <w:rsid w:val="00E709DE"/>
    <w:rsid w:val="00E73B3C"/>
    <w:rsid w:val="00E773B1"/>
    <w:rsid w:val="00E779CC"/>
    <w:rsid w:val="00E80358"/>
    <w:rsid w:val="00E8094E"/>
    <w:rsid w:val="00E8209F"/>
    <w:rsid w:val="00E83783"/>
    <w:rsid w:val="00E86E29"/>
    <w:rsid w:val="00E96D3A"/>
    <w:rsid w:val="00EB0CB8"/>
    <w:rsid w:val="00EB120B"/>
    <w:rsid w:val="00EB1A73"/>
    <w:rsid w:val="00EB21B0"/>
    <w:rsid w:val="00EB55A3"/>
    <w:rsid w:val="00EC6103"/>
    <w:rsid w:val="00ED548E"/>
    <w:rsid w:val="00ED79D1"/>
    <w:rsid w:val="00EE05DA"/>
    <w:rsid w:val="00EE43E3"/>
    <w:rsid w:val="00EE4CA8"/>
    <w:rsid w:val="00EE6ACC"/>
    <w:rsid w:val="00EE7401"/>
    <w:rsid w:val="00EE7A61"/>
    <w:rsid w:val="00EE7F6B"/>
    <w:rsid w:val="00EF28C6"/>
    <w:rsid w:val="00EF42E5"/>
    <w:rsid w:val="00EF5200"/>
    <w:rsid w:val="00EF5F6D"/>
    <w:rsid w:val="00F02740"/>
    <w:rsid w:val="00F05B09"/>
    <w:rsid w:val="00F21426"/>
    <w:rsid w:val="00F22E72"/>
    <w:rsid w:val="00F238BF"/>
    <w:rsid w:val="00F24BC2"/>
    <w:rsid w:val="00F25670"/>
    <w:rsid w:val="00F30FE1"/>
    <w:rsid w:val="00F3296C"/>
    <w:rsid w:val="00F334C0"/>
    <w:rsid w:val="00F403CD"/>
    <w:rsid w:val="00F42653"/>
    <w:rsid w:val="00F43A73"/>
    <w:rsid w:val="00F4411F"/>
    <w:rsid w:val="00F475EC"/>
    <w:rsid w:val="00F523F5"/>
    <w:rsid w:val="00F5643B"/>
    <w:rsid w:val="00F5665D"/>
    <w:rsid w:val="00F62C72"/>
    <w:rsid w:val="00F66889"/>
    <w:rsid w:val="00F672C2"/>
    <w:rsid w:val="00F706DC"/>
    <w:rsid w:val="00F70BFC"/>
    <w:rsid w:val="00F747BF"/>
    <w:rsid w:val="00F75426"/>
    <w:rsid w:val="00F76DE1"/>
    <w:rsid w:val="00F817FC"/>
    <w:rsid w:val="00F8545E"/>
    <w:rsid w:val="00F87BD7"/>
    <w:rsid w:val="00F915A3"/>
    <w:rsid w:val="00F91EA6"/>
    <w:rsid w:val="00FA468C"/>
    <w:rsid w:val="00FA4BD4"/>
    <w:rsid w:val="00FA4F89"/>
    <w:rsid w:val="00FA65FC"/>
    <w:rsid w:val="00FB00CA"/>
    <w:rsid w:val="00FB2858"/>
    <w:rsid w:val="00FB3684"/>
    <w:rsid w:val="00FB5666"/>
    <w:rsid w:val="00FB5972"/>
    <w:rsid w:val="00FC7877"/>
    <w:rsid w:val="00FC7987"/>
    <w:rsid w:val="00FD0EA7"/>
    <w:rsid w:val="00FE05F7"/>
    <w:rsid w:val="00FE2CAA"/>
    <w:rsid w:val="00FE311B"/>
    <w:rsid w:val="00FE5A2B"/>
    <w:rsid w:val="00FE619E"/>
    <w:rsid w:val="00FF3622"/>
    <w:rsid w:val="00FF54BD"/>
    <w:rsid w:val="00FF5E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A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03EEC"/>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03EEC"/>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503EEC"/>
    <w:pPr>
      <w:keepNext/>
      <w:keepLines/>
      <w:spacing w:before="20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03EEC"/>
    <w:pPr>
      <w:keepNext/>
      <w:keepLines/>
      <w:spacing w:before="20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03EEC"/>
    <w:pPr>
      <w:keepNext/>
      <w:keepLines/>
      <w:spacing w:before="20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03EEC"/>
    <w:pPr>
      <w:keepNext/>
      <w:keepLines/>
      <w:spacing w:before="20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03EE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EEC"/>
    <w:pPr>
      <w:keepNext/>
      <w:keepLines/>
      <w:spacing w:before="20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03EE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E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03EE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503EE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03EE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03EE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03EEC"/>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03E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EE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03EE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EEC"/>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503EEC"/>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503EEC"/>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503EEC"/>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03EEC"/>
    <w:rPr>
      <w:i/>
      <w:iCs/>
      <w:color w:val="000000" w:themeColor="text1"/>
    </w:rPr>
  </w:style>
  <w:style w:type="character" w:customStyle="1" w:styleId="QuoteChar">
    <w:name w:val="Quote Char"/>
    <w:basedOn w:val="DefaultParagraphFont"/>
    <w:link w:val="Quote"/>
    <w:uiPriority w:val="29"/>
    <w:rsid w:val="00503EEC"/>
    <w:rPr>
      <w:i/>
      <w:iCs/>
      <w:color w:val="000000" w:themeColor="text1"/>
    </w:rPr>
  </w:style>
  <w:style w:type="paragraph" w:styleId="ListParagraph">
    <w:name w:val="List Paragraph"/>
    <w:basedOn w:val="Normal"/>
    <w:uiPriority w:val="34"/>
    <w:qFormat/>
    <w:rsid w:val="00503EEC"/>
    <w:pPr>
      <w:ind w:left="720"/>
      <w:contextualSpacing/>
    </w:pPr>
  </w:style>
  <w:style w:type="character" w:styleId="IntenseEmphasis">
    <w:name w:val="Intense Emphasis"/>
    <w:basedOn w:val="DefaultParagraphFont"/>
    <w:uiPriority w:val="21"/>
    <w:qFormat/>
    <w:rsid w:val="00503EEC"/>
    <w:rPr>
      <w:b/>
      <w:bCs/>
      <w:i/>
      <w:iCs/>
      <w:color w:val="156082" w:themeColor="accent1"/>
    </w:rPr>
  </w:style>
  <w:style w:type="paragraph" w:styleId="IntenseQuote">
    <w:name w:val="Intense Quote"/>
    <w:basedOn w:val="Normal"/>
    <w:next w:val="Normal"/>
    <w:link w:val="IntenseQuoteChar"/>
    <w:uiPriority w:val="30"/>
    <w:qFormat/>
    <w:rsid w:val="00503EE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03EEC"/>
    <w:rPr>
      <w:b/>
      <w:bCs/>
      <w:i/>
      <w:iCs/>
      <w:color w:val="156082" w:themeColor="accent1"/>
    </w:rPr>
  </w:style>
  <w:style w:type="character" w:styleId="IntenseReference">
    <w:name w:val="Intense Reference"/>
    <w:basedOn w:val="DefaultParagraphFont"/>
    <w:uiPriority w:val="32"/>
    <w:qFormat/>
    <w:rsid w:val="00503EEC"/>
    <w:rPr>
      <w:b/>
      <w:bCs/>
      <w:smallCaps/>
      <w:color w:val="E97132" w:themeColor="accent2"/>
      <w:spacing w:val="5"/>
      <w:u w:val="single"/>
    </w:rPr>
  </w:style>
  <w:style w:type="paragraph" w:styleId="FootnoteText">
    <w:name w:val="footnote text"/>
    <w:basedOn w:val="Normal"/>
    <w:link w:val="FootnoteTextChar"/>
    <w:uiPriority w:val="99"/>
    <w:unhideWhenUsed/>
    <w:rsid w:val="00930C15"/>
    <w:rPr>
      <w:sz w:val="20"/>
      <w:szCs w:val="20"/>
    </w:rPr>
  </w:style>
  <w:style w:type="character" w:customStyle="1" w:styleId="FootnoteTextChar">
    <w:name w:val="Footnote Text Char"/>
    <w:basedOn w:val="DefaultParagraphFont"/>
    <w:link w:val="FootnoteText"/>
    <w:uiPriority w:val="99"/>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03EEC"/>
    <w:rPr>
      <w:b/>
      <w:bCs/>
      <w:color w:val="156082" w:themeColor="accent1"/>
      <w:sz w:val="18"/>
      <w:szCs w:val="18"/>
    </w:rPr>
  </w:style>
  <w:style w:type="character" w:styleId="Strong">
    <w:name w:val="Strong"/>
    <w:basedOn w:val="DefaultParagraphFont"/>
    <w:uiPriority w:val="22"/>
    <w:qFormat/>
    <w:rsid w:val="00503EEC"/>
    <w:rPr>
      <w:b/>
      <w:bCs/>
    </w:rPr>
  </w:style>
  <w:style w:type="character" w:styleId="Emphasis">
    <w:name w:val="Emphasis"/>
    <w:basedOn w:val="DefaultParagraphFont"/>
    <w:uiPriority w:val="20"/>
    <w:qFormat/>
    <w:rsid w:val="00503EEC"/>
    <w:rPr>
      <w:i/>
      <w:iCs/>
    </w:rPr>
  </w:style>
  <w:style w:type="paragraph" w:styleId="NoSpacing">
    <w:name w:val="No Spacing"/>
    <w:link w:val="NoSpacingChar"/>
    <w:uiPriority w:val="1"/>
    <w:qFormat/>
    <w:rsid w:val="00503EEC"/>
    <w:pPr>
      <w:spacing w:after="0" w:line="240" w:lineRule="auto"/>
    </w:pPr>
  </w:style>
  <w:style w:type="character" w:styleId="SubtleEmphasis">
    <w:name w:val="Subtle Emphasis"/>
    <w:basedOn w:val="DefaultParagraphFont"/>
    <w:uiPriority w:val="19"/>
    <w:qFormat/>
    <w:rsid w:val="00503EEC"/>
    <w:rPr>
      <w:i/>
      <w:iCs/>
      <w:color w:val="808080" w:themeColor="text1" w:themeTint="7F"/>
    </w:rPr>
  </w:style>
  <w:style w:type="character" w:styleId="SubtleReference">
    <w:name w:val="Subtle Reference"/>
    <w:basedOn w:val="DefaultParagraphFont"/>
    <w:uiPriority w:val="31"/>
    <w:qFormat/>
    <w:rsid w:val="00503EEC"/>
    <w:rPr>
      <w:smallCaps/>
      <w:color w:val="E97132" w:themeColor="accent2"/>
      <w:u w:val="single"/>
    </w:rPr>
  </w:style>
  <w:style w:type="character" w:styleId="BookTitle">
    <w:name w:val="Book Title"/>
    <w:basedOn w:val="DefaultParagraphFont"/>
    <w:uiPriority w:val="33"/>
    <w:qFormat/>
    <w:rsid w:val="00503EEC"/>
    <w:rPr>
      <w:b/>
      <w:bCs/>
      <w:smallCaps/>
      <w:spacing w:val="5"/>
    </w:rPr>
  </w:style>
  <w:style w:type="paragraph" w:styleId="TOCHeading">
    <w:name w:val="TOC Heading"/>
    <w:basedOn w:val="Heading1"/>
    <w:next w:val="Normal"/>
    <w:uiPriority w:val="39"/>
    <w:unhideWhenUsed/>
    <w:qFormat/>
    <w:rsid w:val="00503EEC"/>
    <w:pPr>
      <w:outlineLvl w:val="9"/>
    </w:pPr>
  </w:style>
  <w:style w:type="character" w:customStyle="1" w:styleId="NoSpacingChar">
    <w:name w:val="No Spacing Char"/>
    <w:basedOn w:val="DefaultParagraphFont"/>
    <w:link w:val="NoSpacing"/>
    <w:uiPriority w:val="1"/>
    <w:rsid w:val="00503EEC"/>
  </w:style>
  <w:style w:type="character" w:styleId="Hyperlink">
    <w:name w:val="Hyperlink"/>
    <w:basedOn w:val="DefaultParagraphFont"/>
    <w:uiPriority w:val="99"/>
    <w:unhideWhenUsed/>
    <w:rsid w:val="00A21FA7"/>
    <w:rPr>
      <w:color w:val="467886" w:themeColor="hyperlink"/>
      <w:u w:val="single"/>
    </w:rPr>
  </w:style>
  <w:style w:type="character" w:styleId="UnresolvedMention">
    <w:name w:val="Unresolved Mention"/>
    <w:basedOn w:val="DefaultParagraphFont"/>
    <w:uiPriority w:val="99"/>
    <w:semiHidden/>
    <w:unhideWhenUsed/>
    <w:rsid w:val="00A21FA7"/>
    <w:rPr>
      <w:color w:val="605E5C"/>
      <w:shd w:val="clear" w:color="auto" w:fill="E1DFDD"/>
    </w:rPr>
  </w:style>
  <w:style w:type="numbering" w:customStyle="1" w:styleId="CurrentList1">
    <w:name w:val="Current List1"/>
    <w:uiPriority w:val="99"/>
    <w:rsid w:val="004721C3"/>
    <w:pPr>
      <w:numPr>
        <w:numId w:val="20"/>
      </w:numPr>
    </w:pPr>
  </w:style>
  <w:style w:type="numbering" w:customStyle="1" w:styleId="CurrentList2">
    <w:name w:val="Current List2"/>
    <w:uiPriority w:val="99"/>
    <w:rsid w:val="004721C3"/>
    <w:pPr>
      <w:numPr>
        <w:numId w:val="22"/>
      </w:numPr>
    </w:pPr>
  </w:style>
  <w:style w:type="character" w:customStyle="1" w:styleId="ms-1">
    <w:name w:val="ms-1"/>
    <w:basedOn w:val="DefaultParagraphFont"/>
    <w:rsid w:val="000E2CEE"/>
  </w:style>
  <w:style w:type="character" w:customStyle="1" w:styleId="max-w-full">
    <w:name w:val="max-w-full"/>
    <w:basedOn w:val="DefaultParagraphFont"/>
    <w:rsid w:val="000E2CEE"/>
  </w:style>
  <w:style w:type="character" w:styleId="FollowedHyperlink">
    <w:name w:val="FollowedHyperlink"/>
    <w:basedOn w:val="DefaultParagraphFont"/>
    <w:uiPriority w:val="99"/>
    <w:semiHidden/>
    <w:unhideWhenUsed/>
    <w:rsid w:val="00B554EA"/>
    <w:rPr>
      <w:color w:val="96607D" w:themeColor="followedHyperlink"/>
      <w:u w:val="single"/>
    </w:rPr>
  </w:style>
  <w:style w:type="paragraph" w:styleId="NormalWeb">
    <w:name w:val="Normal (Web)"/>
    <w:basedOn w:val="Normal"/>
    <w:uiPriority w:val="99"/>
    <w:unhideWhenUsed/>
    <w:rsid w:val="00070C75"/>
    <w:pPr>
      <w:spacing w:before="100" w:beforeAutospacing="1" w:after="100" w:afterAutospacing="1"/>
    </w:pPr>
  </w:style>
  <w:style w:type="paragraph" w:customStyle="1" w:styleId="ds-markdown-paragraph">
    <w:name w:val="ds-markdown-paragraph"/>
    <w:basedOn w:val="Normal"/>
    <w:rsid w:val="00DE1B22"/>
    <w:pPr>
      <w:spacing w:before="100" w:beforeAutospacing="1" w:after="100" w:afterAutospacing="1"/>
    </w:pPr>
  </w:style>
  <w:style w:type="paragraph" w:styleId="TOC1">
    <w:name w:val="toc 1"/>
    <w:basedOn w:val="Normal"/>
    <w:next w:val="Normal"/>
    <w:autoRedefine/>
    <w:uiPriority w:val="39"/>
    <w:unhideWhenUsed/>
    <w:rsid w:val="00CD3C50"/>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D3C50"/>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CD3C5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D3C5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D3C5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D3C5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D3C5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D3C5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D3C5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3663">
      <w:bodyDiv w:val="1"/>
      <w:marLeft w:val="0"/>
      <w:marRight w:val="0"/>
      <w:marTop w:val="0"/>
      <w:marBottom w:val="0"/>
      <w:divBdr>
        <w:top w:val="none" w:sz="0" w:space="0" w:color="auto"/>
        <w:left w:val="none" w:sz="0" w:space="0" w:color="auto"/>
        <w:bottom w:val="none" w:sz="0" w:space="0" w:color="auto"/>
        <w:right w:val="none" w:sz="0" w:space="0" w:color="auto"/>
      </w:divBdr>
    </w:div>
    <w:div w:id="83579271">
      <w:bodyDiv w:val="1"/>
      <w:marLeft w:val="0"/>
      <w:marRight w:val="0"/>
      <w:marTop w:val="0"/>
      <w:marBottom w:val="0"/>
      <w:divBdr>
        <w:top w:val="none" w:sz="0" w:space="0" w:color="auto"/>
        <w:left w:val="none" w:sz="0" w:space="0" w:color="auto"/>
        <w:bottom w:val="none" w:sz="0" w:space="0" w:color="auto"/>
        <w:right w:val="none" w:sz="0" w:space="0" w:color="auto"/>
      </w:divBdr>
      <w:divsChild>
        <w:div w:id="476804788">
          <w:marLeft w:val="0"/>
          <w:marRight w:val="0"/>
          <w:marTop w:val="0"/>
          <w:marBottom w:val="0"/>
          <w:divBdr>
            <w:top w:val="none" w:sz="0" w:space="0" w:color="auto"/>
            <w:left w:val="none" w:sz="0" w:space="0" w:color="auto"/>
            <w:bottom w:val="none" w:sz="0" w:space="0" w:color="auto"/>
            <w:right w:val="none" w:sz="0" w:space="0" w:color="auto"/>
          </w:divBdr>
          <w:divsChild>
            <w:div w:id="1171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5521">
      <w:bodyDiv w:val="1"/>
      <w:marLeft w:val="0"/>
      <w:marRight w:val="0"/>
      <w:marTop w:val="0"/>
      <w:marBottom w:val="0"/>
      <w:divBdr>
        <w:top w:val="none" w:sz="0" w:space="0" w:color="auto"/>
        <w:left w:val="none" w:sz="0" w:space="0" w:color="auto"/>
        <w:bottom w:val="none" w:sz="0" w:space="0" w:color="auto"/>
        <w:right w:val="none" w:sz="0" w:space="0" w:color="auto"/>
      </w:divBdr>
      <w:divsChild>
        <w:div w:id="2103410669">
          <w:marLeft w:val="0"/>
          <w:marRight w:val="0"/>
          <w:marTop w:val="0"/>
          <w:marBottom w:val="0"/>
          <w:divBdr>
            <w:top w:val="none" w:sz="0" w:space="0" w:color="auto"/>
            <w:left w:val="none" w:sz="0" w:space="0" w:color="auto"/>
            <w:bottom w:val="none" w:sz="0" w:space="0" w:color="auto"/>
            <w:right w:val="none" w:sz="0" w:space="0" w:color="auto"/>
          </w:divBdr>
          <w:divsChild>
            <w:div w:id="2010329265">
              <w:marLeft w:val="0"/>
              <w:marRight w:val="0"/>
              <w:marTop w:val="0"/>
              <w:marBottom w:val="450"/>
              <w:divBdr>
                <w:top w:val="none" w:sz="0" w:space="0" w:color="auto"/>
                <w:left w:val="none" w:sz="0" w:space="0" w:color="auto"/>
                <w:bottom w:val="none" w:sz="0" w:space="0" w:color="auto"/>
                <w:right w:val="none" w:sz="0" w:space="0" w:color="auto"/>
              </w:divBdr>
              <w:divsChild>
                <w:div w:id="1019969077">
                  <w:marLeft w:val="0"/>
                  <w:marRight w:val="0"/>
                  <w:marTop w:val="0"/>
                  <w:marBottom w:val="0"/>
                  <w:divBdr>
                    <w:top w:val="none" w:sz="0" w:space="0" w:color="auto"/>
                    <w:left w:val="none" w:sz="0" w:space="0" w:color="auto"/>
                    <w:bottom w:val="none" w:sz="0" w:space="0" w:color="auto"/>
                    <w:right w:val="none" w:sz="0" w:space="0" w:color="auto"/>
                  </w:divBdr>
                  <w:divsChild>
                    <w:div w:id="1926302575">
                      <w:marLeft w:val="0"/>
                      <w:marRight w:val="0"/>
                      <w:marTop w:val="0"/>
                      <w:marBottom w:val="0"/>
                      <w:divBdr>
                        <w:top w:val="none" w:sz="0" w:space="0" w:color="auto"/>
                        <w:left w:val="none" w:sz="0" w:space="0" w:color="auto"/>
                        <w:bottom w:val="none" w:sz="0" w:space="0" w:color="auto"/>
                        <w:right w:val="none" w:sz="0" w:space="0" w:color="auto"/>
                      </w:divBdr>
                      <w:divsChild>
                        <w:div w:id="15272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8086">
          <w:marLeft w:val="0"/>
          <w:marRight w:val="0"/>
          <w:marTop w:val="0"/>
          <w:marBottom w:val="0"/>
          <w:divBdr>
            <w:top w:val="none" w:sz="0" w:space="0" w:color="auto"/>
            <w:left w:val="none" w:sz="0" w:space="0" w:color="auto"/>
            <w:bottom w:val="none" w:sz="0" w:space="0" w:color="auto"/>
            <w:right w:val="none" w:sz="0" w:space="0" w:color="auto"/>
          </w:divBdr>
          <w:divsChild>
            <w:div w:id="142626179">
              <w:marLeft w:val="0"/>
              <w:marRight w:val="0"/>
              <w:marTop w:val="0"/>
              <w:marBottom w:val="660"/>
              <w:divBdr>
                <w:top w:val="none" w:sz="0" w:space="0" w:color="auto"/>
                <w:left w:val="none" w:sz="0" w:space="0" w:color="auto"/>
                <w:bottom w:val="none" w:sz="0" w:space="0" w:color="auto"/>
                <w:right w:val="none" w:sz="0" w:space="0" w:color="auto"/>
              </w:divBdr>
              <w:divsChild>
                <w:div w:id="1771926373">
                  <w:marLeft w:val="0"/>
                  <w:marRight w:val="0"/>
                  <w:marTop w:val="0"/>
                  <w:marBottom w:val="0"/>
                  <w:divBdr>
                    <w:top w:val="none" w:sz="0" w:space="0" w:color="auto"/>
                    <w:left w:val="none" w:sz="0" w:space="0" w:color="auto"/>
                    <w:bottom w:val="none" w:sz="0" w:space="0" w:color="auto"/>
                    <w:right w:val="none" w:sz="0" w:space="0" w:color="auto"/>
                  </w:divBdr>
                  <w:divsChild>
                    <w:div w:id="698623328">
                      <w:marLeft w:val="0"/>
                      <w:marRight w:val="0"/>
                      <w:marTop w:val="0"/>
                      <w:marBottom w:val="0"/>
                      <w:divBdr>
                        <w:top w:val="none" w:sz="0" w:space="0" w:color="auto"/>
                        <w:left w:val="none" w:sz="0" w:space="0" w:color="auto"/>
                        <w:bottom w:val="none" w:sz="0" w:space="0" w:color="auto"/>
                        <w:right w:val="none" w:sz="0" w:space="0" w:color="auto"/>
                      </w:divBdr>
                      <w:divsChild>
                        <w:div w:id="1117717799">
                          <w:marLeft w:val="0"/>
                          <w:marRight w:val="0"/>
                          <w:marTop w:val="0"/>
                          <w:marBottom w:val="0"/>
                          <w:divBdr>
                            <w:top w:val="none" w:sz="0" w:space="0" w:color="auto"/>
                            <w:left w:val="none" w:sz="0" w:space="0" w:color="auto"/>
                            <w:bottom w:val="none" w:sz="0" w:space="0" w:color="auto"/>
                            <w:right w:val="none" w:sz="0" w:space="0" w:color="auto"/>
                          </w:divBdr>
                          <w:divsChild>
                            <w:div w:id="17392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3832">
      <w:bodyDiv w:val="1"/>
      <w:marLeft w:val="0"/>
      <w:marRight w:val="0"/>
      <w:marTop w:val="0"/>
      <w:marBottom w:val="0"/>
      <w:divBdr>
        <w:top w:val="none" w:sz="0" w:space="0" w:color="auto"/>
        <w:left w:val="none" w:sz="0" w:space="0" w:color="auto"/>
        <w:bottom w:val="none" w:sz="0" w:space="0" w:color="auto"/>
        <w:right w:val="none" w:sz="0" w:space="0" w:color="auto"/>
      </w:divBdr>
    </w:div>
    <w:div w:id="193925728">
      <w:bodyDiv w:val="1"/>
      <w:marLeft w:val="0"/>
      <w:marRight w:val="0"/>
      <w:marTop w:val="0"/>
      <w:marBottom w:val="0"/>
      <w:divBdr>
        <w:top w:val="none" w:sz="0" w:space="0" w:color="auto"/>
        <w:left w:val="none" w:sz="0" w:space="0" w:color="auto"/>
        <w:bottom w:val="none" w:sz="0" w:space="0" w:color="auto"/>
        <w:right w:val="none" w:sz="0" w:space="0" w:color="auto"/>
      </w:divBdr>
      <w:divsChild>
        <w:div w:id="1376731384">
          <w:marLeft w:val="0"/>
          <w:marRight w:val="0"/>
          <w:marTop w:val="0"/>
          <w:marBottom w:val="0"/>
          <w:divBdr>
            <w:top w:val="none" w:sz="0" w:space="0" w:color="auto"/>
            <w:left w:val="none" w:sz="0" w:space="0" w:color="auto"/>
            <w:bottom w:val="none" w:sz="0" w:space="0" w:color="auto"/>
            <w:right w:val="none" w:sz="0" w:space="0" w:color="auto"/>
          </w:divBdr>
          <w:divsChild>
            <w:div w:id="652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5287">
      <w:bodyDiv w:val="1"/>
      <w:marLeft w:val="0"/>
      <w:marRight w:val="0"/>
      <w:marTop w:val="0"/>
      <w:marBottom w:val="0"/>
      <w:divBdr>
        <w:top w:val="none" w:sz="0" w:space="0" w:color="auto"/>
        <w:left w:val="none" w:sz="0" w:space="0" w:color="auto"/>
        <w:bottom w:val="none" w:sz="0" w:space="0" w:color="auto"/>
        <w:right w:val="none" w:sz="0" w:space="0" w:color="auto"/>
      </w:divBdr>
    </w:div>
    <w:div w:id="261768056">
      <w:bodyDiv w:val="1"/>
      <w:marLeft w:val="0"/>
      <w:marRight w:val="0"/>
      <w:marTop w:val="0"/>
      <w:marBottom w:val="0"/>
      <w:divBdr>
        <w:top w:val="none" w:sz="0" w:space="0" w:color="auto"/>
        <w:left w:val="none" w:sz="0" w:space="0" w:color="auto"/>
        <w:bottom w:val="none" w:sz="0" w:space="0" w:color="auto"/>
        <w:right w:val="none" w:sz="0" w:space="0" w:color="auto"/>
      </w:divBdr>
    </w:div>
    <w:div w:id="320432659">
      <w:bodyDiv w:val="1"/>
      <w:marLeft w:val="0"/>
      <w:marRight w:val="0"/>
      <w:marTop w:val="0"/>
      <w:marBottom w:val="0"/>
      <w:divBdr>
        <w:top w:val="none" w:sz="0" w:space="0" w:color="auto"/>
        <w:left w:val="none" w:sz="0" w:space="0" w:color="auto"/>
        <w:bottom w:val="none" w:sz="0" w:space="0" w:color="auto"/>
        <w:right w:val="none" w:sz="0" w:space="0" w:color="auto"/>
      </w:divBdr>
      <w:divsChild>
        <w:div w:id="614798490">
          <w:marLeft w:val="0"/>
          <w:marRight w:val="0"/>
          <w:marTop w:val="0"/>
          <w:marBottom w:val="0"/>
          <w:divBdr>
            <w:top w:val="none" w:sz="0" w:space="0" w:color="auto"/>
            <w:left w:val="none" w:sz="0" w:space="0" w:color="auto"/>
            <w:bottom w:val="none" w:sz="0" w:space="0" w:color="auto"/>
            <w:right w:val="none" w:sz="0" w:space="0" w:color="auto"/>
          </w:divBdr>
        </w:div>
        <w:div w:id="1940794548">
          <w:marLeft w:val="0"/>
          <w:marRight w:val="0"/>
          <w:marTop w:val="0"/>
          <w:marBottom w:val="0"/>
          <w:divBdr>
            <w:top w:val="none" w:sz="0" w:space="0" w:color="auto"/>
            <w:left w:val="none" w:sz="0" w:space="0" w:color="auto"/>
            <w:bottom w:val="none" w:sz="0" w:space="0" w:color="auto"/>
            <w:right w:val="none" w:sz="0" w:space="0" w:color="auto"/>
          </w:divBdr>
        </w:div>
      </w:divsChild>
    </w:div>
    <w:div w:id="334963764">
      <w:bodyDiv w:val="1"/>
      <w:marLeft w:val="0"/>
      <w:marRight w:val="0"/>
      <w:marTop w:val="0"/>
      <w:marBottom w:val="0"/>
      <w:divBdr>
        <w:top w:val="none" w:sz="0" w:space="0" w:color="auto"/>
        <w:left w:val="none" w:sz="0" w:space="0" w:color="auto"/>
        <w:bottom w:val="none" w:sz="0" w:space="0" w:color="auto"/>
        <w:right w:val="none" w:sz="0" w:space="0" w:color="auto"/>
      </w:divBdr>
      <w:divsChild>
        <w:div w:id="295649881">
          <w:marLeft w:val="0"/>
          <w:marRight w:val="0"/>
          <w:marTop w:val="0"/>
          <w:marBottom w:val="0"/>
          <w:divBdr>
            <w:top w:val="none" w:sz="0" w:space="0" w:color="auto"/>
            <w:left w:val="none" w:sz="0" w:space="0" w:color="auto"/>
            <w:bottom w:val="none" w:sz="0" w:space="0" w:color="auto"/>
            <w:right w:val="none" w:sz="0" w:space="0" w:color="auto"/>
          </w:divBdr>
        </w:div>
        <w:div w:id="1498618120">
          <w:marLeft w:val="0"/>
          <w:marRight w:val="0"/>
          <w:marTop w:val="0"/>
          <w:marBottom w:val="0"/>
          <w:divBdr>
            <w:top w:val="none" w:sz="0" w:space="0" w:color="auto"/>
            <w:left w:val="none" w:sz="0" w:space="0" w:color="auto"/>
            <w:bottom w:val="none" w:sz="0" w:space="0" w:color="auto"/>
            <w:right w:val="none" w:sz="0" w:space="0" w:color="auto"/>
          </w:divBdr>
        </w:div>
        <w:div w:id="1632788834">
          <w:marLeft w:val="0"/>
          <w:marRight w:val="0"/>
          <w:marTop w:val="0"/>
          <w:marBottom w:val="0"/>
          <w:divBdr>
            <w:top w:val="none" w:sz="0" w:space="0" w:color="auto"/>
            <w:left w:val="none" w:sz="0" w:space="0" w:color="auto"/>
            <w:bottom w:val="none" w:sz="0" w:space="0" w:color="auto"/>
            <w:right w:val="none" w:sz="0" w:space="0" w:color="auto"/>
          </w:divBdr>
        </w:div>
      </w:divsChild>
    </w:div>
    <w:div w:id="342443022">
      <w:bodyDiv w:val="1"/>
      <w:marLeft w:val="0"/>
      <w:marRight w:val="0"/>
      <w:marTop w:val="0"/>
      <w:marBottom w:val="0"/>
      <w:divBdr>
        <w:top w:val="none" w:sz="0" w:space="0" w:color="auto"/>
        <w:left w:val="none" w:sz="0" w:space="0" w:color="auto"/>
        <w:bottom w:val="none" w:sz="0" w:space="0" w:color="auto"/>
        <w:right w:val="none" w:sz="0" w:space="0" w:color="auto"/>
      </w:divBdr>
    </w:div>
    <w:div w:id="544214965">
      <w:bodyDiv w:val="1"/>
      <w:marLeft w:val="0"/>
      <w:marRight w:val="0"/>
      <w:marTop w:val="0"/>
      <w:marBottom w:val="0"/>
      <w:divBdr>
        <w:top w:val="none" w:sz="0" w:space="0" w:color="auto"/>
        <w:left w:val="none" w:sz="0" w:space="0" w:color="auto"/>
        <w:bottom w:val="none" w:sz="0" w:space="0" w:color="auto"/>
        <w:right w:val="none" w:sz="0" w:space="0" w:color="auto"/>
      </w:divBdr>
    </w:div>
    <w:div w:id="559874578">
      <w:bodyDiv w:val="1"/>
      <w:marLeft w:val="0"/>
      <w:marRight w:val="0"/>
      <w:marTop w:val="0"/>
      <w:marBottom w:val="0"/>
      <w:divBdr>
        <w:top w:val="none" w:sz="0" w:space="0" w:color="auto"/>
        <w:left w:val="none" w:sz="0" w:space="0" w:color="auto"/>
        <w:bottom w:val="none" w:sz="0" w:space="0" w:color="auto"/>
        <w:right w:val="none" w:sz="0" w:space="0" w:color="auto"/>
      </w:divBdr>
    </w:div>
    <w:div w:id="633830344">
      <w:bodyDiv w:val="1"/>
      <w:marLeft w:val="0"/>
      <w:marRight w:val="0"/>
      <w:marTop w:val="0"/>
      <w:marBottom w:val="0"/>
      <w:divBdr>
        <w:top w:val="none" w:sz="0" w:space="0" w:color="auto"/>
        <w:left w:val="none" w:sz="0" w:space="0" w:color="auto"/>
        <w:bottom w:val="none" w:sz="0" w:space="0" w:color="auto"/>
        <w:right w:val="none" w:sz="0" w:space="0" w:color="auto"/>
      </w:divBdr>
      <w:divsChild>
        <w:div w:id="1224877489">
          <w:marLeft w:val="0"/>
          <w:marRight w:val="0"/>
          <w:marTop w:val="0"/>
          <w:marBottom w:val="0"/>
          <w:divBdr>
            <w:top w:val="none" w:sz="0" w:space="0" w:color="auto"/>
            <w:left w:val="none" w:sz="0" w:space="0" w:color="auto"/>
            <w:bottom w:val="none" w:sz="0" w:space="0" w:color="auto"/>
            <w:right w:val="none" w:sz="0" w:space="0" w:color="auto"/>
          </w:divBdr>
        </w:div>
        <w:div w:id="355271521">
          <w:marLeft w:val="0"/>
          <w:marRight w:val="0"/>
          <w:marTop w:val="0"/>
          <w:marBottom w:val="0"/>
          <w:divBdr>
            <w:top w:val="none" w:sz="0" w:space="0" w:color="auto"/>
            <w:left w:val="none" w:sz="0" w:space="0" w:color="auto"/>
            <w:bottom w:val="none" w:sz="0" w:space="0" w:color="auto"/>
            <w:right w:val="none" w:sz="0" w:space="0" w:color="auto"/>
          </w:divBdr>
        </w:div>
      </w:divsChild>
    </w:div>
    <w:div w:id="789124960">
      <w:bodyDiv w:val="1"/>
      <w:marLeft w:val="0"/>
      <w:marRight w:val="0"/>
      <w:marTop w:val="0"/>
      <w:marBottom w:val="0"/>
      <w:divBdr>
        <w:top w:val="none" w:sz="0" w:space="0" w:color="auto"/>
        <w:left w:val="none" w:sz="0" w:space="0" w:color="auto"/>
        <w:bottom w:val="none" w:sz="0" w:space="0" w:color="auto"/>
        <w:right w:val="none" w:sz="0" w:space="0" w:color="auto"/>
      </w:divBdr>
    </w:div>
    <w:div w:id="826944737">
      <w:bodyDiv w:val="1"/>
      <w:marLeft w:val="0"/>
      <w:marRight w:val="0"/>
      <w:marTop w:val="0"/>
      <w:marBottom w:val="0"/>
      <w:divBdr>
        <w:top w:val="none" w:sz="0" w:space="0" w:color="auto"/>
        <w:left w:val="none" w:sz="0" w:space="0" w:color="auto"/>
        <w:bottom w:val="none" w:sz="0" w:space="0" w:color="auto"/>
        <w:right w:val="none" w:sz="0" w:space="0" w:color="auto"/>
      </w:divBdr>
      <w:divsChild>
        <w:div w:id="949240009">
          <w:marLeft w:val="0"/>
          <w:marRight w:val="0"/>
          <w:marTop w:val="0"/>
          <w:marBottom w:val="0"/>
          <w:divBdr>
            <w:top w:val="none" w:sz="0" w:space="0" w:color="auto"/>
            <w:left w:val="none" w:sz="0" w:space="0" w:color="auto"/>
            <w:bottom w:val="none" w:sz="0" w:space="0" w:color="auto"/>
            <w:right w:val="none" w:sz="0" w:space="0" w:color="auto"/>
          </w:divBdr>
        </w:div>
        <w:div w:id="91752064">
          <w:marLeft w:val="0"/>
          <w:marRight w:val="0"/>
          <w:marTop w:val="0"/>
          <w:marBottom w:val="0"/>
          <w:divBdr>
            <w:top w:val="none" w:sz="0" w:space="0" w:color="auto"/>
            <w:left w:val="none" w:sz="0" w:space="0" w:color="auto"/>
            <w:bottom w:val="none" w:sz="0" w:space="0" w:color="auto"/>
            <w:right w:val="none" w:sz="0" w:space="0" w:color="auto"/>
          </w:divBdr>
        </w:div>
        <w:div w:id="1777408645">
          <w:marLeft w:val="0"/>
          <w:marRight w:val="0"/>
          <w:marTop w:val="0"/>
          <w:marBottom w:val="0"/>
          <w:divBdr>
            <w:top w:val="none" w:sz="0" w:space="0" w:color="auto"/>
            <w:left w:val="none" w:sz="0" w:space="0" w:color="auto"/>
            <w:bottom w:val="none" w:sz="0" w:space="0" w:color="auto"/>
            <w:right w:val="none" w:sz="0" w:space="0" w:color="auto"/>
          </w:divBdr>
        </w:div>
        <w:div w:id="1982691477">
          <w:marLeft w:val="0"/>
          <w:marRight w:val="0"/>
          <w:marTop w:val="0"/>
          <w:marBottom w:val="0"/>
          <w:divBdr>
            <w:top w:val="none" w:sz="0" w:space="0" w:color="auto"/>
            <w:left w:val="none" w:sz="0" w:space="0" w:color="auto"/>
            <w:bottom w:val="none" w:sz="0" w:space="0" w:color="auto"/>
            <w:right w:val="none" w:sz="0" w:space="0" w:color="auto"/>
          </w:divBdr>
        </w:div>
        <w:div w:id="701517063">
          <w:marLeft w:val="0"/>
          <w:marRight w:val="0"/>
          <w:marTop w:val="0"/>
          <w:marBottom w:val="0"/>
          <w:divBdr>
            <w:top w:val="none" w:sz="0" w:space="0" w:color="auto"/>
            <w:left w:val="none" w:sz="0" w:space="0" w:color="auto"/>
            <w:bottom w:val="none" w:sz="0" w:space="0" w:color="auto"/>
            <w:right w:val="none" w:sz="0" w:space="0" w:color="auto"/>
          </w:divBdr>
        </w:div>
      </w:divsChild>
    </w:div>
    <w:div w:id="1088771002">
      <w:bodyDiv w:val="1"/>
      <w:marLeft w:val="0"/>
      <w:marRight w:val="0"/>
      <w:marTop w:val="0"/>
      <w:marBottom w:val="0"/>
      <w:divBdr>
        <w:top w:val="none" w:sz="0" w:space="0" w:color="auto"/>
        <w:left w:val="none" w:sz="0" w:space="0" w:color="auto"/>
        <w:bottom w:val="none" w:sz="0" w:space="0" w:color="auto"/>
        <w:right w:val="none" w:sz="0" w:space="0" w:color="auto"/>
      </w:divBdr>
    </w:div>
    <w:div w:id="1123694530">
      <w:bodyDiv w:val="1"/>
      <w:marLeft w:val="0"/>
      <w:marRight w:val="0"/>
      <w:marTop w:val="0"/>
      <w:marBottom w:val="0"/>
      <w:divBdr>
        <w:top w:val="none" w:sz="0" w:space="0" w:color="auto"/>
        <w:left w:val="none" w:sz="0" w:space="0" w:color="auto"/>
        <w:bottom w:val="none" w:sz="0" w:space="0" w:color="auto"/>
        <w:right w:val="none" w:sz="0" w:space="0" w:color="auto"/>
      </w:divBdr>
      <w:divsChild>
        <w:div w:id="1662543374">
          <w:marLeft w:val="0"/>
          <w:marRight w:val="0"/>
          <w:marTop w:val="0"/>
          <w:marBottom w:val="0"/>
          <w:divBdr>
            <w:top w:val="none" w:sz="0" w:space="0" w:color="auto"/>
            <w:left w:val="none" w:sz="0" w:space="0" w:color="auto"/>
            <w:bottom w:val="none" w:sz="0" w:space="0" w:color="auto"/>
            <w:right w:val="none" w:sz="0" w:space="0" w:color="auto"/>
          </w:divBdr>
          <w:divsChild>
            <w:div w:id="1450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322">
      <w:bodyDiv w:val="1"/>
      <w:marLeft w:val="0"/>
      <w:marRight w:val="0"/>
      <w:marTop w:val="0"/>
      <w:marBottom w:val="0"/>
      <w:divBdr>
        <w:top w:val="none" w:sz="0" w:space="0" w:color="auto"/>
        <w:left w:val="none" w:sz="0" w:space="0" w:color="auto"/>
        <w:bottom w:val="none" w:sz="0" w:space="0" w:color="auto"/>
        <w:right w:val="none" w:sz="0" w:space="0" w:color="auto"/>
      </w:divBdr>
    </w:div>
    <w:div w:id="1292400548">
      <w:bodyDiv w:val="1"/>
      <w:marLeft w:val="0"/>
      <w:marRight w:val="0"/>
      <w:marTop w:val="0"/>
      <w:marBottom w:val="0"/>
      <w:divBdr>
        <w:top w:val="none" w:sz="0" w:space="0" w:color="auto"/>
        <w:left w:val="none" w:sz="0" w:space="0" w:color="auto"/>
        <w:bottom w:val="none" w:sz="0" w:space="0" w:color="auto"/>
        <w:right w:val="none" w:sz="0" w:space="0" w:color="auto"/>
      </w:divBdr>
    </w:div>
    <w:div w:id="1354308692">
      <w:bodyDiv w:val="1"/>
      <w:marLeft w:val="0"/>
      <w:marRight w:val="0"/>
      <w:marTop w:val="0"/>
      <w:marBottom w:val="0"/>
      <w:divBdr>
        <w:top w:val="none" w:sz="0" w:space="0" w:color="auto"/>
        <w:left w:val="none" w:sz="0" w:space="0" w:color="auto"/>
        <w:bottom w:val="none" w:sz="0" w:space="0" w:color="auto"/>
        <w:right w:val="none" w:sz="0" w:space="0" w:color="auto"/>
      </w:divBdr>
    </w:div>
    <w:div w:id="1375235077">
      <w:bodyDiv w:val="1"/>
      <w:marLeft w:val="0"/>
      <w:marRight w:val="0"/>
      <w:marTop w:val="0"/>
      <w:marBottom w:val="0"/>
      <w:divBdr>
        <w:top w:val="none" w:sz="0" w:space="0" w:color="auto"/>
        <w:left w:val="none" w:sz="0" w:space="0" w:color="auto"/>
        <w:bottom w:val="none" w:sz="0" w:space="0" w:color="auto"/>
        <w:right w:val="none" w:sz="0" w:space="0" w:color="auto"/>
      </w:divBdr>
    </w:div>
    <w:div w:id="1416786543">
      <w:bodyDiv w:val="1"/>
      <w:marLeft w:val="0"/>
      <w:marRight w:val="0"/>
      <w:marTop w:val="0"/>
      <w:marBottom w:val="0"/>
      <w:divBdr>
        <w:top w:val="none" w:sz="0" w:space="0" w:color="auto"/>
        <w:left w:val="none" w:sz="0" w:space="0" w:color="auto"/>
        <w:bottom w:val="none" w:sz="0" w:space="0" w:color="auto"/>
        <w:right w:val="none" w:sz="0" w:space="0" w:color="auto"/>
      </w:divBdr>
    </w:div>
    <w:div w:id="1455783879">
      <w:bodyDiv w:val="1"/>
      <w:marLeft w:val="0"/>
      <w:marRight w:val="0"/>
      <w:marTop w:val="0"/>
      <w:marBottom w:val="0"/>
      <w:divBdr>
        <w:top w:val="none" w:sz="0" w:space="0" w:color="auto"/>
        <w:left w:val="none" w:sz="0" w:space="0" w:color="auto"/>
        <w:bottom w:val="none" w:sz="0" w:space="0" w:color="auto"/>
        <w:right w:val="none" w:sz="0" w:space="0" w:color="auto"/>
      </w:divBdr>
      <w:divsChild>
        <w:div w:id="826945370">
          <w:marLeft w:val="0"/>
          <w:marRight w:val="0"/>
          <w:marTop w:val="0"/>
          <w:marBottom w:val="0"/>
          <w:divBdr>
            <w:top w:val="none" w:sz="0" w:space="0" w:color="auto"/>
            <w:left w:val="none" w:sz="0" w:space="0" w:color="auto"/>
            <w:bottom w:val="none" w:sz="0" w:space="0" w:color="auto"/>
            <w:right w:val="none" w:sz="0" w:space="0" w:color="auto"/>
          </w:divBdr>
        </w:div>
        <w:div w:id="751663135">
          <w:marLeft w:val="0"/>
          <w:marRight w:val="0"/>
          <w:marTop w:val="0"/>
          <w:marBottom w:val="0"/>
          <w:divBdr>
            <w:top w:val="none" w:sz="0" w:space="0" w:color="auto"/>
            <w:left w:val="none" w:sz="0" w:space="0" w:color="auto"/>
            <w:bottom w:val="none" w:sz="0" w:space="0" w:color="auto"/>
            <w:right w:val="none" w:sz="0" w:space="0" w:color="auto"/>
          </w:divBdr>
        </w:div>
        <w:div w:id="1988581848">
          <w:marLeft w:val="0"/>
          <w:marRight w:val="0"/>
          <w:marTop w:val="0"/>
          <w:marBottom w:val="0"/>
          <w:divBdr>
            <w:top w:val="none" w:sz="0" w:space="0" w:color="auto"/>
            <w:left w:val="none" w:sz="0" w:space="0" w:color="auto"/>
            <w:bottom w:val="none" w:sz="0" w:space="0" w:color="auto"/>
            <w:right w:val="none" w:sz="0" w:space="0" w:color="auto"/>
          </w:divBdr>
        </w:div>
        <w:div w:id="1295600378">
          <w:marLeft w:val="0"/>
          <w:marRight w:val="0"/>
          <w:marTop w:val="0"/>
          <w:marBottom w:val="0"/>
          <w:divBdr>
            <w:top w:val="none" w:sz="0" w:space="0" w:color="auto"/>
            <w:left w:val="none" w:sz="0" w:space="0" w:color="auto"/>
            <w:bottom w:val="none" w:sz="0" w:space="0" w:color="auto"/>
            <w:right w:val="none" w:sz="0" w:space="0" w:color="auto"/>
          </w:divBdr>
        </w:div>
        <w:div w:id="1721173521">
          <w:marLeft w:val="0"/>
          <w:marRight w:val="0"/>
          <w:marTop w:val="0"/>
          <w:marBottom w:val="0"/>
          <w:divBdr>
            <w:top w:val="none" w:sz="0" w:space="0" w:color="auto"/>
            <w:left w:val="none" w:sz="0" w:space="0" w:color="auto"/>
            <w:bottom w:val="none" w:sz="0" w:space="0" w:color="auto"/>
            <w:right w:val="none" w:sz="0" w:space="0" w:color="auto"/>
          </w:divBdr>
        </w:div>
      </w:divsChild>
    </w:div>
    <w:div w:id="1696884606">
      <w:bodyDiv w:val="1"/>
      <w:marLeft w:val="0"/>
      <w:marRight w:val="0"/>
      <w:marTop w:val="0"/>
      <w:marBottom w:val="0"/>
      <w:divBdr>
        <w:top w:val="none" w:sz="0" w:space="0" w:color="auto"/>
        <w:left w:val="none" w:sz="0" w:space="0" w:color="auto"/>
        <w:bottom w:val="none" w:sz="0" w:space="0" w:color="auto"/>
        <w:right w:val="none" w:sz="0" w:space="0" w:color="auto"/>
      </w:divBdr>
    </w:div>
    <w:div w:id="1880386780">
      <w:bodyDiv w:val="1"/>
      <w:marLeft w:val="0"/>
      <w:marRight w:val="0"/>
      <w:marTop w:val="0"/>
      <w:marBottom w:val="0"/>
      <w:divBdr>
        <w:top w:val="none" w:sz="0" w:space="0" w:color="auto"/>
        <w:left w:val="none" w:sz="0" w:space="0" w:color="auto"/>
        <w:bottom w:val="none" w:sz="0" w:space="0" w:color="auto"/>
        <w:right w:val="none" w:sz="0" w:space="0" w:color="auto"/>
      </w:divBdr>
      <w:divsChild>
        <w:div w:id="1182662996">
          <w:marLeft w:val="0"/>
          <w:marRight w:val="0"/>
          <w:marTop w:val="0"/>
          <w:marBottom w:val="0"/>
          <w:divBdr>
            <w:top w:val="none" w:sz="0" w:space="0" w:color="auto"/>
            <w:left w:val="none" w:sz="0" w:space="0" w:color="auto"/>
            <w:bottom w:val="none" w:sz="0" w:space="0" w:color="auto"/>
            <w:right w:val="none" w:sz="0" w:space="0" w:color="auto"/>
          </w:divBdr>
          <w:divsChild>
            <w:div w:id="9248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3593">
      <w:bodyDiv w:val="1"/>
      <w:marLeft w:val="0"/>
      <w:marRight w:val="0"/>
      <w:marTop w:val="0"/>
      <w:marBottom w:val="0"/>
      <w:divBdr>
        <w:top w:val="none" w:sz="0" w:space="0" w:color="auto"/>
        <w:left w:val="none" w:sz="0" w:space="0" w:color="auto"/>
        <w:bottom w:val="none" w:sz="0" w:space="0" w:color="auto"/>
        <w:right w:val="none" w:sz="0" w:space="0" w:color="auto"/>
      </w:divBdr>
    </w:div>
    <w:div w:id="2097168117">
      <w:bodyDiv w:val="1"/>
      <w:marLeft w:val="0"/>
      <w:marRight w:val="0"/>
      <w:marTop w:val="0"/>
      <w:marBottom w:val="0"/>
      <w:divBdr>
        <w:top w:val="none" w:sz="0" w:space="0" w:color="auto"/>
        <w:left w:val="none" w:sz="0" w:space="0" w:color="auto"/>
        <w:bottom w:val="none" w:sz="0" w:space="0" w:color="auto"/>
        <w:right w:val="none" w:sz="0" w:space="0" w:color="auto"/>
      </w:divBdr>
      <w:divsChild>
        <w:div w:id="800269238">
          <w:marLeft w:val="0"/>
          <w:marRight w:val="0"/>
          <w:marTop w:val="0"/>
          <w:marBottom w:val="0"/>
          <w:divBdr>
            <w:top w:val="none" w:sz="0" w:space="0" w:color="auto"/>
            <w:left w:val="none" w:sz="0" w:space="0" w:color="auto"/>
            <w:bottom w:val="none" w:sz="0" w:space="0" w:color="auto"/>
            <w:right w:val="none" w:sz="0" w:space="0" w:color="auto"/>
          </w:divBdr>
          <w:divsChild>
            <w:div w:id="1847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worlddev.2007.08.003" TargetMode="External"/><Relationship Id="rId18" Type="http://schemas.openxmlformats.org/officeDocument/2006/relationships/hyperlink" Target="https://e-estonia.com/solutions/x-road-interoperability-services/x-road/" TargetMode="External"/><Relationship Id="rId26" Type="http://schemas.openxmlformats.org/officeDocument/2006/relationships/hyperlink" Target="https://doi.org/10.1111/ecoj.12332" TargetMode="External"/><Relationship Id="rId3" Type="http://schemas.openxmlformats.org/officeDocument/2006/relationships/styles" Target="styles.xml"/><Relationship Id="rId21" Type="http://schemas.openxmlformats.org/officeDocument/2006/relationships/hyperlink" Target="https://docs.developer.tech.gov.sg/docs?category=Analytic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87/9789264026865-en" TargetMode="External"/><Relationship Id="rId17" Type="http://schemas.openxmlformats.org/officeDocument/2006/relationships/hyperlink" Target="https://doi.org/10.1080/00343404.2018.1481743" TargetMode="External"/><Relationship Id="rId25" Type="http://schemas.openxmlformats.org/officeDocument/2006/relationships/hyperlink" Target="https://doi.org/10.1016/j.jimonfin.2018.05.001" TargetMode="External"/><Relationship Id="rId33" Type="http://schemas.openxmlformats.org/officeDocument/2006/relationships/hyperlink" Target="https://www.worldbank.org/en/publication/worldwide-governance-indicators/usage-advisory" TargetMode="External"/><Relationship Id="rId2" Type="http://schemas.openxmlformats.org/officeDocument/2006/relationships/numbering" Target="numbering.xml"/><Relationship Id="rId16" Type="http://schemas.openxmlformats.org/officeDocument/2006/relationships/hyperlink" Target="https://doi.org/10.13133/2037-3643/17486" TargetMode="External"/><Relationship Id="rId20" Type="http://schemas.openxmlformats.org/officeDocument/2006/relationships/hyperlink" Target="https://www.imf.org/en/Publications/WP/Issues/2016/12/31/The-Challenge-of-Debt-Reduction-during-Fiscal-Consolidations-40451" TargetMode="External"/><Relationship Id="rId29" Type="http://schemas.openxmlformats.org/officeDocument/2006/relationships/hyperlink" Target="https://doi.org/10.3386/w224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doi.org/10.1257/jel.46.3.607" TargetMode="External"/><Relationship Id="rId32" Type="http://schemas.openxmlformats.org/officeDocument/2006/relationships/hyperlink" Target="https://www.worldbank.org/content/dam/sites/govindicators/doc/wgireviewresponse.pdf" TargetMode="External"/><Relationship Id="rId5" Type="http://schemas.openxmlformats.org/officeDocument/2006/relationships/webSettings" Target="webSettings.xml"/><Relationship Id="rId15" Type="http://schemas.openxmlformats.org/officeDocument/2006/relationships/hyperlink" Target="https://doi.org/10.1016/j.worlddev.2003.07.002" TargetMode="External"/><Relationship Id="rId23" Type="http://schemas.openxmlformats.org/officeDocument/2006/relationships/hyperlink" Target="https://doi.org/10.1016/j.jimonfin.2005.01.004" TargetMode="External"/><Relationship Id="rId28" Type="http://schemas.openxmlformats.org/officeDocument/2006/relationships/hyperlink" Target="https://doi.org/10.1787/1c258f55-en" TargetMode="External"/><Relationship Id="rId10" Type="http://schemas.openxmlformats.org/officeDocument/2006/relationships/chart" Target="charts/chart1.xml"/><Relationship Id="rId19" Type="http://schemas.openxmlformats.org/officeDocument/2006/relationships/hyperlink" Target="https://doi.org/10.1787/226701168208" TargetMode="External"/><Relationship Id="rId31" Type="http://schemas.openxmlformats.org/officeDocument/2006/relationships/hyperlink" Target="https://www.worldbank.org/en/programs/service-delivery-indica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257/aer.103.3.117" TargetMode="External"/><Relationship Id="rId22" Type="http://schemas.openxmlformats.org/officeDocument/2006/relationships/hyperlink" Target="https://doi.org/10.1111/jeea.12083" TargetMode="External"/><Relationship Id="rId27" Type="http://schemas.openxmlformats.org/officeDocument/2006/relationships/hyperlink" Target="https://www.mois.go.kr/eng/sub/a03/digitalGovernmentServiceExperience/screen.do" TargetMode="External"/><Relationship Id="rId30" Type="http://schemas.openxmlformats.org/officeDocument/2006/relationships/hyperlink" Target="https://www.weforum.org/publications/measuring-digital-trust-supporting-decision-making-for-trustworthy-technologies/"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9525">
              <a:solidFill>
                <a:schemeClr val="bg1">
                  <a:lumMod val="50000"/>
                </a:schemeClr>
              </a:solidFill>
            </a:ln>
          </c:spPr>
          <c:dPt>
            <c:idx val="0"/>
            <c:bubble3D val="0"/>
            <c:spPr>
              <a:solidFill>
                <a:srgbClr val="00BDBF"/>
              </a:solidFill>
              <a:ln w="9525">
                <a:solidFill>
                  <a:schemeClr val="bg1">
                    <a:lumMod val="50000"/>
                  </a:schemeClr>
                </a:solidFill>
              </a:ln>
            </c:spPr>
            <c:extLst>
              <c:ext xmlns:c16="http://schemas.microsoft.com/office/drawing/2014/chart" uri="{C3380CC4-5D6E-409C-BE32-E72D297353CC}">
                <c16:uniqueId val="{00000001-19C2-3D4D-9AEE-4FB12DADA882}"/>
              </c:ext>
            </c:extLst>
          </c:dPt>
          <c:dPt>
            <c:idx val="8"/>
            <c:bubble3D val="0"/>
            <c:spPr>
              <a:solidFill>
                <a:schemeClr val="accent2"/>
              </a:solidFill>
              <a:ln w="9525">
                <a:solidFill>
                  <a:schemeClr val="bg1">
                    <a:lumMod val="50000"/>
                  </a:schemeClr>
                </a:solidFill>
              </a:ln>
            </c:spPr>
            <c:extLst>
              <c:ext xmlns:c16="http://schemas.microsoft.com/office/drawing/2014/chart" uri="{C3380CC4-5D6E-409C-BE32-E72D297353CC}">
                <c16:uniqueId val="{00000003-19C2-3D4D-9AEE-4FB12DADA882}"/>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19C2-3D4D-9AEE-4FB12DADA882}"/>
            </c:ext>
          </c:extLst>
        </c:ser>
        <c:ser>
          <c:idx val="1"/>
          <c:order val="1"/>
          <c:spPr>
            <a:ln w="9525">
              <a:solidFill>
                <a:schemeClr val="tx1">
                  <a:lumMod val="50000"/>
                  <a:lumOff val="50000"/>
                </a:schemeClr>
              </a:solidFill>
            </a:ln>
          </c:spPr>
          <c:dPt>
            <c:idx val="0"/>
            <c:bubble3D val="0"/>
            <c:spPr>
              <a:solidFill>
                <a:schemeClr val="accent3">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19C2-3D4D-9AEE-4FB12DADA882}"/>
              </c:ext>
            </c:extLst>
          </c:dPt>
          <c:dPt>
            <c:idx val="1"/>
            <c:bubble3D val="0"/>
            <c:spPr>
              <a:solidFill>
                <a:schemeClr val="accent3">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19C2-3D4D-9AEE-4FB12DADA882}"/>
              </c:ext>
            </c:extLst>
          </c:dPt>
          <c:dPt>
            <c:idx val="2"/>
            <c:bubble3D val="0"/>
            <c:spPr>
              <a:solidFill>
                <a:schemeClr val="accent3">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19C2-3D4D-9AEE-4FB12DADA882}"/>
              </c:ext>
            </c:extLst>
          </c:dPt>
          <c:dPt>
            <c:idx val="3"/>
            <c:bubble3D val="0"/>
            <c:spPr>
              <a:solidFill>
                <a:srgbClr val="27A738"/>
              </a:solidFill>
              <a:ln w="9525">
                <a:solidFill>
                  <a:schemeClr val="tx1">
                    <a:lumMod val="50000"/>
                    <a:lumOff val="50000"/>
                  </a:schemeClr>
                </a:solidFill>
              </a:ln>
            </c:spPr>
            <c:extLst>
              <c:ext xmlns:c16="http://schemas.microsoft.com/office/drawing/2014/chart" uri="{C3380CC4-5D6E-409C-BE32-E72D297353CC}">
                <c16:uniqueId val="{0000000C-19C2-3D4D-9AEE-4FB12DADA882}"/>
              </c:ext>
            </c:extLst>
          </c:dPt>
          <c:dPt>
            <c:idx val="4"/>
            <c:bubble3D val="0"/>
            <c:spPr>
              <a:solidFill>
                <a:schemeClr val="accent4">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19C2-3D4D-9AEE-4FB12DADA882}"/>
              </c:ext>
            </c:extLst>
          </c:dPt>
          <c:dPt>
            <c:idx val="5"/>
            <c:bubble3D val="0"/>
            <c:spPr>
              <a:solidFill>
                <a:schemeClr val="accent4">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19C2-3D4D-9AEE-4FB12DADA882}"/>
              </c:ext>
            </c:extLst>
          </c:dPt>
          <c:dPt>
            <c:idx val="6"/>
            <c:bubble3D val="0"/>
            <c:spPr>
              <a:solidFill>
                <a:schemeClr val="accent4">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19C2-3D4D-9AEE-4FB12DADA882}"/>
              </c:ext>
            </c:extLst>
          </c:dPt>
          <c:dPt>
            <c:idx val="7"/>
            <c:bubble3D val="0"/>
            <c:spPr>
              <a:solidFill>
                <a:schemeClr val="accent4"/>
              </a:solidFill>
              <a:ln w="9525">
                <a:solidFill>
                  <a:schemeClr val="tx1">
                    <a:lumMod val="50000"/>
                    <a:lumOff val="50000"/>
                  </a:schemeClr>
                </a:solidFill>
              </a:ln>
            </c:spPr>
            <c:extLst>
              <c:ext xmlns:c16="http://schemas.microsoft.com/office/drawing/2014/chart" uri="{C3380CC4-5D6E-409C-BE32-E72D297353CC}">
                <c16:uniqueId val="{00000014-19C2-3D4D-9AEE-4FB12DADA882}"/>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19C2-3D4D-9AEE-4FB12DADA882}"/>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19C2-3D4D-9AEE-4FB12DADA882}"/>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19C2-3D4D-9AEE-4FB12DADA882}"/>
              </c:ext>
            </c:extLst>
          </c:dPt>
          <c:dPt>
            <c:idx val="11"/>
            <c:bubble3D val="0"/>
            <c:spPr>
              <a:solidFill>
                <a:srgbClr val="E58554"/>
              </a:solidFill>
              <a:ln w="9525">
                <a:solidFill>
                  <a:schemeClr val="tx1">
                    <a:lumMod val="50000"/>
                    <a:lumOff val="50000"/>
                  </a:schemeClr>
                </a:solidFill>
              </a:ln>
            </c:spPr>
            <c:extLst>
              <c:ext xmlns:c16="http://schemas.microsoft.com/office/drawing/2014/chart" uri="{C3380CC4-5D6E-409C-BE32-E72D297353CC}">
                <c16:uniqueId val="{0000001C-19C2-3D4D-9AEE-4FB12DADA882}"/>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19C2-3D4D-9AEE-4FB12DADA882}"/>
            </c:ext>
          </c:extLst>
        </c:ser>
        <c:dLbls>
          <c:showLegendKey val="0"/>
          <c:showVal val="0"/>
          <c:showCatName val="0"/>
          <c:showSerName val="0"/>
          <c:showPercent val="0"/>
          <c:showBubbleSize val="0"/>
          <c:showLeaderLines val="1"/>
        </c:dLbls>
        <c:firstSliceAng val="315"/>
        <c:holeSize val="41"/>
      </c:doughnutChart>
    </c:plotArea>
    <c:plotVisOnly val="1"/>
    <c:dispBlanksAs val="gap"/>
    <c:showDLblsOverMax val="0"/>
    <c:extLst/>
  </c:chart>
  <c:spPr>
    <a:no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95157746234439"/>
          <c:y val="7.1182685078937991E-2"/>
          <c:w val="0.70838933970793638"/>
          <c:h val="0.92657833938422363"/>
        </c:manualLayout>
      </c:layout>
      <c:doughnutChart>
        <c:varyColors val="1"/>
        <c:ser>
          <c:idx val="1"/>
          <c:order val="0"/>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Sheet1!$B$1:$B$14</c:f>
              <c:numCache>
                <c:formatCode>General</c:formatCode>
                <c:ptCount val="14"/>
              </c:numCache>
            </c:numRef>
          </c:val>
          <c:extLst>
            <c:ext xmlns:c16="http://schemas.microsoft.com/office/drawing/2014/chart" uri="{C3380CC4-5D6E-409C-BE32-E72D297353CC}">
              <c16:uniqueId val="{00000000-EA34-3D41-BC71-8DC618F0B505}"/>
            </c:ext>
          </c:extLst>
        </c:ser>
        <c:ser>
          <c:idx val="2"/>
          <c:order val="1"/>
          <c:spPr>
            <a:ln w="9525">
              <a:solidFill>
                <a:schemeClr val="bg1">
                  <a:lumMod val="50000"/>
                </a:schemeClr>
              </a:solidFill>
            </a:ln>
          </c:spPr>
          <c:dPt>
            <c:idx val="0"/>
            <c:bubble3D val="0"/>
            <c:spPr>
              <a:solidFill>
                <a:schemeClr val="accent3"/>
              </a:solidFill>
              <a:ln w="9525">
                <a:solidFill>
                  <a:schemeClr val="bg1">
                    <a:lumMod val="50000"/>
                  </a:schemeClr>
                </a:solidFill>
              </a:ln>
            </c:spPr>
            <c:extLst>
              <c:ext xmlns:c16="http://schemas.microsoft.com/office/drawing/2014/chart" uri="{C3380CC4-5D6E-409C-BE32-E72D297353CC}">
                <c16:uniqueId val="{00000002-EA34-3D41-BC71-8DC618F0B505}"/>
              </c:ext>
            </c:extLst>
          </c:dPt>
          <c:dPt>
            <c:idx val="4"/>
            <c:bubble3D val="0"/>
            <c:spPr>
              <a:solidFill>
                <a:schemeClr val="accent4">
                  <a:lumMod val="50000"/>
                </a:schemeClr>
              </a:solidFill>
              <a:ln w="9525">
                <a:solidFill>
                  <a:schemeClr val="bg1">
                    <a:lumMod val="50000"/>
                  </a:schemeClr>
                </a:solidFill>
              </a:ln>
            </c:spPr>
            <c:extLst>
              <c:ext xmlns:c16="http://schemas.microsoft.com/office/drawing/2014/chart" uri="{C3380CC4-5D6E-409C-BE32-E72D297353CC}">
                <c16:uniqueId val="{00000004-EA34-3D41-BC71-8DC618F0B505}"/>
              </c:ext>
            </c:extLst>
          </c:dPt>
          <c:dPt>
            <c:idx val="7"/>
            <c:bubble3D val="0"/>
            <c:spPr>
              <a:solidFill>
                <a:srgbClr val="FF2600"/>
              </a:solidFill>
              <a:ln w="9525">
                <a:solidFill>
                  <a:schemeClr val="bg1">
                    <a:lumMod val="50000"/>
                  </a:schemeClr>
                </a:solidFill>
              </a:ln>
            </c:spPr>
            <c:extLst>
              <c:ext xmlns:c16="http://schemas.microsoft.com/office/drawing/2014/chart" uri="{C3380CC4-5D6E-409C-BE32-E72D297353CC}">
                <c16:uniqueId val="{00000006-EA34-3D41-BC71-8DC618F0B505}"/>
              </c:ext>
            </c:extLst>
          </c:dPt>
          <c:dPt>
            <c:idx val="11"/>
            <c:bubble3D val="0"/>
            <c:spPr>
              <a:solidFill>
                <a:srgbClr val="FF9300"/>
              </a:solidFill>
              <a:ln w="9525">
                <a:solidFill>
                  <a:schemeClr val="bg1">
                    <a:lumMod val="50000"/>
                  </a:schemeClr>
                </a:solidFill>
              </a:ln>
            </c:spPr>
            <c:extLst>
              <c:ext xmlns:c16="http://schemas.microsoft.com/office/drawing/2014/chart" uri="{C3380CC4-5D6E-409C-BE32-E72D297353CC}">
                <c16:uniqueId val="{00000008-EA34-3D41-BC71-8DC618F0B505}"/>
              </c:ext>
            </c:extLst>
          </c:dPt>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Sheet1!$C$1:$C$14</c:f>
              <c:numCache>
                <c:formatCode>General</c:formatCode>
                <c:ptCount val="14"/>
                <c:pt idx="0">
                  <c:v>25</c:v>
                </c:pt>
                <c:pt idx="4">
                  <c:v>30</c:v>
                </c:pt>
                <c:pt idx="7">
                  <c:v>20</c:v>
                </c:pt>
                <c:pt idx="11">
                  <c:v>25</c:v>
                </c:pt>
              </c:numCache>
            </c:numRef>
          </c:val>
          <c:extLst>
            <c:ext xmlns:c16="http://schemas.microsoft.com/office/drawing/2014/chart" uri="{C3380CC4-5D6E-409C-BE32-E72D297353CC}">
              <c16:uniqueId val="{00000009-EA34-3D41-BC71-8DC618F0B505}"/>
            </c:ext>
          </c:extLst>
        </c:ser>
        <c:ser>
          <c:idx val="0"/>
          <c:order val="2"/>
          <c:spPr>
            <a:ln w="9525">
              <a:solidFill>
                <a:schemeClr val="bg1">
                  <a:lumMod val="50000"/>
                </a:schemeClr>
              </a:solidFill>
            </a:ln>
          </c:spPr>
          <c:dPt>
            <c:idx val="0"/>
            <c:bubble3D val="0"/>
            <c:spPr>
              <a:solidFill>
                <a:schemeClr val="accent3">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0B-EA34-3D41-BC71-8DC618F0B505}"/>
              </c:ext>
            </c:extLst>
          </c:dPt>
          <c:dPt>
            <c:idx val="1"/>
            <c:bubble3D val="0"/>
            <c:spPr>
              <a:solidFill>
                <a:schemeClr val="accent3">
                  <a:lumMod val="40000"/>
                  <a:lumOff val="60000"/>
                </a:schemeClr>
              </a:solidFill>
              <a:ln w="9525">
                <a:solidFill>
                  <a:schemeClr val="bg1">
                    <a:lumMod val="50000"/>
                  </a:schemeClr>
                </a:solidFill>
              </a:ln>
              <a:effectLst/>
            </c:spPr>
            <c:extLst>
              <c:ext xmlns:c16="http://schemas.microsoft.com/office/drawing/2014/chart" uri="{C3380CC4-5D6E-409C-BE32-E72D297353CC}">
                <c16:uniqueId val="{0000000D-EA34-3D41-BC71-8DC618F0B505}"/>
              </c:ext>
            </c:extLst>
          </c:dPt>
          <c:dPt>
            <c:idx val="2"/>
            <c:bubble3D val="0"/>
            <c:spPr>
              <a:solidFill>
                <a:schemeClr val="accent3">
                  <a:lumMod val="20000"/>
                  <a:lumOff val="80000"/>
                </a:schemeClr>
              </a:solidFill>
              <a:ln w="9525">
                <a:solidFill>
                  <a:schemeClr val="bg1">
                    <a:lumMod val="50000"/>
                  </a:schemeClr>
                </a:solidFill>
              </a:ln>
              <a:effectLst/>
            </c:spPr>
            <c:extLst>
              <c:ext xmlns:c16="http://schemas.microsoft.com/office/drawing/2014/chart" uri="{C3380CC4-5D6E-409C-BE32-E72D297353CC}">
                <c16:uniqueId val="{0000000F-EA34-3D41-BC71-8DC618F0B505}"/>
              </c:ext>
            </c:extLst>
          </c:dPt>
          <c:dPt>
            <c:idx val="3"/>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1-EA34-3D41-BC71-8DC618F0B505}"/>
              </c:ext>
            </c:extLst>
          </c:dPt>
          <c:dPt>
            <c:idx val="4"/>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3-EA34-3D41-BC71-8DC618F0B505}"/>
              </c:ext>
            </c:extLst>
          </c:dPt>
          <c:dPt>
            <c:idx val="5"/>
            <c:bubble3D val="0"/>
            <c:spPr>
              <a:solidFill>
                <a:schemeClr val="accent4">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15-EA34-3D41-BC71-8DC618F0B505}"/>
              </c:ext>
            </c:extLst>
          </c:dPt>
          <c:dPt>
            <c:idx val="6"/>
            <c:bubble3D val="0"/>
            <c:spPr>
              <a:solidFill>
                <a:schemeClr val="accent1">
                  <a:lumMod val="60000"/>
                </a:schemeClr>
              </a:solidFill>
              <a:ln w="9525">
                <a:solidFill>
                  <a:schemeClr val="bg1">
                    <a:lumMod val="50000"/>
                  </a:schemeClr>
                </a:solidFill>
              </a:ln>
              <a:effectLst/>
            </c:spPr>
            <c:extLst>
              <c:ext xmlns:c16="http://schemas.microsoft.com/office/drawing/2014/chart" uri="{C3380CC4-5D6E-409C-BE32-E72D297353CC}">
                <c16:uniqueId val="{00000017-EA34-3D41-BC71-8DC618F0B505}"/>
              </c:ext>
            </c:extLst>
          </c:dPt>
          <c:dPt>
            <c:idx val="7"/>
            <c:bubble3D val="0"/>
            <c:spPr>
              <a:solidFill>
                <a:srgbClr val="FF7E79"/>
              </a:solidFill>
              <a:ln w="9525">
                <a:solidFill>
                  <a:schemeClr val="bg1">
                    <a:lumMod val="50000"/>
                  </a:schemeClr>
                </a:solidFill>
              </a:ln>
              <a:effectLst/>
            </c:spPr>
            <c:extLst>
              <c:ext xmlns:c16="http://schemas.microsoft.com/office/drawing/2014/chart" uri="{C3380CC4-5D6E-409C-BE32-E72D297353CC}">
                <c16:uniqueId val="{00000019-EA34-3D41-BC71-8DC618F0B505}"/>
              </c:ext>
            </c:extLst>
          </c:dPt>
          <c:dPt>
            <c:idx val="8"/>
            <c:bubble3D val="0"/>
            <c:spPr>
              <a:solidFill>
                <a:srgbClr val="FBA5A1"/>
              </a:solidFill>
              <a:ln w="9525">
                <a:solidFill>
                  <a:schemeClr val="bg1">
                    <a:lumMod val="50000"/>
                  </a:schemeClr>
                </a:solidFill>
              </a:ln>
              <a:effectLst/>
            </c:spPr>
            <c:extLst>
              <c:ext xmlns:c16="http://schemas.microsoft.com/office/drawing/2014/chart" uri="{C3380CC4-5D6E-409C-BE32-E72D297353CC}">
                <c16:uniqueId val="{0000001B-EA34-3D41-BC71-8DC618F0B505}"/>
              </c:ext>
            </c:extLst>
          </c:dPt>
          <c:dPt>
            <c:idx val="9"/>
            <c:bubble3D val="0"/>
            <c:spPr>
              <a:solidFill>
                <a:srgbClr val="F6C9C3"/>
              </a:solidFill>
              <a:ln w="9525">
                <a:solidFill>
                  <a:schemeClr val="bg1">
                    <a:lumMod val="50000"/>
                  </a:schemeClr>
                </a:solidFill>
              </a:ln>
              <a:effectLst/>
            </c:spPr>
            <c:extLst>
              <c:ext xmlns:c16="http://schemas.microsoft.com/office/drawing/2014/chart" uri="{C3380CC4-5D6E-409C-BE32-E72D297353CC}">
                <c16:uniqueId val="{0000001D-EA34-3D41-BC71-8DC618F0B505}"/>
              </c:ext>
            </c:extLst>
          </c:dPt>
          <c:dPt>
            <c:idx val="10"/>
            <c:bubble3D val="0"/>
            <c:spPr>
              <a:solidFill>
                <a:schemeClr val="accent5">
                  <a:lumMod val="60000"/>
                </a:schemeClr>
              </a:solidFill>
              <a:ln w="9525">
                <a:solidFill>
                  <a:schemeClr val="bg1">
                    <a:lumMod val="50000"/>
                  </a:schemeClr>
                </a:solidFill>
              </a:ln>
              <a:effectLst/>
            </c:spPr>
            <c:extLst>
              <c:ext xmlns:c16="http://schemas.microsoft.com/office/drawing/2014/chart" uri="{C3380CC4-5D6E-409C-BE32-E72D297353CC}">
                <c16:uniqueId val="{0000001F-EA34-3D41-BC71-8DC618F0B505}"/>
              </c:ext>
            </c:extLst>
          </c:dPt>
          <c:dPt>
            <c:idx val="11"/>
            <c:bubble3D val="0"/>
            <c:spPr>
              <a:solidFill>
                <a:srgbClr val="FFBA00"/>
              </a:solidFill>
              <a:ln w="9525">
                <a:solidFill>
                  <a:schemeClr val="bg1">
                    <a:lumMod val="50000"/>
                  </a:schemeClr>
                </a:solidFill>
              </a:ln>
              <a:effectLst/>
            </c:spPr>
            <c:extLst>
              <c:ext xmlns:c16="http://schemas.microsoft.com/office/drawing/2014/chart" uri="{C3380CC4-5D6E-409C-BE32-E72D297353CC}">
                <c16:uniqueId val="{00000021-EA34-3D41-BC71-8DC618F0B505}"/>
              </c:ext>
            </c:extLst>
          </c:dPt>
          <c:dPt>
            <c:idx val="12"/>
            <c:bubble3D val="0"/>
            <c:spPr>
              <a:solidFill>
                <a:srgbClr val="FFD579"/>
              </a:solidFill>
              <a:ln w="9525">
                <a:solidFill>
                  <a:schemeClr val="bg1">
                    <a:lumMod val="50000"/>
                  </a:schemeClr>
                </a:solidFill>
              </a:ln>
              <a:effectLst/>
            </c:spPr>
            <c:extLst>
              <c:ext xmlns:c16="http://schemas.microsoft.com/office/drawing/2014/chart" uri="{C3380CC4-5D6E-409C-BE32-E72D297353CC}">
                <c16:uniqueId val="{00000023-EA34-3D41-BC71-8DC618F0B505}"/>
              </c:ext>
            </c:extLst>
          </c:dPt>
          <c:dPt>
            <c:idx val="13"/>
            <c:bubble3D val="0"/>
            <c:spPr>
              <a:solidFill>
                <a:schemeClr val="accent2">
                  <a:lumMod val="80000"/>
                  <a:lumOff val="20000"/>
                </a:schemeClr>
              </a:solidFill>
              <a:ln w="9525">
                <a:solidFill>
                  <a:schemeClr val="bg1">
                    <a:lumMod val="50000"/>
                  </a:schemeClr>
                </a:solidFill>
              </a:ln>
              <a:effectLst/>
            </c:spPr>
            <c:extLst>
              <c:ext xmlns:c16="http://schemas.microsoft.com/office/drawing/2014/chart" uri="{C3380CC4-5D6E-409C-BE32-E72D297353CC}">
                <c16:uniqueId val="{00000025-EA34-3D41-BC71-8DC618F0B505}"/>
              </c:ext>
            </c:extLst>
          </c:dPt>
          <c:cat>
            <c:strRef>
              <c:f>Sheet1!$A$18:$A$31</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Sheet1!$B$18:$B$31</c:f>
              <c:numCache>
                <c:formatCode>General</c:formatCode>
                <c:ptCount val="14"/>
                <c:pt idx="0">
                  <c:v>15</c:v>
                </c:pt>
                <c:pt idx="1">
                  <c:v>5</c:v>
                </c:pt>
                <c:pt idx="2">
                  <c:v>5</c:v>
                </c:pt>
                <c:pt idx="4">
                  <c:v>15</c:v>
                </c:pt>
                <c:pt idx="5">
                  <c:v>15</c:v>
                </c:pt>
                <c:pt idx="7">
                  <c:v>10</c:v>
                </c:pt>
                <c:pt idx="8">
                  <c:v>5</c:v>
                </c:pt>
                <c:pt idx="9">
                  <c:v>5</c:v>
                </c:pt>
                <c:pt idx="11">
                  <c:v>15</c:v>
                </c:pt>
                <c:pt idx="12">
                  <c:v>10</c:v>
                </c:pt>
              </c:numCache>
            </c:numRef>
          </c:val>
          <c:extLst>
            <c:ext xmlns:c16="http://schemas.microsoft.com/office/drawing/2014/chart" uri="{C3380CC4-5D6E-409C-BE32-E72D297353CC}">
              <c16:uniqueId val="{00000026-EA34-3D41-BC71-8DC618F0B505}"/>
            </c:ext>
          </c:extLst>
        </c:ser>
        <c:dLbls>
          <c:showLegendKey val="0"/>
          <c:showVal val="0"/>
          <c:showCatName val="0"/>
          <c:showSerName val="0"/>
          <c:showPercent val="0"/>
          <c:showBubbleSize val="0"/>
          <c:showLeaderLines val="1"/>
        </c:dLbls>
        <c:firstSliceAng val="0"/>
        <c:holeSize val="15"/>
      </c:doughnutChart>
    </c:plotArea>
    <c:plotVisOnly val="1"/>
    <c:dispBlanksAs val="gap"/>
    <c:showDLblsOverMax val="0"/>
    <c:extLst/>
  </c:chart>
  <c:spPr>
    <a:noFill/>
    <a:ln>
      <a:noFill/>
    </a:ln>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9772</Words>
  <Characters>55704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Catherine Dai</cp:lastModifiedBy>
  <cp:revision>4</cp:revision>
  <cp:lastPrinted>2025-05-31T15:03:00Z</cp:lastPrinted>
  <dcterms:created xsi:type="dcterms:W3CDTF">2025-05-31T15:03:00Z</dcterms:created>
  <dcterms:modified xsi:type="dcterms:W3CDTF">2025-06-13T04:03:00Z</dcterms:modified>
</cp:coreProperties>
</file>