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B2CA7" w14:textId="77777777" w:rsidR="00880BA6" w:rsidRPr="00880BA6" w:rsidRDefault="00880BA6" w:rsidP="00880BA6">
      <w:pPr>
        <w:spacing w:line="360" w:lineRule="auto"/>
        <w:jc w:val="both"/>
        <w:rPr>
          <w:sz w:val="22"/>
          <w:szCs w:val="22"/>
        </w:rPr>
      </w:pPr>
      <w:r w:rsidRPr="00880BA6">
        <w:rPr>
          <w:sz w:val="22"/>
          <w:szCs w:val="22"/>
        </w:rPr>
        <w:t>Trustworthy Digital Society Hub</w:t>
      </w:r>
    </w:p>
    <w:p w14:paraId="2AECDD42" w14:textId="4917713D" w:rsidR="00880BA6" w:rsidRPr="00880BA6" w:rsidRDefault="00707278" w:rsidP="00880BA6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May </w:t>
      </w:r>
      <w:r w:rsidR="00880BA6" w:rsidRPr="00880BA6">
        <w:rPr>
          <w:sz w:val="22"/>
          <w:szCs w:val="22"/>
        </w:rPr>
        <w:t>2025</w:t>
      </w:r>
    </w:p>
    <w:p w14:paraId="5BF0F79B" w14:textId="77777777" w:rsidR="00880BA6" w:rsidRPr="00880BA6" w:rsidRDefault="00880BA6" w:rsidP="00880BA6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</w:p>
    <w:p w14:paraId="4657CBDA" w14:textId="77777777" w:rsidR="00880BA6" w:rsidRPr="00880BA6" w:rsidRDefault="00880BA6" w:rsidP="00880BA6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</w:p>
    <w:p w14:paraId="31343C2B" w14:textId="335F1EE9" w:rsidR="00880BA6" w:rsidRPr="00880BA6" w:rsidRDefault="00880BA6" w:rsidP="00880BA6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 w:rsidRPr="00880BA6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Trust</w:t>
      </w:r>
      <w:r w:rsidRPr="00880BA6">
        <w:rPr>
          <w:rFonts w:ascii="Times New Roman" w:hAnsi="Times New Roman" w:cs="Times New Roman"/>
          <w:b/>
          <w:bCs/>
          <w:sz w:val="28"/>
          <w:szCs w:val="28"/>
        </w:rPr>
        <w:t xml:space="preserve"> Index for </w:t>
      </w:r>
      <w:r>
        <w:rPr>
          <w:rFonts w:ascii="Times New Roman" w:hAnsi="Times New Roman" w:cs="Times New Roman"/>
          <w:b/>
          <w:bCs/>
          <w:sz w:val="28"/>
          <w:szCs w:val="28"/>
        </w:rPr>
        <w:t>Sovereign</w:t>
      </w:r>
      <w:r w:rsidR="007122A1">
        <w:rPr>
          <w:rFonts w:ascii="Times New Roman" w:hAnsi="Times New Roman" w:cs="Times New Roman"/>
          <w:b/>
          <w:bCs/>
          <w:sz w:val="28"/>
          <w:szCs w:val="28"/>
        </w:rPr>
        <w:t xml:space="preserve"> and Sub-sovereign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Assessments</w:t>
      </w:r>
    </w:p>
    <w:p w14:paraId="3BF50C85" w14:textId="77777777" w:rsidR="00880BA6" w:rsidRPr="00880BA6" w:rsidRDefault="00880BA6" w:rsidP="00880BA6">
      <w:pPr>
        <w:rPr>
          <w:lang w:val="en-GB" w:eastAsia="ja-JP"/>
        </w:rPr>
      </w:pPr>
    </w:p>
    <w:p w14:paraId="42EE2E6C" w14:textId="5678A902" w:rsidR="00880BA6" w:rsidRPr="00480021" w:rsidRDefault="00880BA6" w:rsidP="00480021">
      <w:pPr>
        <w:spacing w:after="240"/>
        <w:rPr>
          <w:b/>
          <w:bCs/>
          <w:sz w:val="22"/>
          <w:szCs w:val="22"/>
        </w:rPr>
      </w:pPr>
      <w:r w:rsidRPr="00480021">
        <w:rPr>
          <w:b/>
          <w:bCs/>
          <w:sz w:val="22"/>
          <w:szCs w:val="22"/>
        </w:rPr>
        <w:t>Introduction</w:t>
      </w:r>
    </w:p>
    <w:p w14:paraId="5DCD2D64" w14:textId="371E15A2" w:rsidR="007122A1" w:rsidRDefault="007122A1" w:rsidP="007122A1">
      <w:pPr>
        <w:spacing w:before="240" w:line="360" w:lineRule="auto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governing institutions of a country, region, or municipality express their effectiveness through the </w:t>
      </w:r>
      <w:r w:rsidR="00880BA6">
        <w:rPr>
          <w:sz w:val="22"/>
          <w:szCs w:val="22"/>
        </w:rPr>
        <w:t>quality of</w:t>
      </w:r>
      <w:r>
        <w:rPr>
          <w:sz w:val="22"/>
          <w:szCs w:val="22"/>
        </w:rPr>
        <w:t xml:space="preserve"> </w:t>
      </w:r>
      <w:r w:rsidR="00880BA6">
        <w:rPr>
          <w:sz w:val="22"/>
          <w:szCs w:val="22"/>
        </w:rPr>
        <w:t>public services</w:t>
      </w:r>
      <w:r>
        <w:rPr>
          <w:sz w:val="22"/>
          <w:szCs w:val="22"/>
        </w:rPr>
        <w:t xml:space="preserve"> that they deliver. </w:t>
      </w:r>
      <w:r>
        <w:rPr>
          <w:sz w:val="22"/>
          <w:szCs w:val="22"/>
        </w:rPr>
        <w:t>The</w:t>
      </w:r>
      <w:r>
        <w:rPr>
          <w:sz w:val="22"/>
          <w:szCs w:val="22"/>
        </w:rPr>
        <w:t>se</w:t>
      </w:r>
      <w:r>
        <w:rPr>
          <w:sz w:val="22"/>
          <w:szCs w:val="22"/>
        </w:rPr>
        <w:t xml:space="preserve"> services </w:t>
      </w:r>
      <w:r>
        <w:rPr>
          <w:sz w:val="22"/>
          <w:szCs w:val="22"/>
        </w:rPr>
        <w:t>are live demonstrations of the capacity of institutions to plan, fund</w:t>
      </w:r>
      <w:r>
        <w:rPr>
          <w:sz w:val="22"/>
          <w:szCs w:val="22"/>
        </w:rPr>
        <w:t>, implement, and maint</w:t>
      </w:r>
      <w:r>
        <w:rPr>
          <w:sz w:val="22"/>
          <w:szCs w:val="22"/>
        </w:rPr>
        <w:t>ain operations across a range of critical social and economic functions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The standards of public services enjoyed by different populations reflect the </w:t>
      </w:r>
      <w:r>
        <w:rPr>
          <w:sz w:val="22"/>
          <w:szCs w:val="22"/>
        </w:rPr>
        <w:t xml:space="preserve">competence, </w:t>
      </w:r>
      <w:r>
        <w:rPr>
          <w:sz w:val="22"/>
          <w:szCs w:val="22"/>
        </w:rPr>
        <w:t xml:space="preserve">reliability, </w:t>
      </w:r>
      <w:r>
        <w:rPr>
          <w:sz w:val="22"/>
          <w:szCs w:val="22"/>
        </w:rPr>
        <w:t xml:space="preserve">adaptability, innovation, and </w:t>
      </w:r>
      <w:r>
        <w:rPr>
          <w:sz w:val="22"/>
          <w:szCs w:val="22"/>
        </w:rPr>
        <w:t>accountability of their governments, and their general ability to translate policy into practice</w:t>
      </w:r>
      <w:r>
        <w:rPr>
          <w:sz w:val="22"/>
          <w:szCs w:val="22"/>
        </w:rPr>
        <w:t>.</w:t>
      </w:r>
      <w:r>
        <w:rPr>
          <w:sz w:val="22"/>
          <w:szCs w:val="22"/>
        </w:rPr>
        <w:t xml:space="preserve"> The capacity of governments to deliver services to individuals – on a general basis and during critical life events – forms a basis for public trust and institutional legitimacy.</w:t>
      </w:r>
      <w:r>
        <w:rPr>
          <w:sz w:val="22"/>
          <w:szCs w:val="22"/>
        </w:rPr>
        <w:t xml:space="preserve"> </w:t>
      </w:r>
      <w:r w:rsidR="00480021">
        <w:rPr>
          <w:sz w:val="22"/>
          <w:szCs w:val="22"/>
        </w:rPr>
        <w:t>S</w:t>
      </w:r>
      <w:r>
        <w:rPr>
          <w:sz w:val="22"/>
          <w:szCs w:val="22"/>
        </w:rPr>
        <w:t xml:space="preserve">tandards of public service delivery can inform estimations of the institutional strength and resilience of debt-issuing </w:t>
      </w:r>
      <w:r>
        <w:rPr>
          <w:sz w:val="22"/>
          <w:szCs w:val="22"/>
        </w:rPr>
        <w:t xml:space="preserve">sovereign and sub-sovereign </w:t>
      </w:r>
      <w:r>
        <w:rPr>
          <w:sz w:val="22"/>
          <w:szCs w:val="22"/>
        </w:rPr>
        <w:t xml:space="preserve">governments. </w:t>
      </w:r>
    </w:p>
    <w:p w14:paraId="2D711EC5" w14:textId="7EC70975" w:rsidR="007122A1" w:rsidRDefault="007122A1" w:rsidP="00A23B8C">
      <w:pPr>
        <w:spacing w:line="360" w:lineRule="auto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digitisation of service delivery </w:t>
      </w:r>
      <w:r w:rsidR="00020EF2">
        <w:rPr>
          <w:sz w:val="22"/>
          <w:szCs w:val="22"/>
        </w:rPr>
        <w:t>makes</w:t>
      </w:r>
      <w:r>
        <w:rPr>
          <w:sz w:val="22"/>
          <w:szCs w:val="22"/>
        </w:rPr>
        <w:t xml:space="preserve"> the </w:t>
      </w:r>
      <w:r w:rsidR="00283F9C">
        <w:rPr>
          <w:sz w:val="22"/>
          <w:szCs w:val="22"/>
        </w:rPr>
        <w:t>reliability and</w:t>
      </w:r>
      <w:r>
        <w:rPr>
          <w:sz w:val="22"/>
          <w:szCs w:val="22"/>
        </w:rPr>
        <w:t xml:space="preserve"> trustworthiness of digital systems central to institutional credibility. Digitisation enables increasingly detailed real-time monitoring of institutional performanc</w:t>
      </w:r>
      <w:r w:rsidR="0056129C">
        <w:rPr>
          <w:sz w:val="22"/>
          <w:szCs w:val="22"/>
        </w:rPr>
        <w:t xml:space="preserve">e, through platforms supporting </w:t>
      </w:r>
      <w:r>
        <w:rPr>
          <w:sz w:val="22"/>
          <w:szCs w:val="22"/>
        </w:rPr>
        <w:t>the collection and analysis of voluminous</w:t>
      </w:r>
      <w:r w:rsidR="0056129C">
        <w:rPr>
          <w:sz w:val="22"/>
          <w:szCs w:val="22"/>
        </w:rPr>
        <w:t xml:space="preserve"> data on service quality: </w:t>
      </w:r>
      <w:r>
        <w:rPr>
          <w:sz w:val="22"/>
          <w:szCs w:val="22"/>
        </w:rPr>
        <w:t>objective</w:t>
      </w:r>
      <w:r w:rsidR="0056129C">
        <w:rPr>
          <w:sz w:val="22"/>
          <w:szCs w:val="22"/>
        </w:rPr>
        <w:t xml:space="preserve"> metrics for processes and outcomes,</w:t>
      </w:r>
      <w:r>
        <w:rPr>
          <w:sz w:val="22"/>
          <w:szCs w:val="22"/>
        </w:rPr>
        <w:t xml:space="preserve"> and subjective</w:t>
      </w:r>
      <w:r w:rsidR="0056129C">
        <w:rPr>
          <w:sz w:val="22"/>
          <w:szCs w:val="22"/>
        </w:rPr>
        <w:t xml:space="preserve"> metrics for user experience and trust. </w:t>
      </w:r>
      <w:r>
        <w:rPr>
          <w:sz w:val="22"/>
          <w:szCs w:val="22"/>
        </w:rPr>
        <w:t xml:space="preserve">A global trust index that summarises information on the quality of government services – and the maturity of their underlying digital systems – can serve </w:t>
      </w:r>
      <w:r w:rsidR="0056129C">
        <w:rPr>
          <w:sz w:val="22"/>
          <w:szCs w:val="22"/>
        </w:rPr>
        <w:t>to track and benchmark</w:t>
      </w:r>
      <w:r>
        <w:rPr>
          <w:sz w:val="22"/>
          <w:szCs w:val="22"/>
        </w:rPr>
        <w:t xml:space="preserve"> factors relevant to modern credit assessments.</w:t>
      </w:r>
      <w:r w:rsidR="00A23B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This note will briefly review the sovereign assessment methodology of the three major credit ratings agencies – Moody’s, Standard &amp; </w:t>
      </w:r>
      <w:r w:rsidR="008C77E0">
        <w:rPr>
          <w:sz w:val="22"/>
          <w:szCs w:val="22"/>
        </w:rPr>
        <w:t>Poor’s</w:t>
      </w:r>
      <w:r>
        <w:rPr>
          <w:sz w:val="22"/>
          <w:szCs w:val="22"/>
        </w:rPr>
        <w:t>, and Fitch – before explaining the role that a global trust index c</w:t>
      </w:r>
      <w:r w:rsidR="000421D6">
        <w:rPr>
          <w:sz w:val="22"/>
          <w:szCs w:val="22"/>
        </w:rPr>
        <w:t>an</w:t>
      </w:r>
      <w:r>
        <w:rPr>
          <w:sz w:val="22"/>
          <w:szCs w:val="22"/>
        </w:rPr>
        <w:t xml:space="preserve"> play in supporting future assessments.    </w:t>
      </w:r>
    </w:p>
    <w:p w14:paraId="15A3AAD7" w14:textId="77777777" w:rsidR="007122A1" w:rsidRDefault="007122A1" w:rsidP="007122A1">
      <w:pPr>
        <w:spacing w:line="360" w:lineRule="auto"/>
        <w:jc w:val="both"/>
        <w:rPr>
          <w:sz w:val="22"/>
          <w:szCs w:val="22"/>
        </w:rPr>
      </w:pPr>
    </w:p>
    <w:p w14:paraId="07B596C7" w14:textId="77777777" w:rsidR="00283F9C" w:rsidRDefault="00283F9C" w:rsidP="00480021">
      <w:pPr>
        <w:spacing w:after="2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Assessment Methodologies</w:t>
      </w:r>
    </w:p>
    <w:p w14:paraId="2396F0D4" w14:textId="2419AAAE" w:rsidR="007122A1" w:rsidRPr="00283F9C" w:rsidRDefault="007122A1" w:rsidP="00480021">
      <w:pPr>
        <w:spacing w:after="240"/>
        <w:rPr>
          <w:i/>
          <w:iCs/>
          <w:sz w:val="22"/>
          <w:szCs w:val="22"/>
        </w:rPr>
      </w:pPr>
      <w:r w:rsidRPr="00283F9C">
        <w:rPr>
          <w:i/>
          <w:iCs/>
          <w:sz w:val="22"/>
          <w:szCs w:val="22"/>
        </w:rPr>
        <w:t>Moody’s</w:t>
      </w:r>
    </w:p>
    <w:p w14:paraId="2C812492" w14:textId="509D04A4" w:rsidR="007122A1" w:rsidRDefault="007122A1" w:rsidP="007122A1">
      <w:pPr>
        <w:spacing w:line="360" w:lineRule="auto"/>
        <w:ind w:firstLine="360"/>
        <w:jc w:val="both"/>
        <w:rPr>
          <w:sz w:val="22"/>
          <w:szCs w:val="22"/>
        </w:rPr>
      </w:pPr>
      <w:r w:rsidRPr="007122A1">
        <w:rPr>
          <w:sz w:val="22"/>
          <w:szCs w:val="22"/>
        </w:rPr>
        <w:t xml:space="preserve">Moody’s starts every sovereign rating with an empirical scorecard that sits inside a wider, judgment‑based committee process. The scorecard is organised around four building‑block factors—Economic Strength, Institutions &amp; Governance Strength, Fiscal </w:t>
      </w:r>
      <w:proofErr w:type="gramStart"/>
      <w:r w:rsidRPr="007122A1">
        <w:rPr>
          <w:sz w:val="22"/>
          <w:szCs w:val="22"/>
        </w:rPr>
        <w:t>Strength</w:t>
      </w:r>
      <w:proofErr w:type="gramEnd"/>
      <w:r w:rsidRPr="007122A1">
        <w:rPr>
          <w:sz w:val="22"/>
          <w:szCs w:val="22"/>
        </w:rPr>
        <w:t xml:space="preserve"> and Susceptibility to Event Risk. Economic Strength and Institutions &amp; Governance are averaged (with a simple 50/50 split) to create what Moody’s calls the “Economic Resiliency” anchor. That anchor is then combined with Fiscal Strength using dynamic weights that move gradually as a country becomes wealthier, larger and better‑governed: at the top of the rating scale Fiscal Strength carries barely one‑quarter of the overall weight, whereas for the weakest sovereigns it can account for roughly half. The last step is a downward </w:t>
      </w:r>
      <w:r w:rsidRPr="007122A1">
        <w:rPr>
          <w:sz w:val="22"/>
          <w:szCs w:val="22"/>
        </w:rPr>
        <w:lastRenderedPageBreak/>
        <w:t>(never upward) adjustment for Event‑Risk exposures, after which the scorecard produces a broad rating range that the committee can refine further.</w:t>
      </w:r>
    </w:p>
    <w:p w14:paraId="3C364141" w14:textId="77777777" w:rsidR="007122A1" w:rsidRPr="007122A1" w:rsidRDefault="007122A1" w:rsidP="007122A1">
      <w:pPr>
        <w:pStyle w:val="ListParagraph"/>
        <w:numPr>
          <w:ilvl w:val="0"/>
          <w:numId w:val="1"/>
        </w:numPr>
        <w:spacing w:after="24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Moody’s</w:t>
      </w:r>
    </w:p>
    <w:p w14:paraId="0872405F" w14:textId="77777777" w:rsidR="007122A1" w:rsidRPr="007122A1" w:rsidRDefault="007122A1" w:rsidP="007122A1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The governing institutions of a country, region or municipality express their effectiveness through the quality of the</w:t>
      </w:r>
    </w:p>
    <w:p w14:paraId="0CF8B4A1" w14:textId="77777777" w:rsidR="007122A1" w:rsidRPr="007122A1" w:rsidRDefault="007122A1" w:rsidP="007122A1">
      <w:pPr>
        <w:spacing w:line="360" w:lineRule="auto"/>
        <w:jc w:val="both"/>
        <w:rPr>
          <w:sz w:val="22"/>
          <w:szCs w:val="22"/>
        </w:rPr>
      </w:pPr>
    </w:p>
    <w:sectPr w:rsidR="007122A1" w:rsidRPr="00712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F77495"/>
    <w:multiLevelType w:val="hybridMultilevel"/>
    <w:tmpl w:val="9E4AF5B2"/>
    <w:lvl w:ilvl="0" w:tplc="0809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81754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A6"/>
    <w:rsid w:val="00020EF2"/>
    <w:rsid w:val="000421D6"/>
    <w:rsid w:val="001461B9"/>
    <w:rsid w:val="001A7527"/>
    <w:rsid w:val="00283F9C"/>
    <w:rsid w:val="00477D0F"/>
    <w:rsid w:val="00480021"/>
    <w:rsid w:val="0056129C"/>
    <w:rsid w:val="00570F3B"/>
    <w:rsid w:val="00707278"/>
    <w:rsid w:val="007122A1"/>
    <w:rsid w:val="00727C84"/>
    <w:rsid w:val="00880BA6"/>
    <w:rsid w:val="008C77E0"/>
    <w:rsid w:val="008E6D88"/>
    <w:rsid w:val="00A23B8C"/>
    <w:rsid w:val="00EE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97321"/>
  <w15:docId w15:val="{7172E437-F44F-BB4D-8DB9-76F8AA4C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BA6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0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B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B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B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B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B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B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2"/>
    <w:qFormat/>
    <w:rsid w:val="00880B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880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B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B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B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B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B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Kelly</dc:creator>
  <cp:keywords/>
  <dc:description/>
  <cp:lastModifiedBy>Gerard Kelly</cp:lastModifiedBy>
  <cp:revision>3</cp:revision>
  <dcterms:created xsi:type="dcterms:W3CDTF">2025-05-05T15:12:00Z</dcterms:created>
  <dcterms:modified xsi:type="dcterms:W3CDTF">2025-05-05T15:51:00Z</dcterms:modified>
</cp:coreProperties>
</file>