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2CA7" w14:textId="77777777" w:rsidR="00880BA6" w:rsidRPr="00234E34" w:rsidRDefault="00880BA6"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Trustworthy Digital Society Hub</w:t>
      </w:r>
    </w:p>
    <w:p w14:paraId="7A939872" w14:textId="0B4C38CA" w:rsidR="00EE4CA8" w:rsidRPr="00234E34" w:rsidRDefault="00707278"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 xml:space="preserve">May </w:t>
      </w:r>
      <w:r w:rsidR="00880BA6" w:rsidRPr="00234E34">
        <w:rPr>
          <w:rFonts w:ascii="Arial Hebrew Light" w:hAnsi="Arial Hebrew Light" w:cs="Arial Hebrew Light" w:hint="cs"/>
          <w:sz w:val="21"/>
          <w:szCs w:val="21"/>
        </w:rPr>
        <w:t>2025</w:t>
      </w:r>
    </w:p>
    <w:p w14:paraId="521486B3" w14:textId="77777777" w:rsidR="00084C52" w:rsidRPr="00234E34" w:rsidRDefault="00084C52" w:rsidP="000F0B70">
      <w:pPr>
        <w:rPr>
          <w:rFonts w:ascii="Arial Hebrew Light" w:hAnsi="Arial Hebrew Light" w:cs="Arial Hebrew Light" w:hint="cs"/>
          <w:sz w:val="22"/>
          <w:szCs w:val="22"/>
        </w:rPr>
      </w:pPr>
    </w:p>
    <w:p w14:paraId="6008CCB4" w14:textId="77777777" w:rsidR="00EE4CA8" w:rsidRPr="00234E34" w:rsidRDefault="00EE4CA8" w:rsidP="000F0B70">
      <w:pPr>
        <w:rPr>
          <w:rFonts w:ascii="Arial Hebrew Light" w:hAnsi="Arial Hebrew Light" w:cs="Arial Hebrew Light" w:hint="cs"/>
          <w:sz w:val="22"/>
          <w:szCs w:val="22"/>
        </w:rPr>
      </w:pPr>
    </w:p>
    <w:p w14:paraId="7E577A17" w14:textId="77777777" w:rsidR="00EE4CA8" w:rsidRPr="00234E34" w:rsidRDefault="00EE4CA8" w:rsidP="000F0B70">
      <w:pPr>
        <w:rPr>
          <w:rFonts w:ascii="Arial Hebrew Light" w:hAnsi="Arial Hebrew Light" w:cs="Arial Hebrew Light" w:hint="cs"/>
          <w:sz w:val="22"/>
          <w:szCs w:val="22"/>
        </w:rPr>
      </w:pPr>
    </w:p>
    <w:p w14:paraId="31343C2B" w14:textId="2C2F7E9A" w:rsidR="00880BA6" w:rsidRPr="00234E34" w:rsidRDefault="00880BA6" w:rsidP="000F0B70">
      <w:pPr>
        <w:pStyle w:val="Title"/>
        <w:rPr>
          <w:rFonts w:ascii="Arial Hebrew Light" w:hAnsi="Arial Hebrew Light" w:cs="Arial Hebrew Light" w:hint="cs"/>
          <w:sz w:val="32"/>
          <w:szCs w:val="32"/>
        </w:rPr>
      </w:pPr>
      <w:r w:rsidRPr="00234E34">
        <w:rPr>
          <w:rFonts w:ascii="Arial Hebrew Light" w:hAnsi="Arial Hebrew Light" w:cs="Arial Hebrew Light" w:hint="cs"/>
          <w:sz w:val="32"/>
          <w:szCs w:val="32"/>
        </w:rPr>
        <w:t>A Trust Index for Sovereign</w:t>
      </w:r>
      <w:r w:rsidR="007122A1" w:rsidRPr="00234E34">
        <w:rPr>
          <w:rFonts w:ascii="Arial Hebrew Light" w:hAnsi="Arial Hebrew Light" w:cs="Arial Hebrew Light" w:hint="cs"/>
          <w:sz w:val="32"/>
          <w:szCs w:val="32"/>
        </w:rPr>
        <w:t xml:space="preserve"> and Sub</w:t>
      </w:r>
      <w:r w:rsidR="00EE4CA8" w:rsidRPr="00234E34">
        <w:rPr>
          <w:rFonts w:ascii="Arial Hebrew Light" w:hAnsi="Arial Hebrew Light" w:cs="Arial Hebrew Light" w:hint="cs"/>
          <w:sz w:val="32"/>
          <w:szCs w:val="32"/>
        </w:rPr>
        <w:t>-</w:t>
      </w:r>
      <w:r w:rsidR="007122A1" w:rsidRPr="00234E34">
        <w:rPr>
          <w:rFonts w:ascii="Arial Hebrew Light" w:hAnsi="Arial Hebrew Light" w:cs="Arial Hebrew Light" w:hint="cs"/>
          <w:sz w:val="32"/>
          <w:szCs w:val="32"/>
        </w:rPr>
        <w:t>sovereign</w:t>
      </w:r>
      <w:r w:rsidR="00996D32" w:rsidRPr="00234E34">
        <w:rPr>
          <w:rFonts w:ascii="Arial Hebrew Light" w:hAnsi="Arial Hebrew Light" w:cs="Arial Hebrew Light" w:hint="cs"/>
          <w:sz w:val="32"/>
          <w:szCs w:val="32"/>
        </w:rPr>
        <w:t xml:space="preserve"> Credit</w:t>
      </w:r>
      <w:r w:rsidRPr="00234E34">
        <w:rPr>
          <w:rFonts w:ascii="Arial Hebrew Light" w:hAnsi="Arial Hebrew Light" w:cs="Arial Hebrew Light" w:hint="cs"/>
          <w:sz w:val="32"/>
          <w:szCs w:val="32"/>
        </w:rPr>
        <w:t xml:space="preserve"> Assessments</w:t>
      </w:r>
    </w:p>
    <w:p w14:paraId="31215EE4" w14:textId="77777777" w:rsidR="00EE4CA8" w:rsidRPr="00234E34" w:rsidRDefault="00EE4CA8" w:rsidP="000F0B70">
      <w:pPr>
        <w:rPr>
          <w:rFonts w:ascii="Arial Hebrew Light" w:hAnsi="Arial Hebrew Light" w:cs="Arial Hebrew Light" w:hint="cs"/>
          <w:sz w:val="22"/>
          <w:szCs w:val="22"/>
          <w:lang w:val="en-GB" w:eastAsia="ja-JP"/>
        </w:rPr>
      </w:pPr>
    </w:p>
    <w:p w14:paraId="4CF2F939" w14:textId="77777777" w:rsidR="00EE4CA8" w:rsidRPr="00234E34" w:rsidRDefault="00EE4CA8" w:rsidP="000F0B70">
      <w:pPr>
        <w:rPr>
          <w:rFonts w:ascii="Arial Hebrew Light" w:hAnsi="Arial Hebrew Light" w:cs="Arial Hebrew Light" w:hint="cs"/>
          <w:sz w:val="22"/>
          <w:szCs w:val="22"/>
          <w:lang w:val="en-GB" w:eastAsia="ja-JP"/>
        </w:rPr>
      </w:pPr>
    </w:p>
    <w:p w14:paraId="5026700D" w14:textId="6DA5924A" w:rsidR="000F0B70" w:rsidRPr="00234E34" w:rsidRDefault="00EE4CA8" w:rsidP="000F0B70">
      <w:pPr>
        <w:spacing w:after="240"/>
        <w:rPr>
          <w:rFonts w:ascii="Arial Hebrew Light" w:hAnsi="Arial Hebrew Light" w:cs="Arial Hebrew Light" w:hint="cs"/>
        </w:rPr>
      </w:pPr>
      <w:r w:rsidRPr="00234E34">
        <w:rPr>
          <w:rFonts w:ascii="Arial Hebrew Light" w:hAnsi="Arial Hebrew Light" w:cs="Arial Hebrew Light" w:hint="cs"/>
          <w:sz w:val="28"/>
          <w:szCs w:val="28"/>
        </w:rPr>
        <w:t>I</w:t>
      </w:r>
      <w:r w:rsidR="00880BA6" w:rsidRPr="00234E34">
        <w:rPr>
          <w:rFonts w:ascii="Arial Hebrew Light" w:hAnsi="Arial Hebrew Light" w:cs="Arial Hebrew Light" w:hint="cs"/>
          <w:sz w:val="28"/>
          <w:szCs w:val="28"/>
        </w:rPr>
        <w:t>ntroduction</w:t>
      </w:r>
    </w:p>
    <w:p w14:paraId="32FF4AA8" w14:textId="62F42993" w:rsidR="000F0B70" w:rsidRPr="00234E34" w:rsidRDefault="007122A1" w:rsidP="00A90C71">
      <w:pPr>
        <w:spacing w:before="240" w:line="360" w:lineRule="auto"/>
        <w:ind w:firstLine="360"/>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 xml:space="preserve">The governing institutions of a country, region, or municipality express their effectiveness through the </w:t>
      </w:r>
      <w:r w:rsidR="00880BA6" w:rsidRPr="00234E34">
        <w:rPr>
          <w:rFonts w:ascii="Arial Hebrew Light" w:hAnsi="Arial Hebrew Light" w:cs="Arial Hebrew Light" w:hint="cs"/>
          <w:sz w:val="21"/>
          <w:szCs w:val="21"/>
        </w:rPr>
        <w:t>quality of</w:t>
      </w:r>
      <w:r w:rsidRPr="00234E34">
        <w:rPr>
          <w:rFonts w:ascii="Arial Hebrew Light" w:hAnsi="Arial Hebrew Light" w:cs="Arial Hebrew Light" w:hint="cs"/>
          <w:sz w:val="21"/>
          <w:szCs w:val="21"/>
        </w:rPr>
        <w:t xml:space="preserve"> </w:t>
      </w:r>
      <w:r w:rsidR="00880BA6" w:rsidRPr="00234E34">
        <w:rPr>
          <w:rFonts w:ascii="Arial Hebrew Light" w:hAnsi="Arial Hebrew Light" w:cs="Arial Hebrew Light" w:hint="cs"/>
          <w:sz w:val="21"/>
          <w:szCs w:val="21"/>
        </w:rPr>
        <w:t>public services</w:t>
      </w:r>
      <w:r w:rsidRPr="00234E34">
        <w:rPr>
          <w:rFonts w:ascii="Arial Hebrew Light" w:hAnsi="Arial Hebrew Light" w:cs="Arial Hebrew Light" w:hint="cs"/>
          <w:sz w:val="21"/>
          <w:szCs w:val="21"/>
        </w:rPr>
        <w:t xml:space="preserve"> that they deliver. These services are live demonstrations of the capacity of institutions to</w:t>
      </w:r>
      <w:r w:rsidR="004E3851" w:rsidRPr="00234E34">
        <w:rPr>
          <w:rFonts w:ascii="Arial Hebrew Light" w:hAnsi="Arial Hebrew Light" w:cs="Arial Hebrew Light" w:hint="cs"/>
          <w:sz w:val="21"/>
          <w:szCs w:val="21"/>
        </w:rPr>
        <w:t xml:space="preserve"> translate policy into practice; </w:t>
      </w:r>
      <w:r w:rsidRPr="00234E34">
        <w:rPr>
          <w:rFonts w:ascii="Arial Hebrew Light" w:hAnsi="Arial Hebrew Light" w:cs="Arial Hebrew Light" w:hint="cs"/>
          <w:sz w:val="21"/>
          <w:szCs w:val="21"/>
        </w:rPr>
        <w:t>plan</w:t>
      </w:r>
      <w:r w:rsidR="004A5906" w:rsidRPr="00234E34">
        <w:rPr>
          <w:rFonts w:ascii="Arial Hebrew Light" w:hAnsi="Arial Hebrew Light" w:cs="Arial Hebrew Light" w:hint="cs"/>
          <w:sz w:val="21"/>
          <w:szCs w:val="21"/>
        </w:rPr>
        <w:t>ning</w:t>
      </w:r>
      <w:r w:rsidRPr="00234E34">
        <w:rPr>
          <w:rFonts w:ascii="Arial Hebrew Light" w:hAnsi="Arial Hebrew Light" w:cs="Arial Hebrew Light" w:hint="cs"/>
          <w:sz w:val="21"/>
          <w:szCs w:val="21"/>
        </w:rPr>
        <w:t>, fund</w:t>
      </w:r>
      <w:r w:rsidR="004A5906" w:rsidRPr="00234E34">
        <w:rPr>
          <w:rFonts w:ascii="Arial Hebrew Light" w:hAnsi="Arial Hebrew Light" w:cs="Arial Hebrew Light" w:hint="cs"/>
          <w:sz w:val="21"/>
          <w:szCs w:val="21"/>
        </w:rPr>
        <w:t>ing</w:t>
      </w:r>
      <w:r w:rsidRPr="00234E34">
        <w:rPr>
          <w:rFonts w:ascii="Arial Hebrew Light" w:hAnsi="Arial Hebrew Light" w:cs="Arial Hebrew Light" w:hint="cs"/>
          <w:sz w:val="21"/>
          <w:szCs w:val="21"/>
        </w:rPr>
        <w:t>, implement</w:t>
      </w:r>
      <w:r w:rsidR="004A5906" w:rsidRPr="00234E34">
        <w:rPr>
          <w:rFonts w:ascii="Arial Hebrew Light" w:hAnsi="Arial Hebrew Light" w:cs="Arial Hebrew Light" w:hint="cs"/>
          <w:sz w:val="21"/>
          <w:szCs w:val="21"/>
        </w:rPr>
        <w:t>ing</w:t>
      </w:r>
      <w:r w:rsidRPr="00234E34">
        <w:rPr>
          <w:rFonts w:ascii="Arial Hebrew Light" w:hAnsi="Arial Hebrew Light" w:cs="Arial Hebrew Light" w:hint="cs"/>
          <w:sz w:val="21"/>
          <w:szCs w:val="21"/>
        </w:rPr>
        <w:t>, and maintain</w:t>
      </w:r>
      <w:r w:rsidR="004A5906" w:rsidRPr="00234E34">
        <w:rPr>
          <w:rFonts w:ascii="Arial Hebrew Light" w:hAnsi="Arial Hebrew Light" w:cs="Arial Hebrew Light" w:hint="cs"/>
          <w:sz w:val="21"/>
          <w:szCs w:val="21"/>
        </w:rPr>
        <w:t>ing</w:t>
      </w:r>
      <w:r w:rsidRPr="00234E34">
        <w:rPr>
          <w:rFonts w:ascii="Arial Hebrew Light" w:hAnsi="Arial Hebrew Light" w:cs="Arial Hebrew Light" w:hint="cs"/>
          <w:sz w:val="21"/>
          <w:szCs w:val="21"/>
        </w:rPr>
        <w:t xml:space="preserve"> </w:t>
      </w:r>
      <w:r w:rsidR="00BE497E" w:rsidRPr="00234E34">
        <w:rPr>
          <w:rFonts w:ascii="Arial Hebrew Light" w:hAnsi="Arial Hebrew Light" w:cs="Arial Hebrew Light" w:hint="cs"/>
          <w:sz w:val="21"/>
          <w:szCs w:val="21"/>
        </w:rPr>
        <w:t xml:space="preserve">the </w:t>
      </w:r>
      <w:r w:rsidR="004A5906" w:rsidRPr="00234E34">
        <w:rPr>
          <w:rFonts w:ascii="Arial Hebrew Light" w:hAnsi="Arial Hebrew Light" w:cs="Arial Hebrew Light" w:hint="cs"/>
          <w:sz w:val="21"/>
          <w:szCs w:val="21"/>
        </w:rPr>
        <w:t xml:space="preserve">complex </w:t>
      </w:r>
      <w:r w:rsidRPr="00234E34">
        <w:rPr>
          <w:rFonts w:ascii="Arial Hebrew Light" w:hAnsi="Arial Hebrew Light" w:cs="Arial Hebrew Light" w:hint="cs"/>
          <w:sz w:val="21"/>
          <w:szCs w:val="21"/>
        </w:rPr>
        <w:t>operations</w:t>
      </w:r>
      <w:r w:rsidR="00AC220B" w:rsidRPr="00234E34">
        <w:rPr>
          <w:rFonts w:ascii="Arial Hebrew Light" w:hAnsi="Arial Hebrew Light" w:cs="Arial Hebrew Light" w:hint="cs"/>
          <w:sz w:val="21"/>
          <w:szCs w:val="21"/>
        </w:rPr>
        <w:t xml:space="preserve"> </w:t>
      </w:r>
      <w:r w:rsidR="00BE497E" w:rsidRPr="00234E34">
        <w:rPr>
          <w:rFonts w:ascii="Arial Hebrew Light" w:hAnsi="Arial Hebrew Light" w:cs="Arial Hebrew Light" w:hint="cs"/>
          <w:sz w:val="21"/>
          <w:szCs w:val="21"/>
        </w:rPr>
        <w:t>necessary</w:t>
      </w:r>
      <w:r w:rsidRPr="00234E34">
        <w:rPr>
          <w:rFonts w:ascii="Arial Hebrew Light" w:hAnsi="Arial Hebrew Light" w:cs="Arial Hebrew Light" w:hint="cs"/>
          <w:sz w:val="21"/>
          <w:szCs w:val="21"/>
        </w:rPr>
        <w:t xml:space="preserve"> </w:t>
      </w:r>
      <w:r w:rsidR="00AC220B" w:rsidRPr="00234E34">
        <w:rPr>
          <w:rFonts w:ascii="Arial Hebrew Light" w:hAnsi="Arial Hebrew Light" w:cs="Arial Hebrew Light" w:hint="cs"/>
          <w:sz w:val="21"/>
          <w:szCs w:val="21"/>
        </w:rPr>
        <w:t>to</w:t>
      </w:r>
      <w:r w:rsidR="00907C72" w:rsidRPr="00234E34">
        <w:rPr>
          <w:rFonts w:ascii="Arial Hebrew Light" w:hAnsi="Arial Hebrew Light" w:cs="Arial Hebrew Light" w:hint="cs"/>
          <w:sz w:val="21"/>
          <w:szCs w:val="21"/>
        </w:rPr>
        <w:t xml:space="preserve"> fulfil c</w:t>
      </w:r>
      <w:r w:rsidR="004A5906" w:rsidRPr="00234E34">
        <w:rPr>
          <w:rFonts w:ascii="Arial Hebrew Light" w:hAnsi="Arial Hebrew Light" w:cs="Arial Hebrew Light" w:hint="cs"/>
          <w:sz w:val="21"/>
          <w:szCs w:val="21"/>
        </w:rPr>
        <w:t>hallenging</w:t>
      </w:r>
      <w:r w:rsidRPr="00234E34">
        <w:rPr>
          <w:rFonts w:ascii="Arial Hebrew Light" w:hAnsi="Arial Hebrew Light" w:cs="Arial Hebrew Light" w:hint="cs"/>
          <w:sz w:val="21"/>
          <w:szCs w:val="21"/>
        </w:rPr>
        <w:t xml:space="preserve"> social and economic </w:t>
      </w:r>
      <w:r w:rsidR="004E3851" w:rsidRPr="00234E34">
        <w:rPr>
          <w:rFonts w:ascii="Arial Hebrew Light" w:hAnsi="Arial Hebrew Light" w:cs="Arial Hebrew Light" w:hint="cs"/>
          <w:sz w:val="21"/>
          <w:szCs w:val="21"/>
        </w:rPr>
        <w:t>responsibilities</w:t>
      </w:r>
      <w:r w:rsidRPr="00234E34">
        <w:rPr>
          <w:rFonts w:ascii="Arial Hebrew Light" w:hAnsi="Arial Hebrew Light" w:cs="Arial Hebrew Light" w:hint="cs"/>
          <w:sz w:val="21"/>
          <w:szCs w:val="21"/>
        </w:rPr>
        <w:t xml:space="preserve">. </w:t>
      </w:r>
      <w:r w:rsidR="00BE497E" w:rsidRPr="00234E34">
        <w:rPr>
          <w:rFonts w:ascii="Arial Hebrew Light" w:hAnsi="Arial Hebrew Light" w:cs="Arial Hebrew Light" w:hint="cs"/>
          <w:sz w:val="21"/>
          <w:szCs w:val="21"/>
        </w:rPr>
        <w:t>S</w:t>
      </w:r>
      <w:r w:rsidRPr="00234E34">
        <w:rPr>
          <w:rFonts w:ascii="Arial Hebrew Light" w:hAnsi="Arial Hebrew Light" w:cs="Arial Hebrew Light" w:hint="cs"/>
          <w:sz w:val="21"/>
          <w:szCs w:val="21"/>
        </w:rPr>
        <w:t xml:space="preserve">tandards of public services enjoyed by different populations reflect the competence, reliability, adaptability, innovation, and accountability of their governments. </w:t>
      </w:r>
      <w:r w:rsidR="00907C72" w:rsidRPr="00234E34">
        <w:rPr>
          <w:rFonts w:ascii="Arial Hebrew Light" w:hAnsi="Arial Hebrew Light" w:cs="Arial Hebrew Light" w:hint="cs"/>
          <w:sz w:val="21"/>
          <w:szCs w:val="21"/>
        </w:rPr>
        <w:t>The</w:t>
      </w:r>
      <w:r w:rsidR="00BE497E" w:rsidRPr="00234E34">
        <w:rPr>
          <w:rFonts w:ascii="Arial Hebrew Light" w:hAnsi="Arial Hebrew Light" w:cs="Arial Hebrew Light" w:hint="cs"/>
          <w:sz w:val="21"/>
          <w:szCs w:val="21"/>
        </w:rPr>
        <w:t>se governments’</w:t>
      </w:r>
      <w:r w:rsidR="00907C72" w:rsidRPr="00234E34">
        <w:rPr>
          <w:rFonts w:ascii="Arial Hebrew Light" w:hAnsi="Arial Hebrew Light" w:cs="Arial Hebrew Light" w:hint="cs"/>
          <w:sz w:val="21"/>
          <w:szCs w:val="21"/>
        </w:rPr>
        <w:t xml:space="preserve"> capacity </w:t>
      </w:r>
      <w:r w:rsidRPr="00234E34">
        <w:rPr>
          <w:rFonts w:ascii="Arial Hebrew Light" w:hAnsi="Arial Hebrew Light" w:cs="Arial Hebrew Light" w:hint="cs"/>
          <w:sz w:val="21"/>
          <w:szCs w:val="21"/>
        </w:rPr>
        <w:t>to deliver services</w:t>
      </w:r>
      <w:r w:rsidR="00907C72" w:rsidRPr="00234E34">
        <w:rPr>
          <w:rFonts w:ascii="Arial Hebrew Light" w:hAnsi="Arial Hebrew Light" w:cs="Arial Hebrew Light" w:hint="cs"/>
          <w:sz w:val="21"/>
          <w:szCs w:val="21"/>
        </w:rPr>
        <w:t xml:space="preserve"> to individuals</w:t>
      </w:r>
      <w:r w:rsidRPr="00234E34">
        <w:rPr>
          <w:rFonts w:ascii="Arial Hebrew Light" w:hAnsi="Arial Hebrew Light" w:cs="Arial Hebrew Light" w:hint="cs"/>
          <w:sz w:val="21"/>
          <w:szCs w:val="21"/>
        </w:rPr>
        <w:t xml:space="preserve"> </w:t>
      </w:r>
      <w:r w:rsidR="00EB21B0" w:rsidRPr="00234E34">
        <w:rPr>
          <w:rFonts w:ascii="Arial Hebrew Light" w:hAnsi="Arial Hebrew Light" w:cs="Arial Hebrew Light" w:hint="cs"/>
          <w:sz w:val="21"/>
          <w:szCs w:val="21"/>
        </w:rPr>
        <w:t>–</w:t>
      </w:r>
      <w:r w:rsidRPr="00234E34">
        <w:rPr>
          <w:rFonts w:ascii="Arial Hebrew Light" w:hAnsi="Arial Hebrew Light" w:cs="Arial Hebrew Light" w:hint="cs"/>
          <w:sz w:val="21"/>
          <w:szCs w:val="21"/>
        </w:rPr>
        <w:t xml:space="preserve"> </w:t>
      </w:r>
      <w:r w:rsidR="00A90C71" w:rsidRPr="00234E34">
        <w:rPr>
          <w:rFonts w:ascii="Arial Hebrew Light" w:hAnsi="Arial Hebrew Light" w:cs="Arial Hebrew Light" w:hint="cs"/>
          <w:sz w:val="21"/>
          <w:szCs w:val="21"/>
        </w:rPr>
        <w:t xml:space="preserve">both day-to-day </w:t>
      </w:r>
      <w:r w:rsidRPr="00234E34">
        <w:rPr>
          <w:rFonts w:ascii="Arial Hebrew Light" w:hAnsi="Arial Hebrew Light" w:cs="Arial Hebrew Light" w:hint="cs"/>
          <w:sz w:val="21"/>
          <w:szCs w:val="21"/>
        </w:rPr>
        <w:t>and during</w:t>
      </w:r>
      <w:r w:rsidR="00507D6B" w:rsidRPr="00234E34">
        <w:rPr>
          <w:rFonts w:ascii="Arial Hebrew Light" w:hAnsi="Arial Hebrew Light" w:cs="Arial Hebrew Light" w:hint="cs"/>
          <w:sz w:val="21"/>
          <w:szCs w:val="21"/>
        </w:rPr>
        <w:t xml:space="preserve"> </w:t>
      </w:r>
      <w:r w:rsidRPr="00234E34">
        <w:rPr>
          <w:rFonts w:ascii="Arial Hebrew Light" w:hAnsi="Arial Hebrew Light" w:cs="Arial Hebrew Light" w:hint="cs"/>
          <w:sz w:val="21"/>
          <w:szCs w:val="21"/>
        </w:rPr>
        <w:t xml:space="preserve">critical life events – forms </w:t>
      </w:r>
      <w:r w:rsidR="00907C72" w:rsidRPr="00234E34">
        <w:rPr>
          <w:rFonts w:ascii="Arial Hebrew Light" w:hAnsi="Arial Hebrew Light" w:cs="Arial Hebrew Light" w:hint="cs"/>
          <w:sz w:val="21"/>
          <w:szCs w:val="21"/>
        </w:rPr>
        <w:t>a</w:t>
      </w:r>
      <w:r w:rsidRPr="00234E34">
        <w:rPr>
          <w:rFonts w:ascii="Arial Hebrew Light" w:hAnsi="Arial Hebrew Light" w:cs="Arial Hebrew Light" w:hint="cs"/>
          <w:sz w:val="21"/>
          <w:szCs w:val="21"/>
        </w:rPr>
        <w:t xml:space="preserve"> </w:t>
      </w:r>
      <w:r w:rsidR="00A90C71" w:rsidRPr="00234E34">
        <w:rPr>
          <w:rFonts w:ascii="Arial Hebrew Light" w:hAnsi="Arial Hebrew Light" w:cs="Arial Hebrew Light" w:hint="cs"/>
          <w:sz w:val="21"/>
          <w:szCs w:val="21"/>
        </w:rPr>
        <w:t>basis</w:t>
      </w:r>
      <w:r w:rsidRPr="00234E34">
        <w:rPr>
          <w:rFonts w:ascii="Arial Hebrew Light" w:hAnsi="Arial Hebrew Light" w:cs="Arial Hebrew Light" w:hint="cs"/>
          <w:sz w:val="21"/>
          <w:szCs w:val="21"/>
        </w:rPr>
        <w:t xml:space="preserve"> </w:t>
      </w:r>
      <w:r w:rsidR="00A90C71" w:rsidRPr="00234E34">
        <w:rPr>
          <w:rFonts w:ascii="Arial Hebrew Light" w:hAnsi="Arial Hebrew Light" w:cs="Arial Hebrew Light" w:hint="cs"/>
          <w:sz w:val="21"/>
          <w:szCs w:val="21"/>
        </w:rPr>
        <w:t xml:space="preserve">for </w:t>
      </w:r>
      <w:r w:rsidR="004A5906" w:rsidRPr="00234E34">
        <w:rPr>
          <w:rFonts w:ascii="Arial Hebrew Light" w:hAnsi="Arial Hebrew Light" w:cs="Arial Hebrew Light" w:hint="cs"/>
          <w:sz w:val="21"/>
          <w:szCs w:val="21"/>
        </w:rPr>
        <w:t xml:space="preserve">their </w:t>
      </w:r>
      <w:r w:rsidRPr="00234E34">
        <w:rPr>
          <w:rFonts w:ascii="Arial Hebrew Light" w:hAnsi="Arial Hebrew Light" w:cs="Arial Hebrew Light" w:hint="cs"/>
          <w:sz w:val="21"/>
          <w:szCs w:val="21"/>
        </w:rPr>
        <w:t xml:space="preserve">institutional legitimacy. For credit ratings agencies, </w:t>
      </w:r>
      <w:r w:rsidR="004A5906" w:rsidRPr="00234E34">
        <w:rPr>
          <w:rFonts w:ascii="Arial Hebrew Light" w:hAnsi="Arial Hebrew Light" w:cs="Arial Hebrew Light" w:hint="cs"/>
          <w:sz w:val="21"/>
          <w:szCs w:val="21"/>
        </w:rPr>
        <w:t xml:space="preserve">public </w:t>
      </w:r>
      <w:r w:rsidR="00907C72" w:rsidRPr="00234E34">
        <w:rPr>
          <w:rFonts w:ascii="Arial Hebrew Light" w:hAnsi="Arial Hebrew Light" w:cs="Arial Hebrew Light" w:hint="cs"/>
          <w:sz w:val="21"/>
          <w:szCs w:val="21"/>
        </w:rPr>
        <w:t xml:space="preserve">trust in </w:t>
      </w:r>
      <w:r w:rsidR="00BE497E" w:rsidRPr="00234E34">
        <w:rPr>
          <w:rFonts w:ascii="Arial Hebrew Light" w:hAnsi="Arial Hebrew Light" w:cs="Arial Hebrew Light" w:hint="cs"/>
          <w:sz w:val="21"/>
          <w:szCs w:val="21"/>
        </w:rPr>
        <w:t xml:space="preserve">the quality of </w:t>
      </w:r>
      <w:r w:rsidR="004A5906" w:rsidRPr="00234E34">
        <w:rPr>
          <w:rFonts w:ascii="Arial Hebrew Light" w:hAnsi="Arial Hebrew Light" w:cs="Arial Hebrew Light" w:hint="cs"/>
          <w:sz w:val="21"/>
          <w:szCs w:val="21"/>
        </w:rPr>
        <w:t xml:space="preserve">government </w:t>
      </w:r>
      <w:r w:rsidRPr="00234E34">
        <w:rPr>
          <w:rFonts w:ascii="Arial Hebrew Light" w:hAnsi="Arial Hebrew Light" w:cs="Arial Hebrew Light" w:hint="cs"/>
          <w:sz w:val="21"/>
          <w:szCs w:val="21"/>
        </w:rPr>
        <w:t>service</w:t>
      </w:r>
      <w:r w:rsidR="004A5906" w:rsidRPr="00234E34">
        <w:rPr>
          <w:rFonts w:ascii="Arial Hebrew Light" w:hAnsi="Arial Hebrew Light" w:cs="Arial Hebrew Light" w:hint="cs"/>
          <w:sz w:val="21"/>
          <w:szCs w:val="21"/>
        </w:rPr>
        <w:t xml:space="preserve">s </w:t>
      </w:r>
      <w:r w:rsidR="00BE497E" w:rsidRPr="00234E34">
        <w:rPr>
          <w:rFonts w:ascii="Arial Hebrew Light" w:hAnsi="Arial Hebrew Light" w:cs="Arial Hebrew Light" w:hint="cs"/>
          <w:sz w:val="21"/>
          <w:szCs w:val="21"/>
        </w:rPr>
        <w:t xml:space="preserve">can </w:t>
      </w:r>
      <w:r w:rsidR="004A5906" w:rsidRPr="00234E34">
        <w:rPr>
          <w:rFonts w:ascii="Arial Hebrew Light" w:hAnsi="Arial Hebrew Light" w:cs="Arial Hebrew Light" w:hint="cs"/>
          <w:sz w:val="21"/>
          <w:szCs w:val="21"/>
        </w:rPr>
        <w:t>offer an</w:t>
      </w:r>
      <w:r w:rsidRPr="00234E34">
        <w:rPr>
          <w:rFonts w:ascii="Arial Hebrew Light" w:hAnsi="Arial Hebrew Light" w:cs="Arial Hebrew Light" w:hint="cs"/>
          <w:sz w:val="21"/>
          <w:szCs w:val="21"/>
        </w:rPr>
        <w:t xml:space="preserve"> </w:t>
      </w:r>
      <w:r w:rsidR="004A5906" w:rsidRPr="00234E34">
        <w:rPr>
          <w:rFonts w:ascii="Arial Hebrew Light" w:hAnsi="Arial Hebrew Light" w:cs="Arial Hebrew Light" w:hint="cs"/>
          <w:sz w:val="21"/>
          <w:szCs w:val="21"/>
        </w:rPr>
        <w:t>indication of</w:t>
      </w:r>
      <w:r w:rsidRPr="00234E34">
        <w:rPr>
          <w:rFonts w:ascii="Arial Hebrew Light" w:hAnsi="Arial Hebrew Light" w:cs="Arial Hebrew Light" w:hint="cs"/>
          <w:sz w:val="21"/>
          <w:szCs w:val="21"/>
        </w:rPr>
        <w:t xml:space="preserve"> institutional strength </w:t>
      </w:r>
      <w:r w:rsidR="004A5906" w:rsidRPr="00234E34">
        <w:rPr>
          <w:rFonts w:ascii="Arial Hebrew Light" w:hAnsi="Arial Hebrew Light" w:cs="Arial Hebrew Light" w:hint="cs"/>
          <w:sz w:val="21"/>
          <w:szCs w:val="21"/>
        </w:rPr>
        <w:t>and resilience at</w:t>
      </w:r>
      <w:r w:rsidRPr="00234E34">
        <w:rPr>
          <w:rFonts w:ascii="Arial Hebrew Light" w:hAnsi="Arial Hebrew Light" w:cs="Arial Hebrew Light" w:hint="cs"/>
          <w:sz w:val="21"/>
          <w:szCs w:val="21"/>
        </w:rPr>
        <w:t xml:space="preserve"> </w:t>
      </w:r>
      <w:r w:rsidR="00907C72" w:rsidRPr="00234E34">
        <w:rPr>
          <w:rFonts w:ascii="Arial Hebrew Light" w:hAnsi="Arial Hebrew Light" w:cs="Arial Hebrew Light" w:hint="cs"/>
          <w:sz w:val="21"/>
          <w:szCs w:val="21"/>
        </w:rPr>
        <w:t>sovereign and sub-sovereign</w:t>
      </w:r>
      <w:r w:rsidR="00907C72" w:rsidRPr="00234E34">
        <w:rPr>
          <w:rFonts w:ascii="Arial Hebrew Light" w:hAnsi="Arial Hebrew Light" w:cs="Arial Hebrew Light" w:hint="cs"/>
          <w:sz w:val="21"/>
          <w:szCs w:val="21"/>
        </w:rPr>
        <w:t xml:space="preserve"> </w:t>
      </w:r>
      <w:r w:rsidR="004A5906" w:rsidRPr="00234E34">
        <w:rPr>
          <w:rFonts w:ascii="Arial Hebrew Light" w:hAnsi="Arial Hebrew Light" w:cs="Arial Hebrew Light" w:hint="cs"/>
          <w:sz w:val="21"/>
          <w:szCs w:val="21"/>
        </w:rPr>
        <w:t>levels</w:t>
      </w:r>
      <w:r w:rsidRPr="00234E34">
        <w:rPr>
          <w:rFonts w:ascii="Arial Hebrew Light" w:hAnsi="Arial Hebrew Light" w:cs="Arial Hebrew Light" w:hint="cs"/>
          <w:sz w:val="21"/>
          <w:szCs w:val="21"/>
        </w:rPr>
        <w:t xml:space="preserve">. </w:t>
      </w:r>
    </w:p>
    <w:p w14:paraId="7C622D94" w14:textId="59773BED" w:rsidR="00EE4CA8" w:rsidRPr="00234E34" w:rsidRDefault="00907C72" w:rsidP="00A90C71">
      <w:pPr>
        <w:spacing w:line="360" w:lineRule="auto"/>
        <w:ind w:firstLine="360"/>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 xml:space="preserve">Digitisation enables detailed real-time monitoring of institutional performance, through platforms supporting the collection and analysis of voluminous data on </w:t>
      </w:r>
      <w:r w:rsidR="00A90C71" w:rsidRPr="00234E34">
        <w:rPr>
          <w:rFonts w:ascii="Arial Hebrew Light" w:hAnsi="Arial Hebrew Light" w:cs="Arial Hebrew Light" w:hint="cs"/>
          <w:sz w:val="21"/>
          <w:szCs w:val="21"/>
        </w:rPr>
        <w:t xml:space="preserve">public </w:t>
      </w:r>
      <w:r w:rsidRPr="00234E34">
        <w:rPr>
          <w:rFonts w:ascii="Arial Hebrew Light" w:hAnsi="Arial Hebrew Light" w:cs="Arial Hebrew Light" w:hint="cs"/>
          <w:sz w:val="21"/>
          <w:szCs w:val="21"/>
        </w:rPr>
        <w:t>service quality: objective metrics for processes and outcomes, and subjective metrics for user experience and trust.</w:t>
      </w:r>
      <w:r w:rsidR="002228C4" w:rsidRPr="00234E34">
        <w:rPr>
          <w:rFonts w:ascii="Arial Hebrew Light" w:hAnsi="Arial Hebrew Light" w:cs="Arial Hebrew Light" w:hint="cs"/>
          <w:sz w:val="21"/>
          <w:szCs w:val="21"/>
        </w:rPr>
        <w:t xml:space="preserve"> </w:t>
      </w:r>
      <w:r w:rsidR="002228C4" w:rsidRPr="00234E34">
        <w:rPr>
          <w:rFonts w:ascii="Arial Hebrew Light" w:hAnsi="Arial Hebrew Light" w:cs="Arial Hebrew Light" w:hint="cs"/>
          <w:sz w:val="21"/>
          <w:szCs w:val="21"/>
        </w:rPr>
        <w:t xml:space="preserve">The success of </w:t>
      </w:r>
      <w:r w:rsidR="00EB21B0" w:rsidRPr="00234E34">
        <w:rPr>
          <w:rFonts w:ascii="Arial Hebrew Light" w:hAnsi="Arial Hebrew Light" w:cs="Arial Hebrew Light" w:hint="cs"/>
          <w:sz w:val="21"/>
          <w:szCs w:val="21"/>
        </w:rPr>
        <w:t>public</w:t>
      </w:r>
      <w:r w:rsidR="002228C4" w:rsidRPr="00234E34">
        <w:rPr>
          <w:rFonts w:ascii="Arial Hebrew Light" w:hAnsi="Arial Hebrew Light" w:cs="Arial Hebrew Light" w:hint="cs"/>
          <w:sz w:val="21"/>
          <w:szCs w:val="21"/>
        </w:rPr>
        <w:t xml:space="preserve"> service digitisation initiatives</w:t>
      </w:r>
      <w:r w:rsidR="002228C4" w:rsidRPr="00234E34">
        <w:rPr>
          <w:rFonts w:ascii="Arial Hebrew Light" w:hAnsi="Arial Hebrew Light" w:cs="Arial Hebrew Light" w:hint="cs"/>
          <w:sz w:val="21"/>
          <w:szCs w:val="21"/>
        </w:rPr>
        <w:t xml:space="preserve"> </w:t>
      </w:r>
      <w:r w:rsidR="00EB21B0" w:rsidRPr="00234E34">
        <w:rPr>
          <w:rFonts w:ascii="Arial Hebrew Light" w:hAnsi="Arial Hebrew Light" w:cs="Arial Hebrew Light" w:hint="cs"/>
          <w:sz w:val="21"/>
          <w:szCs w:val="21"/>
        </w:rPr>
        <w:t xml:space="preserve">will increasingly </w:t>
      </w:r>
      <w:r w:rsidR="00BE497E" w:rsidRPr="00234E34">
        <w:rPr>
          <w:rFonts w:ascii="Arial Hebrew Light" w:hAnsi="Arial Hebrew Light" w:cs="Arial Hebrew Light" w:hint="cs"/>
          <w:sz w:val="21"/>
          <w:szCs w:val="21"/>
        </w:rPr>
        <w:t xml:space="preserve">help </w:t>
      </w:r>
      <w:r w:rsidR="002228C4" w:rsidRPr="00234E34">
        <w:rPr>
          <w:rFonts w:ascii="Arial Hebrew Light" w:hAnsi="Arial Hebrew Light" w:cs="Arial Hebrew Light" w:hint="cs"/>
          <w:sz w:val="21"/>
          <w:szCs w:val="21"/>
        </w:rPr>
        <w:t>inform credit ratings agencies on</w:t>
      </w:r>
      <w:r w:rsidR="00EB21B0" w:rsidRPr="00234E34">
        <w:rPr>
          <w:rFonts w:ascii="Arial Hebrew Light" w:hAnsi="Arial Hebrew Light" w:cs="Arial Hebrew Light" w:hint="cs"/>
          <w:sz w:val="21"/>
          <w:szCs w:val="21"/>
        </w:rPr>
        <w:t xml:space="preserve"> the </w:t>
      </w:r>
      <w:r w:rsidR="00DF01CC" w:rsidRPr="00234E34">
        <w:rPr>
          <w:rFonts w:ascii="Arial Hebrew Light" w:hAnsi="Arial Hebrew Light" w:cs="Arial Hebrew Light" w:hint="cs"/>
          <w:sz w:val="21"/>
          <w:szCs w:val="21"/>
        </w:rPr>
        <w:t xml:space="preserve">institutional </w:t>
      </w:r>
      <w:r w:rsidR="00EB21B0" w:rsidRPr="00234E34">
        <w:rPr>
          <w:rFonts w:ascii="Arial Hebrew Light" w:hAnsi="Arial Hebrew Light" w:cs="Arial Hebrew Light" w:hint="cs"/>
          <w:sz w:val="21"/>
          <w:szCs w:val="21"/>
        </w:rPr>
        <w:t>credibility of</w:t>
      </w:r>
      <w:r w:rsidR="00DF01CC" w:rsidRPr="00234E34">
        <w:rPr>
          <w:rFonts w:ascii="Arial Hebrew Light" w:hAnsi="Arial Hebrew Light" w:cs="Arial Hebrew Light" w:hint="cs"/>
          <w:sz w:val="21"/>
          <w:szCs w:val="21"/>
        </w:rPr>
        <w:t xml:space="preserve"> debt-issuing</w:t>
      </w:r>
      <w:r w:rsidR="002228C4" w:rsidRPr="00234E34">
        <w:rPr>
          <w:rFonts w:ascii="Arial Hebrew Light" w:hAnsi="Arial Hebrew Light" w:cs="Arial Hebrew Light" w:hint="cs"/>
          <w:sz w:val="21"/>
          <w:szCs w:val="21"/>
        </w:rPr>
        <w:t xml:space="preserve"> </w:t>
      </w:r>
      <w:r w:rsidR="00EB21B0" w:rsidRPr="00234E34">
        <w:rPr>
          <w:rFonts w:ascii="Arial Hebrew Light" w:hAnsi="Arial Hebrew Light" w:cs="Arial Hebrew Light" w:hint="cs"/>
          <w:sz w:val="21"/>
          <w:szCs w:val="21"/>
        </w:rPr>
        <w:t>governments.</w:t>
      </w:r>
      <w:r w:rsidR="002228C4" w:rsidRPr="00234E34">
        <w:rPr>
          <w:rFonts w:ascii="Arial Hebrew Light" w:hAnsi="Arial Hebrew Light" w:cs="Arial Hebrew Light" w:hint="cs"/>
          <w:sz w:val="21"/>
          <w:szCs w:val="21"/>
        </w:rPr>
        <w:t xml:space="preserve"> </w:t>
      </w:r>
      <w:r w:rsidR="00BE497E" w:rsidRPr="00234E34">
        <w:rPr>
          <w:rFonts w:ascii="Arial Hebrew Light" w:hAnsi="Arial Hebrew Light" w:cs="Arial Hebrew Light" w:hint="cs"/>
          <w:sz w:val="21"/>
          <w:szCs w:val="21"/>
        </w:rPr>
        <w:t>A global trust index summarising information on the quality of government services could serve to track and benchmark factors relevant to modern credit assessments, including the maturity of digital systems underlying service provision.</w:t>
      </w:r>
      <w:r w:rsidR="00A90C71" w:rsidRPr="00234E34">
        <w:rPr>
          <w:rStyle w:val="FootnoteReference"/>
          <w:rFonts w:ascii="Arial Hebrew Light" w:hAnsi="Arial Hebrew Light" w:cs="Arial Hebrew Light" w:hint="cs"/>
          <w:sz w:val="21"/>
          <w:szCs w:val="21"/>
        </w:rPr>
        <w:footnoteReference w:id="1"/>
      </w:r>
      <w:r w:rsidR="00BE497E" w:rsidRPr="00234E34">
        <w:rPr>
          <w:rFonts w:ascii="Arial Hebrew Light" w:hAnsi="Arial Hebrew Light" w:cs="Arial Hebrew Light" w:hint="cs"/>
          <w:sz w:val="21"/>
          <w:szCs w:val="21"/>
        </w:rPr>
        <w:t xml:space="preserve"> </w:t>
      </w:r>
      <w:r w:rsidRPr="00234E34">
        <w:rPr>
          <w:rFonts w:ascii="Arial Hebrew Light" w:hAnsi="Arial Hebrew Light" w:cs="Arial Hebrew Light" w:hint="cs"/>
          <w:sz w:val="21"/>
          <w:szCs w:val="21"/>
        </w:rPr>
        <w:t xml:space="preserve">This note will briefly </w:t>
      </w:r>
      <w:r w:rsidR="00DF01CC" w:rsidRPr="00234E34">
        <w:rPr>
          <w:rFonts w:ascii="Arial Hebrew Light" w:hAnsi="Arial Hebrew Light" w:cs="Arial Hebrew Light" w:hint="cs"/>
          <w:sz w:val="21"/>
          <w:szCs w:val="21"/>
        </w:rPr>
        <w:t>introduce</w:t>
      </w:r>
      <w:r w:rsidRPr="00234E34">
        <w:rPr>
          <w:rFonts w:ascii="Arial Hebrew Light" w:hAnsi="Arial Hebrew Light" w:cs="Arial Hebrew Light" w:hint="cs"/>
          <w:sz w:val="21"/>
          <w:szCs w:val="21"/>
        </w:rPr>
        <w:t xml:space="preserve"> </w:t>
      </w:r>
      <w:r w:rsidR="00AC220B" w:rsidRPr="00234E34">
        <w:rPr>
          <w:rFonts w:ascii="Arial Hebrew Light" w:hAnsi="Arial Hebrew Light" w:cs="Arial Hebrew Light" w:hint="cs"/>
          <w:sz w:val="21"/>
          <w:szCs w:val="21"/>
        </w:rPr>
        <w:t>the</w:t>
      </w:r>
      <w:r w:rsidRPr="00234E34">
        <w:rPr>
          <w:rFonts w:ascii="Arial Hebrew Light" w:hAnsi="Arial Hebrew Light" w:cs="Arial Hebrew Light" w:hint="cs"/>
          <w:sz w:val="21"/>
          <w:szCs w:val="21"/>
        </w:rPr>
        <w:t xml:space="preserve"> assessment methodolog</w:t>
      </w:r>
      <w:r w:rsidR="00DF01CC" w:rsidRPr="00234E34">
        <w:rPr>
          <w:rFonts w:ascii="Arial Hebrew Light" w:hAnsi="Arial Hebrew Light" w:cs="Arial Hebrew Light" w:hint="cs"/>
          <w:sz w:val="21"/>
          <w:szCs w:val="21"/>
        </w:rPr>
        <w:t>ies</w:t>
      </w:r>
      <w:r w:rsidRPr="00234E34">
        <w:rPr>
          <w:rFonts w:ascii="Arial Hebrew Light" w:hAnsi="Arial Hebrew Light" w:cs="Arial Hebrew Light" w:hint="cs"/>
          <w:sz w:val="21"/>
          <w:szCs w:val="21"/>
        </w:rPr>
        <w:t xml:space="preserve"> of the three major credit ratings agencies – Moody’s, Standard &amp; Poor’s, and Fitch – before </w:t>
      </w:r>
      <w:r w:rsidR="00EB21B0" w:rsidRPr="00234E34">
        <w:rPr>
          <w:rFonts w:ascii="Arial Hebrew Light" w:hAnsi="Arial Hebrew Light" w:cs="Arial Hebrew Light" w:hint="cs"/>
          <w:sz w:val="21"/>
          <w:szCs w:val="21"/>
        </w:rPr>
        <w:t>considering</w:t>
      </w:r>
      <w:r w:rsidRPr="00234E34">
        <w:rPr>
          <w:rFonts w:ascii="Arial Hebrew Light" w:hAnsi="Arial Hebrew Light" w:cs="Arial Hebrew Light" w:hint="cs"/>
          <w:sz w:val="21"/>
          <w:szCs w:val="21"/>
        </w:rPr>
        <w:t xml:space="preserve"> the role that a global trust index c</w:t>
      </w:r>
      <w:r w:rsidR="00EB21B0" w:rsidRPr="00234E34">
        <w:rPr>
          <w:rFonts w:ascii="Arial Hebrew Light" w:hAnsi="Arial Hebrew Light" w:cs="Arial Hebrew Light" w:hint="cs"/>
          <w:sz w:val="21"/>
          <w:szCs w:val="21"/>
        </w:rPr>
        <w:t>ould</w:t>
      </w:r>
      <w:r w:rsidRPr="00234E34">
        <w:rPr>
          <w:rFonts w:ascii="Arial Hebrew Light" w:hAnsi="Arial Hebrew Light" w:cs="Arial Hebrew Light" w:hint="cs"/>
          <w:sz w:val="21"/>
          <w:szCs w:val="21"/>
        </w:rPr>
        <w:t xml:space="preserve"> play in supporting </w:t>
      </w:r>
      <w:r w:rsidR="00EB21B0" w:rsidRPr="00234E34">
        <w:rPr>
          <w:rFonts w:ascii="Arial Hebrew Light" w:hAnsi="Arial Hebrew Light" w:cs="Arial Hebrew Light" w:hint="cs"/>
          <w:sz w:val="21"/>
          <w:szCs w:val="21"/>
        </w:rPr>
        <w:t>credit a</w:t>
      </w:r>
      <w:r w:rsidRPr="00234E34">
        <w:rPr>
          <w:rFonts w:ascii="Arial Hebrew Light" w:hAnsi="Arial Hebrew Light" w:cs="Arial Hebrew Light" w:hint="cs"/>
          <w:sz w:val="21"/>
          <w:szCs w:val="21"/>
        </w:rPr>
        <w:t>ssessments</w:t>
      </w:r>
      <w:r w:rsidR="00EB21B0" w:rsidRPr="00234E34">
        <w:rPr>
          <w:rFonts w:ascii="Arial Hebrew Light" w:hAnsi="Arial Hebrew Light" w:cs="Arial Hebrew Light" w:hint="cs"/>
          <w:sz w:val="21"/>
          <w:szCs w:val="21"/>
        </w:rPr>
        <w:t xml:space="preserve"> in the digital age</w:t>
      </w:r>
      <w:r w:rsidRPr="00234E34">
        <w:rPr>
          <w:rFonts w:ascii="Arial Hebrew Light" w:hAnsi="Arial Hebrew Light" w:cs="Arial Hebrew Light" w:hint="cs"/>
          <w:sz w:val="21"/>
          <w:szCs w:val="21"/>
        </w:rPr>
        <w:t xml:space="preserve">.    </w:t>
      </w:r>
    </w:p>
    <w:p w14:paraId="3A3F5784" w14:textId="77777777" w:rsidR="000F0B70" w:rsidRPr="00234E34" w:rsidRDefault="000F0B70" w:rsidP="000F0B70">
      <w:pPr>
        <w:ind w:firstLine="360"/>
        <w:jc w:val="both"/>
        <w:rPr>
          <w:rFonts w:ascii="Arial Hebrew Light" w:hAnsi="Arial Hebrew Light" w:cs="Arial Hebrew Light" w:hint="cs"/>
          <w:sz w:val="21"/>
          <w:szCs w:val="21"/>
        </w:rPr>
      </w:pPr>
    </w:p>
    <w:p w14:paraId="540AD198" w14:textId="77777777" w:rsidR="00EE4CA8" w:rsidRPr="00234E34" w:rsidRDefault="00EE4CA8" w:rsidP="000F0B70">
      <w:pPr>
        <w:jc w:val="both"/>
        <w:rPr>
          <w:rFonts w:ascii="Arial Hebrew Light" w:hAnsi="Arial Hebrew Light" w:cs="Arial Hebrew Light" w:hint="cs"/>
          <w:sz w:val="21"/>
          <w:szCs w:val="21"/>
        </w:rPr>
      </w:pPr>
    </w:p>
    <w:p w14:paraId="176DA58C" w14:textId="3D1AA55C" w:rsidR="000F0B70" w:rsidRPr="00234E34" w:rsidRDefault="000F0B70" w:rsidP="000F0B70">
      <w:pPr>
        <w:spacing w:after="240"/>
        <w:rPr>
          <w:rFonts w:ascii="Arial Hebrew Light" w:hAnsi="Arial Hebrew Light" w:cs="Arial Hebrew Light" w:hint="cs"/>
          <w:sz w:val="28"/>
          <w:szCs w:val="28"/>
        </w:rPr>
      </w:pPr>
      <w:r w:rsidRPr="00234E34">
        <w:rPr>
          <w:rFonts w:ascii="Arial Hebrew Light" w:hAnsi="Arial Hebrew Light" w:cs="Arial Hebrew Light" w:hint="cs"/>
          <w:sz w:val="28"/>
          <w:szCs w:val="28"/>
        </w:rPr>
        <w:t>Assessment Frameworks</w:t>
      </w:r>
    </w:p>
    <w:p w14:paraId="1BFE5D28" w14:textId="6474ECF4" w:rsidR="003731C9" w:rsidRPr="00D40E9E" w:rsidRDefault="000F0B70" w:rsidP="00D40E9E">
      <w:pPr>
        <w:spacing w:after="240" w:line="360" w:lineRule="auto"/>
        <w:ind w:firstLine="360"/>
        <w:jc w:val="both"/>
        <w:rPr>
          <w:rFonts w:ascii="Cambria" w:hAnsi="Cambria" w:cs="Arial Hebrew Light"/>
          <w:sz w:val="21"/>
          <w:szCs w:val="21"/>
        </w:rPr>
      </w:pPr>
      <w:r w:rsidRPr="00234E34">
        <w:rPr>
          <w:rFonts w:ascii="Arial Hebrew Light" w:hAnsi="Arial Hebrew Light" w:cs="Arial Hebrew Light" w:hint="cs"/>
          <w:sz w:val="21"/>
          <w:szCs w:val="21"/>
        </w:rPr>
        <w:t>Th</w:t>
      </w:r>
      <w:r w:rsidRPr="00234E34">
        <w:rPr>
          <w:rFonts w:ascii="Arial Hebrew Light" w:hAnsi="Arial Hebrew Light" w:cs="Arial Hebrew Light" w:hint="cs"/>
          <w:sz w:val="21"/>
          <w:szCs w:val="21"/>
        </w:rPr>
        <w:t xml:space="preserve">ree agencies dominate the global credit-score market, using similar schemes to </w:t>
      </w:r>
      <w:r w:rsidR="00A90C71" w:rsidRPr="00234E34">
        <w:rPr>
          <w:rFonts w:ascii="Arial Hebrew Light" w:hAnsi="Arial Hebrew Light" w:cs="Arial Hebrew Light" w:hint="cs"/>
          <w:sz w:val="21"/>
          <w:szCs w:val="21"/>
        </w:rPr>
        <w:t>categorise</w:t>
      </w:r>
      <w:r w:rsidR="008865E4" w:rsidRPr="00234E34">
        <w:rPr>
          <w:rFonts w:ascii="Arial Hebrew Light" w:hAnsi="Arial Hebrew Light" w:cs="Arial Hebrew Light" w:hint="cs"/>
          <w:sz w:val="21"/>
          <w:szCs w:val="21"/>
        </w:rPr>
        <w:t xml:space="preserve"> long-term</w:t>
      </w:r>
      <w:r w:rsidRPr="00234E34">
        <w:rPr>
          <w:rFonts w:ascii="Arial Hebrew Light" w:hAnsi="Arial Hebrew Light" w:cs="Arial Hebrew Light" w:hint="cs"/>
          <w:sz w:val="21"/>
          <w:szCs w:val="21"/>
        </w:rPr>
        <w:t xml:space="preserve"> debt instruments</w:t>
      </w:r>
      <w:r w:rsidRPr="00234E34">
        <w:rPr>
          <w:rFonts w:ascii="Arial Hebrew Light" w:hAnsi="Arial Hebrew Light" w:cs="Arial Hebrew Light" w:hint="cs"/>
          <w:sz w:val="21"/>
          <w:szCs w:val="21"/>
        </w:rPr>
        <w:t xml:space="preserve"> </w:t>
      </w:r>
      <w:r w:rsidR="00A90C71" w:rsidRPr="00234E34">
        <w:rPr>
          <w:rFonts w:ascii="Arial Hebrew Light" w:hAnsi="Arial Hebrew Light" w:cs="Arial Hebrew Light" w:hint="cs"/>
          <w:sz w:val="21"/>
          <w:szCs w:val="21"/>
        </w:rPr>
        <w:t xml:space="preserve">into </w:t>
      </w:r>
      <w:r w:rsidR="00C12113" w:rsidRPr="00C12113">
        <w:rPr>
          <w:rFonts w:ascii="Cambria" w:hAnsi="Cambria" w:cs="Arial Hebrew Light"/>
          <w:i/>
          <w:iCs/>
          <w:sz w:val="21"/>
          <w:szCs w:val="21"/>
        </w:rPr>
        <w:t>investment</w:t>
      </w:r>
      <w:r w:rsidR="00A90C71" w:rsidRPr="00234E34">
        <w:rPr>
          <w:rFonts w:ascii="Arial Hebrew Light" w:hAnsi="Arial Hebrew Light" w:cs="Arial Hebrew Light" w:hint="cs"/>
          <w:sz w:val="21"/>
          <w:szCs w:val="21"/>
        </w:rPr>
        <w:t xml:space="preserve"> (</w:t>
      </w:r>
      <w:r w:rsidR="002D7286" w:rsidRPr="00234E34">
        <w:rPr>
          <w:rFonts w:ascii="Arial Hebrew Light" w:hAnsi="Arial Hebrew Light" w:cs="Arial Hebrew Light" w:hint="cs"/>
          <w:sz w:val="21"/>
          <w:szCs w:val="21"/>
        </w:rPr>
        <w:t>higher</w:t>
      </w:r>
      <w:r w:rsidR="00A90C71" w:rsidRPr="00234E34">
        <w:rPr>
          <w:rFonts w:ascii="Arial Hebrew Light" w:hAnsi="Arial Hebrew Light" w:cs="Arial Hebrew Light" w:hint="cs"/>
          <w:sz w:val="21"/>
          <w:szCs w:val="21"/>
        </w:rPr>
        <w:t>-</w:t>
      </w:r>
      <w:r w:rsidR="002D7286" w:rsidRPr="00234E34">
        <w:rPr>
          <w:rFonts w:ascii="Arial Hebrew Light" w:hAnsi="Arial Hebrew Light" w:cs="Arial Hebrew Light" w:hint="cs"/>
          <w:sz w:val="21"/>
          <w:szCs w:val="21"/>
        </w:rPr>
        <w:t>price, lower-yield</w:t>
      </w:r>
      <w:r w:rsidR="00A90C71" w:rsidRPr="00234E34">
        <w:rPr>
          <w:rFonts w:ascii="Arial Hebrew Light" w:hAnsi="Arial Hebrew Light" w:cs="Arial Hebrew Light" w:hint="cs"/>
          <w:sz w:val="21"/>
          <w:szCs w:val="21"/>
        </w:rPr>
        <w:t xml:space="preserve">) and </w:t>
      </w:r>
      <w:r w:rsidR="00A90C71" w:rsidRPr="00C12113">
        <w:rPr>
          <w:rFonts w:ascii="Arial Hebrew Light" w:hAnsi="Arial Hebrew Light" w:cs="Arial Hebrew Light" w:hint="cs"/>
          <w:i/>
          <w:iCs/>
          <w:sz w:val="21"/>
          <w:szCs w:val="21"/>
        </w:rPr>
        <w:t>speculative</w:t>
      </w:r>
      <w:r w:rsidR="00A90C71" w:rsidRPr="00234E34">
        <w:rPr>
          <w:rFonts w:ascii="Arial Hebrew Light" w:hAnsi="Arial Hebrew Light" w:cs="Arial Hebrew Light" w:hint="cs"/>
          <w:sz w:val="21"/>
          <w:szCs w:val="21"/>
        </w:rPr>
        <w:t xml:space="preserve"> (</w:t>
      </w:r>
      <w:r w:rsidR="002D7286" w:rsidRPr="00234E34">
        <w:rPr>
          <w:rFonts w:ascii="Arial Hebrew Light" w:hAnsi="Arial Hebrew Light" w:cs="Arial Hebrew Light" w:hint="cs"/>
          <w:sz w:val="21"/>
          <w:szCs w:val="21"/>
        </w:rPr>
        <w:t>lower</w:t>
      </w:r>
      <w:r w:rsidR="00A90C71" w:rsidRPr="00234E34">
        <w:rPr>
          <w:rFonts w:ascii="Arial Hebrew Light" w:hAnsi="Arial Hebrew Light" w:cs="Arial Hebrew Light" w:hint="cs"/>
          <w:sz w:val="21"/>
          <w:szCs w:val="21"/>
        </w:rPr>
        <w:t>-</w:t>
      </w:r>
      <w:r w:rsidR="002D7286" w:rsidRPr="00234E34">
        <w:rPr>
          <w:rFonts w:ascii="Arial Hebrew Light" w:hAnsi="Arial Hebrew Light" w:cs="Arial Hebrew Light" w:hint="cs"/>
          <w:sz w:val="21"/>
          <w:szCs w:val="21"/>
        </w:rPr>
        <w:t>price, higher-yield</w:t>
      </w:r>
      <w:r w:rsidR="00A90C71" w:rsidRPr="00234E34">
        <w:rPr>
          <w:rFonts w:ascii="Arial Hebrew Light" w:hAnsi="Arial Hebrew Light" w:cs="Arial Hebrew Light" w:hint="cs"/>
          <w:sz w:val="21"/>
          <w:szCs w:val="21"/>
        </w:rPr>
        <w:t xml:space="preserve">) grades. </w:t>
      </w:r>
      <w:r w:rsidR="00A90C71" w:rsidRPr="00234E34">
        <w:rPr>
          <w:rFonts w:ascii="Arial Hebrew Light" w:hAnsi="Arial Hebrew Light" w:cs="Arial Hebrew Light" w:hint="cs"/>
          <w:sz w:val="21"/>
          <w:szCs w:val="21"/>
        </w:rPr>
        <w:t xml:space="preserve">Ratings scores significantly impact governments’ financing costs, with </w:t>
      </w:r>
      <w:r w:rsidR="00A90C71" w:rsidRPr="00234E34">
        <w:rPr>
          <w:rFonts w:ascii="Arial Hebrew Light" w:hAnsi="Arial Hebrew Light" w:cs="Arial Hebrew Light" w:hint="cs"/>
          <w:sz w:val="21"/>
          <w:szCs w:val="21"/>
        </w:rPr>
        <w:t xml:space="preserve">the </w:t>
      </w:r>
      <w:r w:rsidR="00A90C71" w:rsidRPr="00234E34">
        <w:rPr>
          <w:rFonts w:ascii="Arial Hebrew Light" w:hAnsi="Arial Hebrew Light" w:cs="Arial Hebrew Light" w:hint="cs"/>
          <w:sz w:val="21"/>
          <w:szCs w:val="21"/>
        </w:rPr>
        <w:t>prices</w:t>
      </w:r>
      <w:r w:rsidR="00A90C71" w:rsidRPr="00234E34">
        <w:rPr>
          <w:rFonts w:ascii="Arial Hebrew Light" w:hAnsi="Arial Hebrew Light" w:cs="Arial Hebrew Light" w:hint="cs"/>
          <w:sz w:val="21"/>
          <w:szCs w:val="21"/>
        </w:rPr>
        <w:t xml:space="preserve"> of bonds and credit default swaps</w:t>
      </w:r>
      <w:r w:rsidR="00A90C71" w:rsidRPr="00234E34">
        <w:rPr>
          <w:rFonts w:ascii="Arial Hebrew Light" w:hAnsi="Arial Hebrew Light" w:cs="Arial Hebrew Light" w:hint="cs"/>
          <w:sz w:val="21"/>
          <w:szCs w:val="21"/>
        </w:rPr>
        <w:t xml:space="preserve"> </w:t>
      </w:r>
      <w:r w:rsidR="00A90C71" w:rsidRPr="00234E34">
        <w:rPr>
          <w:rFonts w:ascii="Arial Hebrew Light" w:hAnsi="Arial Hebrew Light" w:cs="Arial Hebrew Light" w:hint="cs"/>
          <w:sz w:val="21"/>
          <w:szCs w:val="21"/>
        </w:rPr>
        <w:t xml:space="preserve">highly </w:t>
      </w:r>
      <w:r w:rsidR="00A90C71" w:rsidRPr="00234E34">
        <w:rPr>
          <w:rFonts w:ascii="Arial Hebrew Light" w:hAnsi="Arial Hebrew Light" w:cs="Arial Hebrew Light" w:hint="cs"/>
          <w:sz w:val="21"/>
          <w:szCs w:val="21"/>
        </w:rPr>
        <w:t xml:space="preserve">sensitive to </w:t>
      </w:r>
      <w:r w:rsidR="002D7286" w:rsidRPr="00234E34">
        <w:rPr>
          <w:rFonts w:ascii="Arial Hebrew Light" w:hAnsi="Arial Hebrew Light" w:cs="Arial Hebrew Light" w:hint="cs"/>
          <w:sz w:val="21"/>
          <w:szCs w:val="21"/>
        </w:rPr>
        <w:t xml:space="preserve">the </w:t>
      </w:r>
      <w:r w:rsidR="00A90C71" w:rsidRPr="00234E34">
        <w:rPr>
          <w:rFonts w:ascii="Arial Hebrew Light" w:hAnsi="Arial Hebrew Light" w:cs="Arial Hebrew Light" w:hint="cs"/>
          <w:sz w:val="21"/>
          <w:szCs w:val="21"/>
        </w:rPr>
        <w:t>potential</w:t>
      </w:r>
      <w:r w:rsidR="002D7286" w:rsidRPr="00234E34">
        <w:rPr>
          <w:rFonts w:ascii="Arial Hebrew Light" w:hAnsi="Arial Hebrew Light" w:cs="Arial Hebrew Light" w:hint="cs"/>
          <w:sz w:val="21"/>
          <w:szCs w:val="21"/>
        </w:rPr>
        <w:t xml:space="preserve"> of</w:t>
      </w:r>
      <w:r w:rsidR="00A90C71" w:rsidRPr="00234E34">
        <w:rPr>
          <w:rFonts w:ascii="Arial Hebrew Light" w:hAnsi="Arial Hebrew Light" w:cs="Arial Hebrew Light" w:hint="cs"/>
          <w:sz w:val="21"/>
          <w:szCs w:val="21"/>
        </w:rPr>
        <w:t xml:space="preserve"> ratings </w:t>
      </w:r>
      <w:r w:rsidR="008865E4" w:rsidRPr="00234E34">
        <w:rPr>
          <w:rFonts w:ascii="Arial Hebrew Light" w:hAnsi="Arial Hebrew Light" w:cs="Arial Hebrew Light" w:hint="cs"/>
          <w:sz w:val="21"/>
          <w:szCs w:val="21"/>
        </w:rPr>
        <w:t xml:space="preserve">upgrades or </w:t>
      </w:r>
      <w:r w:rsidR="008865E4" w:rsidRPr="00234E34">
        <w:rPr>
          <w:rFonts w:ascii="Arial Hebrew Light" w:hAnsi="Arial Hebrew Light" w:cs="Arial Hebrew Light" w:hint="cs"/>
          <w:sz w:val="21"/>
          <w:szCs w:val="21"/>
        </w:rPr>
        <w:lastRenderedPageBreak/>
        <w:t>downgrades</w:t>
      </w:r>
      <w:r w:rsidR="00A90C71" w:rsidRPr="00234E34">
        <w:rPr>
          <w:rFonts w:ascii="Arial Hebrew Light" w:hAnsi="Arial Hebrew Light" w:cs="Arial Hebrew Light" w:hint="cs"/>
          <w:sz w:val="21"/>
          <w:szCs w:val="21"/>
        </w:rPr>
        <w:t xml:space="preserve">. </w:t>
      </w:r>
      <w:r w:rsidR="008865E4" w:rsidRPr="00234E34">
        <w:rPr>
          <w:rFonts w:ascii="Arial Hebrew Light" w:hAnsi="Arial Hebrew Light" w:cs="Arial Hebrew Light" w:hint="cs"/>
          <w:sz w:val="21"/>
          <w:szCs w:val="21"/>
        </w:rPr>
        <w:t>In addition to a rating, a</w:t>
      </w:r>
      <w:r w:rsidR="00A90C71" w:rsidRPr="00234E34">
        <w:rPr>
          <w:rFonts w:ascii="Arial Hebrew Light" w:hAnsi="Arial Hebrew Light" w:cs="Arial Hebrew Light" w:hint="cs"/>
          <w:sz w:val="21"/>
          <w:szCs w:val="21"/>
        </w:rPr>
        <w:t>gencie</w:t>
      </w:r>
      <w:r w:rsidR="008865E4" w:rsidRPr="00234E34">
        <w:rPr>
          <w:rFonts w:ascii="Arial Hebrew Light" w:hAnsi="Arial Hebrew Light" w:cs="Arial Hebrew Light" w:hint="cs"/>
          <w:sz w:val="21"/>
          <w:szCs w:val="21"/>
        </w:rPr>
        <w:t>s</w:t>
      </w:r>
      <w:r w:rsidR="00A90C71" w:rsidRPr="00234E34">
        <w:rPr>
          <w:rFonts w:ascii="Arial Hebrew Light" w:hAnsi="Arial Hebrew Light" w:cs="Arial Hebrew Light" w:hint="cs"/>
          <w:sz w:val="21"/>
          <w:szCs w:val="21"/>
        </w:rPr>
        <w:t xml:space="preserve"> can</w:t>
      </w:r>
      <w:r w:rsidR="008865E4" w:rsidRPr="00234E34">
        <w:rPr>
          <w:rFonts w:ascii="Arial Hebrew Light" w:hAnsi="Arial Hebrew Light" w:cs="Arial Hebrew Light" w:hint="cs"/>
          <w:sz w:val="21"/>
          <w:szCs w:val="21"/>
        </w:rPr>
        <w:t xml:space="preserve"> also assign a</w:t>
      </w:r>
      <w:r w:rsidR="00A90C71" w:rsidRPr="00234E34">
        <w:rPr>
          <w:rFonts w:ascii="Arial Hebrew Light" w:hAnsi="Arial Hebrew Light" w:cs="Arial Hebrew Light" w:hint="cs"/>
          <w:sz w:val="21"/>
          <w:szCs w:val="21"/>
        </w:rPr>
        <w:t xml:space="preserve"> positive or negative </w:t>
      </w:r>
      <w:r w:rsidR="00A90C71" w:rsidRPr="00C12113">
        <w:rPr>
          <w:rFonts w:ascii="Arial Hebrew Light" w:hAnsi="Arial Hebrew Light" w:cs="Arial Hebrew Light" w:hint="cs"/>
          <w:i/>
          <w:iCs/>
          <w:sz w:val="21"/>
          <w:szCs w:val="21"/>
        </w:rPr>
        <w:t>outlook</w:t>
      </w:r>
      <w:r w:rsidR="00A90C71" w:rsidRPr="00234E34">
        <w:rPr>
          <w:rFonts w:ascii="Arial Hebrew Light" w:hAnsi="Arial Hebrew Light" w:cs="Arial Hebrew Light" w:hint="cs"/>
          <w:sz w:val="21"/>
          <w:szCs w:val="21"/>
        </w:rPr>
        <w:t xml:space="preserve"> </w:t>
      </w:r>
      <w:r w:rsidR="008865E4" w:rsidRPr="00234E34">
        <w:rPr>
          <w:rFonts w:ascii="Arial Hebrew Light" w:hAnsi="Arial Hebrew Light" w:cs="Arial Hebrew Light" w:hint="cs"/>
          <w:sz w:val="21"/>
          <w:szCs w:val="21"/>
        </w:rPr>
        <w:t xml:space="preserve">to sovereign assessments </w:t>
      </w:r>
      <w:r w:rsidR="00A90C71" w:rsidRPr="00234E34">
        <w:rPr>
          <w:rFonts w:ascii="Arial Hebrew Light" w:hAnsi="Arial Hebrew Light" w:cs="Arial Hebrew Light" w:hint="cs"/>
          <w:sz w:val="21"/>
          <w:szCs w:val="21"/>
        </w:rPr>
        <w:t xml:space="preserve">– indicating the likely direction of a </w:t>
      </w:r>
      <w:r w:rsidR="002D7286" w:rsidRPr="00234E34">
        <w:rPr>
          <w:rFonts w:ascii="Arial Hebrew Light" w:hAnsi="Arial Hebrew Light" w:cs="Arial Hebrew Light" w:hint="cs"/>
          <w:sz w:val="21"/>
          <w:szCs w:val="21"/>
        </w:rPr>
        <w:t>future</w:t>
      </w:r>
      <w:r w:rsidR="008865E4" w:rsidRPr="00234E34">
        <w:rPr>
          <w:rFonts w:ascii="Arial Hebrew Light" w:hAnsi="Arial Hebrew Light" w:cs="Arial Hebrew Light" w:hint="cs"/>
          <w:sz w:val="21"/>
          <w:szCs w:val="21"/>
        </w:rPr>
        <w:t xml:space="preserve"> </w:t>
      </w:r>
      <w:r w:rsidR="00C12113">
        <w:rPr>
          <w:rFonts w:ascii="Cambria" w:hAnsi="Cambria" w:cs="Arial Hebrew Light"/>
          <w:sz w:val="21"/>
          <w:szCs w:val="21"/>
        </w:rPr>
        <w:t xml:space="preserve">rating </w:t>
      </w:r>
      <w:r w:rsidR="002D7286" w:rsidRPr="00234E34">
        <w:rPr>
          <w:rFonts w:ascii="Arial Hebrew Light" w:hAnsi="Arial Hebrew Light" w:cs="Arial Hebrew Light" w:hint="cs"/>
          <w:sz w:val="21"/>
          <w:szCs w:val="21"/>
        </w:rPr>
        <w:t>change</w:t>
      </w:r>
      <w:r w:rsidR="00A90C71" w:rsidRPr="00234E34">
        <w:rPr>
          <w:rFonts w:ascii="Arial Hebrew Light" w:hAnsi="Arial Hebrew Light" w:cs="Arial Hebrew Light" w:hint="cs"/>
          <w:sz w:val="21"/>
          <w:szCs w:val="21"/>
        </w:rPr>
        <w:t>.</w:t>
      </w:r>
      <w:r w:rsidR="00D40E9E">
        <w:rPr>
          <w:rFonts w:ascii="Arial Hebrew Light" w:hAnsi="Arial Hebrew Light" w:cs="Arial Hebrew Light"/>
          <w:sz w:val="21"/>
          <w:szCs w:val="21"/>
        </w:rPr>
        <w:t xml:space="preserve"> </w:t>
      </w:r>
      <w:r w:rsidR="00D40E9E">
        <w:rPr>
          <w:rFonts w:ascii="Cambria" w:hAnsi="Cambria" w:cs="Arial Hebrew Light"/>
          <w:sz w:val="21"/>
          <w:szCs w:val="21"/>
        </w:rPr>
        <w:t xml:space="preserve">Current sovereign ratings assigned by the three major agencies are generally similar. </w:t>
      </w:r>
    </w:p>
    <w:p w14:paraId="317CB099" w14:textId="77777777" w:rsidR="00C12113" w:rsidRDefault="00C12113" w:rsidP="00234E34">
      <w:pPr>
        <w:jc w:val="both"/>
        <w:rPr>
          <w:rFonts w:ascii="Arial Hebrew Light" w:hAnsi="Arial Hebrew Light" w:cs="Arial Hebrew Light"/>
          <w:b/>
          <w:bCs/>
          <w:sz w:val="18"/>
          <w:szCs w:val="18"/>
        </w:rPr>
      </w:pPr>
    </w:p>
    <w:p w14:paraId="0810160A" w14:textId="03140126" w:rsidR="00234E34" w:rsidRPr="00C12113" w:rsidRDefault="00234E34" w:rsidP="00C12113">
      <w:pPr>
        <w:spacing w:line="276" w:lineRule="auto"/>
        <w:jc w:val="both"/>
        <w:rPr>
          <w:rFonts w:ascii="Arial Hebrew Light" w:hAnsi="Arial Hebrew Light" w:cs="Arial Hebrew Light" w:hint="cs"/>
          <w:b/>
          <w:bCs/>
          <w:i/>
          <w:iCs/>
          <w:sz w:val="18"/>
          <w:szCs w:val="18"/>
        </w:rPr>
      </w:pPr>
      <w:r w:rsidRPr="00C12113">
        <w:rPr>
          <w:rFonts w:ascii="Arial Hebrew Light" w:hAnsi="Arial Hebrew Light" w:cs="Arial Hebrew Light" w:hint="cs"/>
          <w:b/>
          <w:bCs/>
          <w:i/>
          <w:iCs/>
          <w:sz w:val="18"/>
          <w:szCs w:val="18"/>
        </w:rPr>
        <w:t>Ratings Agency Grades</w:t>
      </w:r>
    </w:p>
    <w:tbl>
      <w:tblPr>
        <w:tblStyle w:val="TableGrid"/>
        <w:tblW w:w="4253" w:type="dxa"/>
        <w:tblLook w:val="04A0" w:firstRow="1" w:lastRow="0" w:firstColumn="1" w:lastColumn="0" w:noHBand="0" w:noVBand="1"/>
      </w:tblPr>
      <w:tblGrid>
        <w:gridCol w:w="904"/>
        <w:gridCol w:w="1364"/>
        <w:gridCol w:w="1063"/>
        <w:gridCol w:w="922"/>
      </w:tblGrid>
      <w:tr w:rsidR="003731C9" w:rsidRPr="00C12113" w14:paraId="290CB63C" w14:textId="77777777" w:rsidTr="00D40E9E">
        <w:tc>
          <w:tcPr>
            <w:tcW w:w="904" w:type="dxa"/>
            <w:tcBorders>
              <w:left w:val="nil"/>
              <w:bottom w:val="single" w:sz="4" w:space="0" w:color="auto"/>
              <w:right w:val="nil"/>
            </w:tcBorders>
            <w:vAlign w:val="center"/>
          </w:tcPr>
          <w:p w14:paraId="6C2A22A5" w14:textId="77777777" w:rsidR="00234E34" w:rsidRPr="00D40E9E" w:rsidRDefault="00234E34" w:rsidP="00D40E9E">
            <w:pPr>
              <w:spacing w:line="276" w:lineRule="auto"/>
              <w:rPr>
                <w:rFonts w:ascii="Arial Hebrew Light" w:hAnsi="Arial Hebrew Light" w:cs="Arial Hebrew Light" w:hint="cs"/>
                <w:sz w:val="15"/>
                <w:szCs w:val="15"/>
              </w:rPr>
            </w:pPr>
            <w:r w:rsidRPr="00D40E9E">
              <w:rPr>
                <w:rFonts w:ascii="Arial Hebrew Light" w:hAnsi="Arial Hebrew Light" w:cs="Arial Hebrew Light" w:hint="cs"/>
                <w:sz w:val="15"/>
                <w:szCs w:val="15"/>
              </w:rPr>
              <w:t>Grade</w:t>
            </w:r>
          </w:p>
        </w:tc>
        <w:tc>
          <w:tcPr>
            <w:tcW w:w="1364" w:type="dxa"/>
            <w:tcBorders>
              <w:left w:val="nil"/>
              <w:bottom w:val="single" w:sz="4" w:space="0" w:color="auto"/>
              <w:right w:val="nil"/>
            </w:tcBorders>
            <w:vAlign w:val="center"/>
          </w:tcPr>
          <w:p w14:paraId="278009CE" w14:textId="77777777" w:rsidR="00234E34" w:rsidRPr="00D40E9E" w:rsidRDefault="00234E34" w:rsidP="00D40E9E">
            <w:pPr>
              <w:spacing w:line="276" w:lineRule="auto"/>
              <w:rPr>
                <w:rFonts w:ascii="Arial Hebrew Light" w:hAnsi="Arial Hebrew Light" w:cs="Arial Hebrew Light" w:hint="cs"/>
                <w:sz w:val="15"/>
                <w:szCs w:val="15"/>
              </w:rPr>
            </w:pPr>
            <w:r w:rsidRPr="00D40E9E">
              <w:rPr>
                <w:rFonts w:ascii="Arial Hebrew Light" w:hAnsi="Arial Hebrew Light" w:cs="Arial Hebrew Light" w:hint="cs"/>
                <w:sz w:val="15"/>
                <w:szCs w:val="15"/>
              </w:rPr>
              <w:t>Description</w:t>
            </w:r>
          </w:p>
        </w:tc>
        <w:tc>
          <w:tcPr>
            <w:tcW w:w="1063" w:type="dxa"/>
            <w:tcBorders>
              <w:left w:val="nil"/>
              <w:bottom w:val="single" w:sz="4" w:space="0" w:color="auto"/>
              <w:right w:val="nil"/>
            </w:tcBorders>
            <w:vAlign w:val="center"/>
          </w:tcPr>
          <w:p w14:paraId="7604F308" w14:textId="3CA139D0" w:rsidR="00234E34" w:rsidRPr="00D40E9E" w:rsidRDefault="00234E34" w:rsidP="00D40E9E">
            <w:pPr>
              <w:spacing w:line="276" w:lineRule="auto"/>
              <w:rPr>
                <w:rFonts w:ascii="Arial Hebrew Light" w:hAnsi="Arial Hebrew Light" w:cs="Arial Hebrew Light" w:hint="cs"/>
                <w:sz w:val="15"/>
                <w:szCs w:val="15"/>
              </w:rPr>
            </w:pPr>
            <w:r w:rsidRPr="00D40E9E">
              <w:rPr>
                <w:rFonts w:ascii="Arial Hebrew Light" w:hAnsi="Arial Hebrew Light" w:cs="Arial Hebrew Light" w:hint="cs"/>
                <w:sz w:val="15"/>
                <w:szCs w:val="15"/>
              </w:rPr>
              <w:t>S&amp;P</w:t>
            </w:r>
            <w:r w:rsidR="00D40E9E">
              <w:rPr>
                <w:rFonts w:ascii="Arial Hebrew Light" w:hAnsi="Arial Hebrew Light" w:cs="Arial Hebrew Light"/>
                <w:sz w:val="15"/>
                <w:szCs w:val="15"/>
              </w:rPr>
              <w:t xml:space="preserve"> </w:t>
            </w:r>
            <w:r w:rsidRPr="00D40E9E">
              <w:rPr>
                <w:rFonts w:ascii="Arial Hebrew Light" w:hAnsi="Arial Hebrew Light" w:cs="Arial Hebrew Light" w:hint="cs"/>
                <w:sz w:val="15"/>
                <w:szCs w:val="15"/>
              </w:rPr>
              <w:t>/</w:t>
            </w:r>
            <w:r w:rsidR="00D40E9E">
              <w:rPr>
                <w:rFonts w:ascii="Arial Hebrew Light" w:hAnsi="Arial Hebrew Light" w:cs="Arial Hebrew Light"/>
                <w:sz w:val="15"/>
                <w:szCs w:val="15"/>
              </w:rPr>
              <w:t xml:space="preserve"> </w:t>
            </w:r>
            <w:r w:rsidRPr="00D40E9E">
              <w:rPr>
                <w:rFonts w:ascii="Arial Hebrew Light" w:hAnsi="Arial Hebrew Light" w:cs="Arial Hebrew Light" w:hint="cs"/>
                <w:sz w:val="15"/>
                <w:szCs w:val="15"/>
              </w:rPr>
              <w:t>Fitch</w:t>
            </w:r>
          </w:p>
        </w:tc>
        <w:tc>
          <w:tcPr>
            <w:tcW w:w="922" w:type="dxa"/>
            <w:tcBorders>
              <w:left w:val="nil"/>
              <w:bottom w:val="single" w:sz="4" w:space="0" w:color="auto"/>
              <w:right w:val="nil"/>
            </w:tcBorders>
            <w:vAlign w:val="center"/>
          </w:tcPr>
          <w:p w14:paraId="36EC79E2" w14:textId="77777777" w:rsidR="00234E34" w:rsidRPr="00D40E9E" w:rsidRDefault="00234E34" w:rsidP="00D40E9E">
            <w:pPr>
              <w:spacing w:line="276" w:lineRule="auto"/>
              <w:rPr>
                <w:rFonts w:ascii="Arial Hebrew Light" w:hAnsi="Arial Hebrew Light" w:cs="Arial Hebrew Light" w:hint="cs"/>
                <w:sz w:val="15"/>
                <w:szCs w:val="15"/>
              </w:rPr>
            </w:pPr>
            <w:r w:rsidRPr="00D40E9E">
              <w:rPr>
                <w:rFonts w:ascii="Arial Hebrew Light" w:hAnsi="Arial Hebrew Light" w:cs="Arial Hebrew Light" w:hint="cs"/>
                <w:sz w:val="15"/>
                <w:szCs w:val="15"/>
              </w:rPr>
              <w:t>Moody’s</w:t>
            </w:r>
          </w:p>
        </w:tc>
      </w:tr>
      <w:tr w:rsidR="00D40E9E" w:rsidRPr="00C12113" w14:paraId="7B6F7497" w14:textId="77777777" w:rsidTr="00D40E9E">
        <w:tc>
          <w:tcPr>
            <w:tcW w:w="904" w:type="dxa"/>
            <w:vMerge w:val="restart"/>
            <w:tcBorders>
              <w:left w:val="nil"/>
              <w:bottom w:val="nil"/>
              <w:right w:val="nil"/>
            </w:tcBorders>
            <w:shd w:val="clear" w:color="auto" w:fill="CAEDFB" w:themeFill="accent4" w:themeFillTint="33"/>
            <w:vAlign w:val="center"/>
          </w:tcPr>
          <w:p w14:paraId="67B7DB2F" w14:textId="1467ADE0" w:rsidR="00C12113" w:rsidRPr="003731C9" w:rsidRDefault="00C12113" w:rsidP="00C12113">
            <w:pPr>
              <w:rPr>
                <w:rFonts w:ascii="Cambria" w:hAnsi="Cambria" w:cs="Arial Hebrew Light" w:hint="cs"/>
                <w:b/>
                <w:bCs/>
                <w:sz w:val="13"/>
                <w:szCs w:val="13"/>
              </w:rPr>
            </w:pPr>
            <w:r w:rsidRPr="003731C9">
              <w:rPr>
                <w:rFonts w:ascii="Cambria" w:hAnsi="Cambria" w:cs="Arial Hebrew Light"/>
                <w:b/>
                <w:bCs/>
                <w:sz w:val="13"/>
                <w:szCs w:val="13"/>
              </w:rPr>
              <w:t>Investment</w:t>
            </w:r>
          </w:p>
        </w:tc>
        <w:tc>
          <w:tcPr>
            <w:tcW w:w="1364" w:type="dxa"/>
            <w:tcBorders>
              <w:left w:val="nil"/>
              <w:bottom w:val="nil"/>
              <w:right w:val="nil"/>
            </w:tcBorders>
            <w:shd w:val="clear" w:color="auto" w:fill="0F9ED5" w:themeFill="accent4"/>
            <w:vAlign w:val="center"/>
          </w:tcPr>
          <w:p w14:paraId="13608D8B"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Prime</w:t>
            </w:r>
          </w:p>
        </w:tc>
        <w:tc>
          <w:tcPr>
            <w:tcW w:w="1063" w:type="dxa"/>
            <w:tcBorders>
              <w:left w:val="nil"/>
              <w:bottom w:val="nil"/>
              <w:right w:val="nil"/>
            </w:tcBorders>
            <w:shd w:val="clear" w:color="auto" w:fill="0F9ED5" w:themeFill="accent4"/>
            <w:vAlign w:val="center"/>
          </w:tcPr>
          <w:p w14:paraId="7A22BD72"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AAA</w:t>
            </w:r>
          </w:p>
        </w:tc>
        <w:tc>
          <w:tcPr>
            <w:tcW w:w="922" w:type="dxa"/>
            <w:tcBorders>
              <w:left w:val="nil"/>
              <w:bottom w:val="nil"/>
              <w:right w:val="nil"/>
            </w:tcBorders>
            <w:shd w:val="clear" w:color="auto" w:fill="0F9ED5" w:themeFill="accent4"/>
            <w:vAlign w:val="center"/>
          </w:tcPr>
          <w:p w14:paraId="21CAC836" w14:textId="77777777" w:rsidR="00C12113" w:rsidRPr="003731C9" w:rsidRDefault="00C12113" w:rsidP="00C12113">
            <w:pPr>
              <w:rPr>
                <w:rFonts w:ascii="Arial Hebrew Light" w:hAnsi="Arial Hebrew Light" w:cs="Arial Hebrew Light" w:hint="cs"/>
                <w:b/>
                <w:bCs/>
                <w:sz w:val="13"/>
                <w:szCs w:val="13"/>
              </w:rPr>
            </w:pPr>
            <w:proofErr w:type="spellStart"/>
            <w:r w:rsidRPr="003731C9">
              <w:rPr>
                <w:rFonts w:ascii="Arial Hebrew Light" w:hAnsi="Arial Hebrew Light" w:cs="Arial Hebrew Light" w:hint="cs"/>
                <w:b/>
                <w:bCs/>
                <w:sz w:val="13"/>
                <w:szCs w:val="13"/>
              </w:rPr>
              <w:t>Aaa</w:t>
            </w:r>
            <w:proofErr w:type="spellEnd"/>
          </w:p>
        </w:tc>
      </w:tr>
      <w:tr w:rsidR="00D40E9E" w:rsidRPr="00C12113" w14:paraId="64A5A61D" w14:textId="77777777" w:rsidTr="00D40E9E">
        <w:tc>
          <w:tcPr>
            <w:tcW w:w="904" w:type="dxa"/>
            <w:vMerge/>
            <w:tcBorders>
              <w:top w:val="nil"/>
              <w:left w:val="nil"/>
              <w:bottom w:val="nil"/>
              <w:right w:val="nil"/>
            </w:tcBorders>
            <w:shd w:val="clear" w:color="auto" w:fill="CAEDFB" w:themeFill="accent4" w:themeFillTint="33"/>
            <w:vAlign w:val="center"/>
          </w:tcPr>
          <w:p w14:paraId="7DD8AECD" w14:textId="77777777" w:rsidR="00C12113" w:rsidRPr="003731C9" w:rsidRDefault="00C12113" w:rsidP="00C12113">
            <w:pPr>
              <w:rPr>
                <w:rFonts w:ascii="Arial Hebrew Light" w:hAnsi="Arial Hebrew Light" w:cs="Arial Hebrew Light" w:hint="cs"/>
                <w:b/>
                <w:bCs/>
                <w:sz w:val="13"/>
                <w:szCs w:val="13"/>
              </w:rPr>
            </w:pPr>
          </w:p>
        </w:tc>
        <w:tc>
          <w:tcPr>
            <w:tcW w:w="1364" w:type="dxa"/>
            <w:vMerge w:val="restart"/>
            <w:tcBorders>
              <w:top w:val="nil"/>
              <w:left w:val="nil"/>
              <w:bottom w:val="nil"/>
              <w:right w:val="nil"/>
            </w:tcBorders>
            <w:shd w:val="clear" w:color="auto" w:fill="60CAF3" w:themeFill="accent4" w:themeFillTint="99"/>
            <w:vAlign w:val="center"/>
          </w:tcPr>
          <w:p w14:paraId="7CB6E887"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High Medium Grade</w:t>
            </w:r>
          </w:p>
        </w:tc>
        <w:tc>
          <w:tcPr>
            <w:tcW w:w="1063" w:type="dxa"/>
            <w:tcBorders>
              <w:top w:val="nil"/>
              <w:left w:val="nil"/>
              <w:bottom w:val="nil"/>
              <w:right w:val="nil"/>
            </w:tcBorders>
            <w:shd w:val="clear" w:color="auto" w:fill="60CAF3" w:themeFill="accent4" w:themeFillTint="99"/>
            <w:vAlign w:val="center"/>
          </w:tcPr>
          <w:p w14:paraId="10037F34"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AA+</w:t>
            </w:r>
          </w:p>
        </w:tc>
        <w:tc>
          <w:tcPr>
            <w:tcW w:w="922" w:type="dxa"/>
            <w:tcBorders>
              <w:top w:val="nil"/>
              <w:left w:val="nil"/>
              <w:bottom w:val="nil"/>
              <w:right w:val="nil"/>
            </w:tcBorders>
            <w:shd w:val="clear" w:color="auto" w:fill="60CAF3" w:themeFill="accent4" w:themeFillTint="99"/>
            <w:vAlign w:val="center"/>
          </w:tcPr>
          <w:p w14:paraId="7133A09D"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Aa1</w:t>
            </w:r>
          </w:p>
        </w:tc>
      </w:tr>
      <w:tr w:rsidR="00D40E9E" w:rsidRPr="00C12113" w14:paraId="1C00A8E2" w14:textId="77777777" w:rsidTr="00D40E9E">
        <w:tc>
          <w:tcPr>
            <w:tcW w:w="904" w:type="dxa"/>
            <w:vMerge/>
            <w:tcBorders>
              <w:top w:val="nil"/>
              <w:left w:val="nil"/>
              <w:bottom w:val="nil"/>
              <w:right w:val="nil"/>
            </w:tcBorders>
            <w:shd w:val="clear" w:color="auto" w:fill="CAEDFB" w:themeFill="accent4" w:themeFillTint="33"/>
            <w:vAlign w:val="center"/>
          </w:tcPr>
          <w:p w14:paraId="41E282C6"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60CAF3" w:themeFill="accent4" w:themeFillTint="99"/>
            <w:vAlign w:val="center"/>
          </w:tcPr>
          <w:p w14:paraId="29BFB069"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60CAF3" w:themeFill="accent4" w:themeFillTint="99"/>
            <w:vAlign w:val="center"/>
          </w:tcPr>
          <w:p w14:paraId="39DF74C0"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AA</w:t>
            </w:r>
          </w:p>
        </w:tc>
        <w:tc>
          <w:tcPr>
            <w:tcW w:w="922" w:type="dxa"/>
            <w:tcBorders>
              <w:top w:val="nil"/>
              <w:left w:val="nil"/>
              <w:bottom w:val="nil"/>
              <w:right w:val="nil"/>
            </w:tcBorders>
            <w:shd w:val="clear" w:color="auto" w:fill="60CAF3" w:themeFill="accent4" w:themeFillTint="99"/>
            <w:vAlign w:val="center"/>
          </w:tcPr>
          <w:p w14:paraId="4C8EC3F7"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Aa2</w:t>
            </w:r>
          </w:p>
        </w:tc>
      </w:tr>
      <w:tr w:rsidR="00D40E9E" w:rsidRPr="00C12113" w14:paraId="7D8992C3" w14:textId="77777777" w:rsidTr="00D40E9E">
        <w:tc>
          <w:tcPr>
            <w:tcW w:w="904" w:type="dxa"/>
            <w:vMerge/>
            <w:tcBorders>
              <w:top w:val="nil"/>
              <w:left w:val="nil"/>
              <w:bottom w:val="nil"/>
              <w:right w:val="nil"/>
            </w:tcBorders>
            <w:shd w:val="clear" w:color="auto" w:fill="CAEDFB" w:themeFill="accent4" w:themeFillTint="33"/>
            <w:vAlign w:val="center"/>
          </w:tcPr>
          <w:p w14:paraId="605BAAE2"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60CAF3" w:themeFill="accent4" w:themeFillTint="99"/>
            <w:vAlign w:val="center"/>
          </w:tcPr>
          <w:p w14:paraId="37B79690"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60CAF3" w:themeFill="accent4" w:themeFillTint="99"/>
            <w:vAlign w:val="center"/>
          </w:tcPr>
          <w:p w14:paraId="1917F2D3"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AA-</w:t>
            </w:r>
          </w:p>
        </w:tc>
        <w:tc>
          <w:tcPr>
            <w:tcW w:w="922" w:type="dxa"/>
            <w:tcBorders>
              <w:top w:val="nil"/>
              <w:left w:val="nil"/>
              <w:bottom w:val="nil"/>
              <w:right w:val="nil"/>
            </w:tcBorders>
            <w:shd w:val="clear" w:color="auto" w:fill="60CAF3" w:themeFill="accent4" w:themeFillTint="99"/>
            <w:vAlign w:val="center"/>
          </w:tcPr>
          <w:p w14:paraId="46CB3A54"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Aa3</w:t>
            </w:r>
          </w:p>
        </w:tc>
      </w:tr>
      <w:tr w:rsidR="00D40E9E" w:rsidRPr="00C12113" w14:paraId="390603F7" w14:textId="77777777" w:rsidTr="00D40E9E">
        <w:tc>
          <w:tcPr>
            <w:tcW w:w="904" w:type="dxa"/>
            <w:vMerge/>
            <w:tcBorders>
              <w:top w:val="nil"/>
              <w:left w:val="nil"/>
              <w:bottom w:val="nil"/>
              <w:right w:val="nil"/>
            </w:tcBorders>
            <w:shd w:val="clear" w:color="auto" w:fill="CAEDFB" w:themeFill="accent4" w:themeFillTint="33"/>
            <w:vAlign w:val="center"/>
          </w:tcPr>
          <w:p w14:paraId="21D03269" w14:textId="77777777" w:rsidR="00C12113" w:rsidRPr="003731C9" w:rsidRDefault="00C12113" w:rsidP="00C12113">
            <w:pPr>
              <w:rPr>
                <w:rFonts w:ascii="Arial Hebrew Light" w:hAnsi="Arial Hebrew Light" w:cs="Arial Hebrew Light" w:hint="cs"/>
                <w:b/>
                <w:bCs/>
                <w:sz w:val="13"/>
                <w:szCs w:val="13"/>
              </w:rPr>
            </w:pPr>
          </w:p>
        </w:tc>
        <w:tc>
          <w:tcPr>
            <w:tcW w:w="1364" w:type="dxa"/>
            <w:vMerge w:val="restart"/>
            <w:tcBorders>
              <w:top w:val="nil"/>
              <w:left w:val="nil"/>
              <w:bottom w:val="nil"/>
              <w:right w:val="nil"/>
            </w:tcBorders>
            <w:shd w:val="clear" w:color="auto" w:fill="95DCF7" w:themeFill="accent4" w:themeFillTint="66"/>
            <w:vAlign w:val="center"/>
          </w:tcPr>
          <w:p w14:paraId="4B2AAB74"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Upper Medium Grade</w:t>
            </w:r>
          </w:p>
        </w:tc>
        <w:tc>
          <w:tcPr>
            <w:tcW w:w="1063" w:type="dxa"/>
            <w:tcBorders>
              <w:top w:val="nil"/>
              <w:left w:val="nil"/>
              <w:bottom w:val="nil"/>
              <w:right w:val="nil"/>
            </w:tcBorders>
            <w:shd w:val="clear" w:color="auto" w:fill="95DCF7" w:themeFill="accent4" w:themeFillTint="66"/>
            <w:vAlign w:val="center"/>
          </w:tcPr>
          <w:p w14:paraId="3F005BA8"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w:t>
            </w:r>
          </w:p>
        </w:tc>
        <w:tc>
          <w:tcPr>
            <w:tcW w:w="922" w:type="dxa"/>
            <w:tcBorders>
              <w:top w:val="nil"/>
              <w:left w:val="nil"/>
              <w:bottom w:val="nil"/>
              <w:right w:val="nil"/>
            </w:tcBorders>
            <w:shd w:val="clear" w:color="auto" w:fill="95DCF7" w:themeFill="accent4" w:themeFillTint="66"/>
            <w:vAlign w:val="center"/>
          </w:tcPr>
          <w:p w14:paraId="0BC8FFB2"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A1</w:t>
            </w:r>
          </w:p>
        </w:tc>
      </w:tr>
      <w:tr w:rsidR="00D40E9E" w:rsidRPr="00C12113" w14:paraId="75182D4D" w14:textId="77777777" w:rsidTr="00D40E9E">
        <w:tc>
          <w:tcPr>
            <w:tcW w:w="904" w:type="dxa"/>
            <w:vMerge/>
            <w:tcBorders>
              <w:top w:val="nil"/>
              <w:left w:val="nil"/>
              <w:bottom w:val="nil"/>
              <w:right w:val="nil"/>
            </w:tcBorders>
            <w:shd w:val="clear" w:color="auto" w:fill="CAEDFB" w:themeFill="accent4" w:themeFillTint="33"/>
            <w:vAlign w:val="center"/>
          </w:tcPr>
          <w:p w14:paraId="36D2EC54"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95DCF7" w:themeFill="accent4" w:themeFillTint="66"/>
            <w:vAlign w:val="center"/>
          </w:tcPr>
          <w:p w14:paraId="54C124F0"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95DCF7" w:themeFill="accent4" w:themeFillTint="66"/>
            <w:vAlign w:val="center"/>
          </w:tcPr>
          <w:p w14:paraId="10B2DD89"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w:t>
            </w:r>
          </w:p>
        </w:tc>
        <w:tc>
          <w:tcPr>
            <w:tcW w:w="922" w:type="dxa"/>
            <w:tcBorders>
              <w:top w:val="nil"/>
              <w:left w:val="nil"/>
              <w:bottom w:val="nil"/>
              <w:right w:val="nil"/>
            </w:tcBorders>
            <w:shd w:val="clear" w:color="auto" w:fill="95DCF7" w:themeFill="accent4" w:themeFillTint="66"/>
            <w:vAlign w:val="center"/>
          </w:tcPr>
          <w:p w14:paraId="38E99C26"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A2</w:t>
            </w:r>
          </w:p>
        </w:tc>
      </w:tr>
      <w:tr w:rsidR="00D40E9E" w:rsidRPr="00C12113" w14:paraId="3DAA93AC" w14:textId="77777777" w:rsidTr="00D40E9E">
        <w:tc>
          <w:tcPr>
            <w:tcW w:w="904" w:type="dxa"/>
            <w:vMerge/>
            <w:tcBorders>
              <w:top w:val="nil"/>
              <w:left w:val="nil"/>
              <w:bottom w:val="nil"/>
              <w:right w:val="nil"/>
            </w:tcBorders>
            <w:shd w:val="clear" w:color="auto" w:fill="CAEDFB" w:themeFill="accent4" w:themeFillTint="33"/>
            <w:vAlign w:val="center"/>
          </w:tcPr>
          <w:p w14:paraId="3B8ED876"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95DCF7" w:themeFill="accent4" w:themeFillTint="66"/>
            <w:vAlign w:val="center"/>
          </w:tcPr>
          <w:p w14:paraId="7212F983"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95DCF7" w:themeFill="accent4" w:themeFillTint="66"/>
            <w:vAlign w:val="center"/>
          </w:tcPr>
          <w:p w14:paraId="5CFAFDD7"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w:t>
            </w:r>
          </w:p>
        </w:tc>
        <w:tc>
          <w:tcPr>
            <w:tcW w:w="922" w:type="dxa"/>
            <w:tcBorders>
              <w:top w:val="nil"/>
              <w:left w:val="nil"/>
              <w:bottom w:val="nil"/>
              <w:right w:val="nil"/>
            </w:tcBorders>
            <w:shd w:val="clear" w:color="auto" w:fill="95DCF7" w:themeFill="accent4" w:themeFillTint="66"/>
            <w:vAlign w:val="center"/>
          </w:tcPr>
          <w:p w14:paraId="23E9067C"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A3</w:t>
            </w:r>
          </w:p>
        </w:tc>
      </w:tr>
      <w:tr w:rsidR="00D40E9E" w:rsidRPr="00C12113" w14:paraId="3BADC1AA" w14:textId="77777777" w:rsidTr="00D40E9E">
        <w:tc>
          <w:tcPr>
            <w:tcW w:w="904" w:type="dxa"/>
            <w:vMerge/>
            <w:tcBorders>
              <w:top w:val="nil"/>
              <w:left w:val="nil"/>
              <w:bottom w:val="nil"/>
              <w:right w:val="nil"/>
            </w:tcBorders>
            <w:shd w:val="clear" w:color="auto" w:fill="CAEDFB" w:themeFill="accent4" w:themeFillTint="33"/>
            <w:vAlign w:val="center"/>
          </w:tcPr>
          <w:p w14:paraId="53EFF20B" w14:textId="77777777" w:rsidR="00C12113" w:rsidRPr="003731C9" w:rsidRDefault="00C12113" w:rsidP="00C12113">
            <w:pPr>
              <w:rPr>
                <w:rFonts w:ascii="Arial Hebrew Light" w:hAnsi="Arial Hebrew Light" w:cs="Arial Hebrew Light" w:hint="cs"/>
                <w:b/>
                <w:bCs/>
                <w:sz w:val="13"/>
                <w:szCs w:val="13"/>
              </w:rPr>
            </w:pPr>
          </w:p>
        </w:tc>
        <w:tc>
          <w:tcPr>
            <w:tcW w:w="1364" w:type="dxa"/>
            <w:vMerge w:val="restart"/>
            <w:tcBorders>
              <w:top w:val="nil"/>
              <w:left w:val="nil"/>
              <w:bottom w:val="nil"/>
              <w:right w:val="nil"/>
            </w:tcBorders>
            <w:shd w:val="clear" w:color="auto" w:fill="CAEDFB" w:themeFill="accent4" w:themeFillTint="33"/>
            <w:vAlign w:val="center"/>
          </w:tcPr>
          <w:p w14:paraId="3725718E"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Lower Medium Grade</w:t>
            </w:r>
          </w:p>
        </w:tc>
        <w:tc>
          <w:tcPr>
            <w:tcW w:w="1063" w:type="dxa"/>
            <w:tcBorders>
              <w:top w:val="nil"/>
              <w:left w:val="nil"/>
              <w:bottom w:val="nil"/>
              <w:right w:val="nil"/>
            </w:tcBorders>
            <w:shd w:val="clear" w:color="auto" w:fill="CAEDFB" w:themeFill="accent4" w:themeFillTint="33"/>
            <w:vAlign w:val="center"/>
          </w:tcPr>
          <w:p w14:paraId="32821B18"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BBB+</w:t>
            </w:r>
          </w:p>
        </w:tc>
        <w:tc>
          <w:tcPr>
            <w:tcW w:w="922" w:type="dxa"/>
            <w:tcBorders>
              <w:top w:val="nil"/>
              <w:left w:val="nil"/>
              <w:bottom w:val="nil"/>
              <w:right w:val="nil"/>
            </w:tcBorders>
            <w:shd w:val="clear" w:color="auto" w:fill="CAEDFB" w:themeFill="accent4" w:themeFillTint="33"/>
            <w:vAlign w:val="center"/>
          </w:tcPr>
          <w:p w14:paraId="44563EA3"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Baa1</w:t>
            </w:r>
          </w:p>
        </w:tc>
      </w:tr>
      <w:tr w:rsidR="00D40E9E" w:rsidRPr="00C12113" w14:paraId="30A55943" w14:textId="77777777" w:rsidTr="00D40E9E">
        <w:tc>
          <w:tcPr>
            <w:tcW w:w="904" w:type="dxa"/>
            <w:vMerge/>
            <w:tcBorders>
              <w:top w:val="nil"/>
              <w:left w:val="nil"/>
              <w:bottom w:val="nil"/>
              <w:right w:val="nil"/>
            </w:tcBorders>
            <w:shd w:val="clear" w:color="auto" w:fill="CAEDFB" w:themeFill="accent4" w:themeFillTint="33"/>
            <w:vAlign w:val="center"/>
          </w:tcPr>
          <w:p w14:paraId="13EB776B"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CAEDFB" w:themeFill="accent4" w:themeFillTint="33"/>
            <w:vAlign w:val="center"/>
          </w:tcPr>
          <w:p w14:paraId="4B51037C"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CAEDFB" w:themeFill="accent4" w:themeFillTint="33"/>
            <w:vAlign w:val="center"/>
          </w:tcPr>
          <w:p w14:paraId="7DFF8E0D"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BBB</w:t>
            </w:r>
          </w:p>
        </w:tc>
        <w:tc>
          <w:tcPr>
            <w:tcW w:w="922" w:type="dxa"/>
            <w:tcBorders>
              <w:top w:val="nil"/>
              <w:left w:val="nil"/>
              <w:bottom w:val="nil"/>
              <w:right w:val="nil"/>
            </w:tcBorders>
            <w:shd w:val="clear" w:color="auto" w:fill="CAEDFB" w:themeFill="accent4" w:themeFillTint="33"/>
            <w:vAlign w:val="center"/>
          </w:tcPr>
          <w:p w14:paraId="4FF9790A"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Baa2</w:t>
            </w:r>
          </w:p>
        </w:tc>
      </w:tr>
      <w:tr w:rsidR="00D40E9E" w:rsidRPr="00C12113" w14:paraId="14CA198E" w14:textId="77777777" w:rsidTr="00D40E9E">
        <w:tc>
          <w:tcPr>
            <w:tcW w:w="904" w:type="dxa"/>
            <w:vMerge/>
            <w:tcBorders>
              <w:top w:val="nil"/>
              <w:left w:val="nil"/>
              <w:bottom w:val="nil"/>
              <w:right w:val="nil"/>
            </w:tcBorders>
            <w:shd w:val="clear" w:color="auto" w:fill="CAEDFB" w:themeFill="accent4" w:themeFillTint="33"/>
            <w:vAlign w:val="center"/>
          </w:tcPr>
          <w:p w14:paraId="525E3701"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CAEDFB" w:themeFill="accent4" w:themeFillTint="33"/>
            <w:vAlign w:val="center"/>
          </w:tcPr>
          <w:p w14:paraId="03710F23"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CAEDFB" w:themeFill="accent4" w:themeFillTint="33"/>
            <w:vAlign w:val="center"/>
          </w:tcPr>
          <w:p w14:paraId="235E692A"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BBB-</w:t>
            </w:r>
          </w:p>
        </w:tc>
        <w:tc>
          <w:tcPr>
            <w:tcW w:w="922" w:type="dxa"/>
            <w:tcBorders>
              <w:top w:val="nil"/>
              <w:left w:val="nil"/>
              <w:bottom w:val="nil"/>
              <w:right w:val="nil"/>
            </w:tcBorders>
            <w:shd w:val="clear" w:color="auto" w:fill="CAEDFB" w:themeFill="accent4" w:themeFillTint="33"/>
            <w:vAlign w:val="center"/>
          </w:tcPr>
          <w:p w14:paraId="77F5339E"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Baa3</w:t>
            </w:r>
          </w:p>
        </w:tc>
      </w:tr>
      <w:tr w:rsidR="00D40E9E" w:rsidRPr="00C12113" w14:paraId="5DA76659" w14:textId="77777777" w:rsidTr="00D40E9E">
        <w:tc>
          <w:tcPr>
            <w:tcW w:w="904" w:type="dxa"/>
            <w:vMerge w:val="restart"/>
            <w:tcBorders>
              <w:top w:val="nil"/>
              <w:left w:val="nil"/>
              <w:bottom w:val="nil"/>
              <w:right w:val="nil"/>
            </w:tcBorders>
            <w:shd w:val="clear" w:color="auto" w:fill="FFDEFF"/>
            <w:vAlign w:val="center"/>
          </w:tcPr>
          <w:p w14:paraId="2843184E" w14:textId="2F230B93" w:rsidR="00C12113" w:rsidRPr="003731C9" w:rsidRDefault="00C12113" w:rsidP="00C12113">
            <w:pPr>
              <w:rPr>
                <w:rFonts w:ascii="Cambria" w:hAnsi="Cambria" w:cs="Arial Hebrew Light" w:hint="cs"/>
                <w:b/>
                <w:bCs/>
                <w:sz w:val="13"/>
                <w:szCs w:val="13"/>
              </w:rPr>
            </w:pPr>
            <w:r w:rsidRPr="003731C9">
              <w:rPr>
                <w:rFonts w:ascii="Cambria" w:hAnsi="Cambria" w:cs="Arial Hebrew Light"/>
                <w:b/>
                <w:bCs/>
                <w:sz w:val="13"/>
                <w:szCs w:val="13"/>
              </w:rPr>
              <w:t>Speculative</w:t>
            </w:r>
          </w:p>
        </w:tc>
        <w:tc>
          <w:tcPr>
            <w:tcW w:w="1364" w:type="dxa"/>
            <w:vMerge w:val="restart"/>
            <w:tcBorders>
              <w:top w:val="nil"/>
              <w:left w:val="nil"/>
              <w:bottom w:val="nil"/>
              <w:right w:val="nil"/>
            </w:tcBorders>
            <w:shd w:val="clear" w:color="auto" w:fill="FFDEFF"/>
            <w:vAlign w:val="center"/>
          </w:tcPr>
          <w:p w14:paraId="31083942"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Speculative</w:t>
            </w:r>
          </w:p>
        </w:tc>
        <w:tc>
          <w:tcPr>
            <w:tcW w:w="1063" w:type="dxa"/>
            <w:tcBorders>
              <w:top w:val="nil"/>
              <w:left w:val="nil"/>
              <w:bottom w:val="nil"/>
              <w:right w:val="nil"/>
            </w:tcBorders>
            <w:shd w:val="clear" w:color="auto" w:fill="FFDEFF"/>
            <w:vAlign w:val="center"/>
          </w:tcPr>
          <w:p w14:paraId="23897969"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BB+</w:t>
            </w:r>
          </w:p>
        </w:tc>
        <w:tc>
          <w:tcPr>
            <w:tcW w:w="922" w:type="dxa"/>
            <w:tcBorders>
              <w:top w:val="nil"/>
              <w:left w:val="nil"/>
              <w:bottom w:val="nil"/>
              <w:right w:val="nil"/>
            </w:tcBorders>
            <w:shd w:val="clear" w:color="auto" w:fill="FFDEFF"/>
            <w:vAlign w:val="center"/>
          </w:tcPr>
          <w:p w14:paraId="6C038237"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Ba1</w:t>
            </w:r>
          </w:p>
        </w:tc>
      </w:tr>
      <w:tr w:rsidR="00D40E9E" w:rsidRPr="00C12113" w14:paraId="64296027" w14:textId="77777777" w:rsidTr="00D40E9E">
        <w:tc>
          <w:tcPr>
            <w:tcW w:w="904" w:type="dxa"/>
            <w:vMerge/>
            <w:tcBorders>
              <w:top w:val="nil"/>
              <w:left w:val="nil"/>
              <w:bottom w:val="nil"/>
              <w:right w:val="nil"/>
            </w:tcBorders>
            <w:shd w:val="clear" w:color="auto" w:fill="FFDEFF"/>
            <w:vAlign w:val="center"/>
          </w:tcPr>
          <w:p w14:paraId="7A0E5399"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FFDEFF"/>
            <w:vAlign w:val="center"/>
          </w:tcPr>
          <w:p w14:paraId="12AA0AAC"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FFDEFF"/>
            <w:vAlign w:val="center"/>
          </w:tcPr>
          <w:p w14:paraId="20682627"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BB</w:t>
            </w:r>
          </w:p>
        </w:tc>
        <w:tc>
          <w:tcPr>
            <w:tcW w:w="922" w:type="dxa"/>
            <w:tcBorders>
              <w:top w:val="nil"/>
              <w:left w:val="nil"/>
              <w:bottom w:val="nil"/>
              <w:right w:val="nil"/>
            </w:tcBorders>
            <w:shd w:val="clear" w:color="auto" w:fill="FFDEFF"/>
            <w:vAlign w:val="center"/>
          </w:tcPr>
          <w:p w14:paraId="568C6C73"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Ba2</w:t>
            </w:r>
          </w:p>
        </w:tc>
      </w:tr>
      <w:tr w:rsidR="00D40E9E" w:rsidRPr="00C12113" w14:paraId="646F4020" w14:textId="77777777" w:rsidTr="00D40E9E">
        <w:tc>
          <w:tcPr>
            <w:tcW w:w="904" w:type="dxa"/>
            <w:vMerge/>
            <w:tcBorders>
              <w:top w:val="nil"/>
              <w:left w:val="nil"/>
              <w:bottom w:val="nil"/>
              <w:right w:val="nil"/>
            </w:tcBorders>
            <w:shd w:val="clear" w:color="auto" w:fill="FFDEFF"/>
            <w:vAlign w:val="center"/>
          </w:tcPr>
          <w:p w14:paraId="225A92FC"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FFDEFF"/>
            <w:vAlign w:val="center"/>
          </w:tcPr>
          <w:p w14:paraId="07C586B9"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FFDEFF"/>
            <w:vAlign w:val="center"/>
          </w:tcPr>
          <w:p w14:paraId="3FCE0B06"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BB-</w:t>
            </w:r>
          </w:p>
        </w:tc>
        <w:tc>
          <w:tcPr>
            <w:tcW w:w="922" w:type="dxa"/>
            <w:tcBorders>
              <w:top w:val="nil"/>
              <w:left w:val="nil"/>
              <w:bottom w:val="nil"/>
              <w:right w:val="nil"/>
            </w:tcBorders>
            <w:shd w:val="clear" w:color="auto" w:fill="FFDEFF"/>
            <w:vAlign w:val="center"/>
          </w:tcPr>
          <w:p w14:paraId="5E89B846"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Ba3</w:t>
            </w:r>
          </w:p>
        </w:tc>
      </w:tr>
      <w:tr w:rsidR="00D40E9E" w:rsidRPr="00C12113" w14:paraId="46C831D5" w14:textId="77777777" w:rsidTr="00D40E9E">
        <w:tc>
          <w:tcPr>
            <w:tcW w:w="904" w:type="dxa"/>
            <w:vMerge/>
            <w:tcBorders>
              <w:top w:val="nil"/>
              <w:left w:val="nil"/>
              <w:bottom w:val="nil"/>
              <w:right w:val="nil"/>
            </w:tcBorders>
            <w:shd w:val="clear" w:color="auto" w:fill="FFDEFF"/>
            <w:vAlign w:val="center"/>
          </w:tcPr>
          <w:p w14:paraId="1AFBFEA4" w14:textId="77777777" w:rsidR="00C12113" w:rsidRPr="003731C9" w:rsidRDefault="00C12113" w:rsidP="00C12113">
            <w:pPr>
              <w:rPr>
                <w:rFonts w:ascii="Arial Hebrew Light" w:hAnsi="Arial Hebrew Light" w:cs="Arial Hebrew Light" w:hint="cs"/>
                <w:b/>
                <w:bCs/>
                <w:sz w:val="13"/>
                <w:szCs w:val="13"/>
              </w:rPr>
            </w:pPr>
          </w:p>
        </w:tc>
        <w:tc>
          <w:tcPr>
            <w:tcW w:w="1364" w:type="dxa"/>
            <w:vMerge w:val="restart"/>
            <w:tcBorders>
              <w:top w:val="nil"/>
              <w:left w:val="nil"/>
              <w:bottom w:val="nil"/>
              <w:right w:val="nil"/>
            </w:tcBorders>
            <w:shd w:val="clear" w:color="auto" w:fill="F2CEED" w:themeFill="accent5" w:themeFillTint="33"/>
            <w:vAlign w:val="center"/>
          </w:tcPr>
          <w:p w14:paraId="5064AC73"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Highly Speculative</w:t>
            </w:r>
          </w:p>
        </w:tc>
        <w:tc>
          <w:tcPr>
            <w:tcW w:w="1063" w:type="dxa"/>
            <w:tcBorders>
              <w:top w:val="nil"/>
              <w:left w:val="nil"/>
              <w:bottom w:val="nil"/>
              <w:right w:val="nil"/>
            </w:tcBorders>
            <w:shd w:val="clear" w:color="auto" w:fill="F2CEED" w:themeFill="accent5" w:themeFillTint="33"/>
            <w:vAlign w:val="center"/>
          </w:tcPr>
          <w:p w14:paraId="41388D92"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w:t>
            </w:r>
          </w:p>
        </w:tc>
        <w:tc>
          <w:tcPr>
            <w:tcW w:w="922" w:type="dxa"/>
            <w:tcBorders>
              <w:top w:val="nil"/>
              <w:left w:val="nil"/>
              <w:bottom w:val="nil"/>
              <w:right w:val="nil"/>
            </w:tcBorders>
            <w:shd w:val="clear" w:color="auto" w:fill="F2CEED" w:themeFill="accent5" w:themeFillTint="33"/>
            <w:vAlign w:val="center"/>
          </w:tcPr>
          <w:p w14:paraId="319BF30E"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B1</w:t>
            </w:r>
          </w:p>
        </w:tc>
      </w:tr>
      <w:tr w:rsidR="00D40E9E" w:rsidRPr="00C12113" w14:paraId="70356784" w14:textId="77777777" w:rsidTr="00D40E9E">
        <w:tc>
          <w:tcPr>
            <w:tcW w:w="904" w:type="dxa"/>
            <w:vMerge/>
            <w:tcBorders>
              <w:top w:val="nil"/>
              <w:left w:val="nil"/>
              <w:bottom w:val="nil"/>
              <w:right w:val="nil"/>
            </w:tcBorders>
            <w:shd w:val="clear" w:color="auto" w:fill="FFDEFF"/>
            <w:vAlign w:val="center"/>
          </w:tcPr>
          <w:p w14:paraId="092C98BE"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F2CEED" w:themeFill="accent5" w:themeFillTint="33"/>
            <w:vAlign w:val="center"/>
          </w:tcPr>
          <w:p w14:paraId="0EEC54C4"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F2CEED" w:themeFill="accent5" w:themeFillTint="33"/>
            <w:vAlign w:val="center"/>
          </w:tcPr>
          <w:p w14:paraId="1B7CAF55"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w:t>
            </w:r>
          </w:p>
        </w:tc>
        <w:tc>
          <w:tcPr>
            <w:tcW w:w="922" w:type="dxa"/>
            <w:tcBorders>
              <w:top w:val="nil"/>
              <w:left w:val="nil"/>
              <w:bottom w:val="nil"/>
              <w:right w:val="nil"/>
            </w:tcBorders>
            <w:shd w:val="clear" w:color="auto" w:fill="F2CEED" w:themeFill="accent5" w:themeFillTint="33"/>
            <w:vAlign w:val="center"/>
          </w:tcPr>
          <w:p w14:paraId="195F1856"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B2</w:t>
            </w:r>
          </w:p>
        </w:tc>
      </w:tr>
      <w:tr w:rsidR="00D40E9E" w:rsidRPr="00C12113" w14:paraId="3D19C7A9" w14:textId="77777777" w:rsidTr="00D40E9E">
        <w:tc>
          <w:tcPr>
            <w:tcW w:w="904" w:type="dxa"/>
            <w:vMerge/>
            <w:tcBorders>
              <w:top w:val="nil"/>
              <w:left w:val="nil"/>
              <w:bottom w:val="nil"/>
              <w:right w:val="nil"/>
            </w:tcBorders>
            <w:shd w:val="clear" w:color="auto" w:fill="FFDEFF"/>
            <w:vAlign w:val="center"/>
          </w:tcPr>
          <w:p w14:paraId="4BD12FB5"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F2CEED" w:themeFill="accent5" w:themeFillTint="33"/>
            <w:vAlign w:val="center"/>
          </w:tcPr>
          <w:p w14:paraId="33201D3A"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F2CEED" w:themeFill="accent5" w:themeFillTint="33"/>
            <w:vAlign w:val="center"/>
          </w:tcPr>
          <w:p w14:paraId="720E182D"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w:t>
            </w:r>
          </w:p>
        </w:tc>
        <w:tc>
          <w:tcPr>
            <w:tcW w:w="922" w:type="dxa"/>
            <w:tcBorders>
              <w:top w:val="nil"/>
              <w:left w:val="nil"/>
              <w:bottom w:val="nil"/>
              <w:right w:val="nil"/>
            </w:tcBorders>
            <w:shd w:val="clear" w:color="auto" w:fill="F2CEED" w:themeFill="accent5" w:themeFillTint="33"/>
            <w:vAlign w:val="center"/>
          </w:tcPr>
          <w:p w14:paraId="21C27BF2"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B3</w:t>
            </w:r>
          </w:p>
        </w:tc>
      </w:tr>
      <w:tr w:rsidR="00D40E9E" w:rsidRPr="00C12113" w14:paraId="51A07A0B" w14:textId="77777777" w:rsidTr="00D40E9E">
        <w:tc>
          <w:tcPr>
            <w:tcW w:w="904" w:type="dxa"/>
            <w:vMerge/>
            <w:tcBorders>
              <w:top w:val="nil"/>
              <w:left w:val="nil"/>
              <w:bottom w:val="nil"/>
              <w:right w:val="nil"/>
            </w:tcBorders>
            <w:shd w:val="clear" w:color="auto" w:fill="FFDEFF"/>
            <w:vAlign w:val="center"/>
          </w:tcPr>
          <w:p w14:paraId="210D6295" w14:textId="77777777" w:rsidR="00C12113" w:rsidRPr="003731C9" w:rsidRDefault="00C12113" w:rsidP="00C12113">
            <w:pPr>
              <w:rPr>
                <w:rFonts w:ascii="Arial Hebrew Light" w:hAnsi="Arial Hebrew Light" w:cs="Arial Hebrew Light" w:hint="cs"/>
                <w:b/>
                <w:bCs/>
                <w:sz w:val="13"/>
                <w:szCs w:val="13"/>
              </w:rPr>
            </w:pPr>
          </w:p>
        </w:tc>
        <w:tc>
          <w:tcPr>
            <w:tcW w:w="1364" w:type="dxa"/>
            <w:vMerge w:val="restart"/>
            <w:tcBorders>
              <w:top w:val="nil"/>
              <w:left w:val="nil"/>
              <w:bottom w:val="nil"/>
              <w:right w:val="nil"/>
            </w:tcBorders>
            <w:shd w:val="clear" w:color="auto" w:fill="E59EDC" w:themeFill="accent5" w:themeFillTint="66"/>
            <w:vAlign w:val="center"/>
          </w:tcPr>
          <w:p w14:paraId="198BACD9" w14:textId="73F07442" w:rsidR="00C12113" w:rsidRPr="003731C9" w:rsidRDefault="00C12113" w:rsidP="00C12113">
            <w:pPr>
              <w:rPr>
                <w:rFonts w:ascii="Arial Hebrew Light" w:hAnsi="Arial Hebrew Light" w:cs="Arial Hebrew Light" w:hint="cs"/>
                <w:b/>
                <w:bCs/>
                <w:sz w:val="13"/>
                <w:szCs w:val="13"/>
              </w:rPr>
            </w:pPr>
            <w:r w:rsidRPr="003731C9">
              <w:rPr>
                <w:rFonts w:ascii="Cambria" w:hAnsi="Cambria" w:cs="Arial Hebrew Light"/>
                <w:b/>
                <w:bCs/>
                <w:sz w:val="13"/>
                <w:szCs w:val="13"/>
              </w:rPr>
              <w:t>Substantial Risk</w:t>
            </w:r>
          </w:p>
        </w:tc>
        <w:tc>
          <w:tcPr>
            <w:tcW w:w="1063" w:type="dxa"/>
            <w:tcBorders>
              <w:top w:val="nil"/>
              <w:left w:val="nil"/>
              <w:bottom w:val="nil"/>
              <w:right w:val="nil"/>
            </w:tcBorders>
            <w:shd w:val="clear" w:color="auto" w:fill="E59EDC" w:themeFill="accent5" w:themeFillTint="66"/>
            <w:vAlign w:val="center"/>
          </w:tcPr>
          <w:p w14:paraId="1E72B595"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CCC+</w:t>
            </w:r>
          </w:p>
        </w:tc>
        <w:tc>
          <w:tcPr>
            <w:tcW w:w="922" w:type="dxa"/>
            <w:tcBorders>
              <w:top w:val="nil"/>
              <w:left w:val="nil"/>
              <w:bottom w:val="nil"/>
              <w:right w:val="nil"/>
            </w:tcBorders>
            <w:shd w:val="clear" w:color="auto" w:fill="E59EDC" w:themeFill="accent5" w:themeFillTint="66"/>
            <w:vAlign w:val="center"/>
          </w:tcPr>
          <w:p w14:paraId="31ACEA2C"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Caa1</w:t>
            </w:r>
          </w:p>
        </w:tc>
      </w:tr>
      <w:tr w:rsidR="00D40E9E" w:rsidRPr="00C12113" w14:paraId="0987D495" w14:textId="77777777" w:rsidTr="00D40E9E">
        <w:tc>
          <w:tcPr>
            <w:tcW w:w="904" w:type="dxa"/>
            <w:vMerge/>
            <w:tcBorders>
              <w:top w:val="nil"/>
              <w:left w:val="nil"/>
              <w:bottom w:val="nil"/>
              <w:right w:val="nil"/>
            </w:tcBorders>
            <w:shd w:val="clear" w:color="auto" w:fill="FFDEFF"/>
            <w:vAlign w:val="center"/>
          </w:tcPr>
          <w:p w14:paraId="1476CC98"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E59EDC" w:themeFill="accent5" w:themeFillTint="66"/>
            <w:vAlign w:val="center"/>
          </w:tcPr>
          <w:p w14:paraId="2C939978" w14:textId="062C7E28" w:rsidR="00C12113" w:rsidRPr="003731C9" w:rsidRDefault="00C12113" w:rsidP="00C12113">
            <w:pPr>
              <w:rPr>
                <w:rFonts w:ascii="Cambria" w:hAnsi="Cambria" w:cs="Arial Hebrew Light" w:hint="cs"/>
                <w:b/>
                <w:bCs/>
                <w:sz w:val="13"/>
                <w:szCs w:val="13"/>
              </w:rPr>
            </w:pPr>
          </w:p>
        </w:tc>
        <w:tc>
          <w:tcPr>
            <w:tcW w:w="1063" w:type="dxa"/>
            <w:tcBorders>
              <w:top w:val="nil"/>
              <w:left w:val="nil"/>
              <w:bottom w:val="nil"/>
              <w:right w:val="nil"/>
            </w:tcBorders>
            <w:shd w:val="clear" w:color="auto" w:fill="E59EDC" w:themeFill="accent5" w:themeFillTint="66"/>
            <w:vAlign w:val="center"/>
          </w:tcPr>
          <w:p w14:paraId="3573578D"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CCC</w:t>
            </w:r>
          </w:p>
        </w:tc>
        <w:tc>
          <w:tcPr>
            <w:tcW w:w="922" w:type="dxa"/>
            <w:tcBorders>
              <w:top w:val="nil"/>
              <w:left w:val="nil"/>
              <w:bottom w:val="nil"/>
              <w:right w:val="nil"/>
            </w:tcBorders>
            <w:shd w:val="clear" w:color="auto" w:fill="E59EDC" w:themeFill="accent5" w:themeFillTint="66"/>
            <w:vAlign w:val="center"/>
          </w:tcPr>
          <w:p w14:paraId="24F29697"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Caa2</w:t>
            </w:r>
          </w:p>
        </w:tc>
      </w:tr>
      <w:tr w:rsidR="00D40E9E" w:rsidRPr="00C12113" w14:paraId="7551F0E3" w14:textId="77777777" w:rsidTr="00D40E9E">
        <w:tc>
          <w:tcPr>
            <w:tcW w:w="904" w:type="dxa"/>
            <w:vMerge/>
            <w:tcBorders>
              <w:top w:val="nil"/>
              <w:left w:val="nil"/>
              <w:bottom w:val="nil"/>
              <w:right w:val="nil"/>
            </w:tcBorders>
            <w:shd w:val="clear" w:color="auto" w:fill="FFDEFF"/>
            <w:vAlign w:val="center"/>
          </w:tcPr>
          <w:p w14:paraId="3AF314AC"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shd w:val="clear" w:color="auto" w:fill="E59EDC" w:themeFill="accent5" w:themeFillTint="66"/>
            <w:vAlign w:val="center"/>
          </w:tcPr>
          <w:p w14:paraId="1A6CDB56" w14:textId="31472F91" w:rsidR="00C12113" w:rsidRPr="003731C9" w:rsidRDefault="00C12113" w:rsidP="00C12113">
            <w:pPr>
              <w:rPr>
                <w:rFonts w:ascii="Cambria" w:hAnsi="Cambria" w:cs="Arial Hebrew Light" w:hint="cs"/>
                <w:b/>
                <w:bCs/>
                <w:sz w:val="13"/>
                <w:szCs w:val="13"/>
              </w:rPr>
            </w:pPr>
          </w:p>
        </w:tc>
        <w:tc>
          <w:tcPr>
            <w:tcW w:w="1063" w:type="dxa"/>
            <w:tcBorders>
              <w:top w:val="nil"/>
              <w:left w:val="nil"/>
              <w:bottom w:val="nil"/>
              <w:right w:val="nil"/>
            </w:tcBorders>
            <w:shd w:val="clear" w:color="auto" w:fill="E59EDC" w:themeFill="accent5" w:themeFillTint="66"/>
            <w:vAlign w:val="center"/>
          </w:tcPr>
          <w:p w14:paraId="5D272558"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CCC-</w:t>
            </w:r>
          </w:p>
        </w:tc>
        <w:tc>
          <w:tcPr>
            <w:tcW w:w="922" w:type="dxa"/>
            <w:tcBorders>
              <w:top w:val="nil"/>
              <w:left w:val="nil"/>
              <w:bottom w:val="nil"/>
              <w:right w:val="nil"/>
            </w:tcBorders>
            <w:shd w:val="clear" w:color="auto" w:fill="E59EDC" w:themeFill="accent5" w:themeFillTint="66"/>
            <w:vAlign w:val="center"/>
          </w:tcPr>
          <w:p w14:paraId="41D0762A"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Caa3</w:t>
            </w:r>
          </w:p>
        </w:tc>
      </w:tr>
      <w:tr w:rsidR="00D40E9E" w:rsidRPr="00C12113" w14:paraId="72C7FD16" w14:textId="77777777" w:rsidTr="00D40E9E">
        <w:tc>
          <w:tcPr>
            <w:tcW w:w="904" w:type="dxa"/>
            <w:vMerge/>
            <w:tcBorders>
              <w:top w:val="nil"/>
              <w:left w:val="nil"/>
              <w:bottom w:val="nil"/>
              <w:right w:val="nil"/>
            </w:tcBorders>
            <w:shd w:val="clear" w:color="auto" w:fill="FFDEFF"/>
            <w:vAlign w:val="center"/>
          </w:tcPr>
          <w:p w14:paraId="6393272E" w14:textId="77777777" w:rsidR="00C12113" w:rsidRPr="003731C9" w:rsidRDefault="00C12113" w:rsidP="00C12113">
            <w:pPr>
              <w:rPr>
                <w:rFonts w:ascii="Arial Hebrew Light" w:hAnsi="Arial Hebrew Light" w:cs="Arial Hebrew Light" w:hint="cs"/>
                <w:b/>
                <w:bCs/>
                <w:sz w:val="13"/>
                <w:szCs w:val="13"/>
              </w:rPr>
            </w:pPr>
          </w:p>
        </w:tc>
        <w:tc>
          <w:tcPr>
            <w:tcW w:w="1364" w:type="dxa"/>
            <w:vMerge w:val="restart"/>
            <w:tcBorders>
              <w:top w:val="nil"/>
              <w:left w:val="nil"/>
              <w:bottom w:val="nil"/>
              <w:right w:val="nil"/>
            </w:tcBorders>
            <w:shd w:val="clear" w:color="auto" w:fill="D86DCB" w:themeFill="accent5" w:themeFillTint="99"/>
            <w:vAlign w:val="center"/>
          </w:tcPr>
          <w:p w14:paraId="1F52ED26" w14:textId="169B91A4" w:rsidR="00C12113" w:rsidRPr="003731C9" w:rsidRDefault="00C12113" w:rsidP="00C12113">
            <w:pPr>
              <w:rPr>
                <w:rFonts w:ascii="Cambria" w:hAnsi="Cambria" w:cs="Arial Hebrew Light" w:hint="cs"/>
                <w:b/>
                <w:bCs/>
                <w:sz w:val="13"/>
                <w:szCs w:val="13"/>
              </w:rPr>
            </w:pPr>
            <w:r w:rsidRPr="003731C9">
              <w:rPr>
                <w:rFonts w:ascii="Cambria" w:hAnsi="Cambria" w:cs="Arial Hebrew Light"/>
                <w:b/>
                <w:bCs/>
                <w:sz w:val="13"/>
                <w:szCs w:val="13"/>
              </w:rPr>
              <w:t>Extremely Speculative</w:t>
            </w:r>
          </w:p>
        </w:tc>
        <w:tc>
          <w:tcPr>
            <w:tcW w:w="1063" w:type="dxa"/>
            <w:tcBorders>
              <w:top w:val="nil"/>
              <w:left w:val="nil"/>
              <w:bottom w:val="nil"/>
              <w:right w:val="nil"/>
            </w:tcBorders>
            <w:shd w:val="clear" w:color="auto" w:fill="D86DCB" w:themeFill="accent5" w:themeFillTint="99"/>
            <w:vAlign w:val="center"/>
          </w:tcPr>
          <w:p w14:paraId="4B6091B0"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CC</w:t>
            </w:r>
          </w:p>
        </w:tc>
        <w:tc>
          <w:tcPr>
            <w:tcW w:w="922" w:type="dxa"/>
            <w:vMerge w:val="restart"/>
            <w:tcBorders>
              <w:top w:val="nil"/>
              <w:left w:val="nil"/>
              <w:bottom w:val="nil"/>
              <w:right w:val="nil"/>
            </w:tcBorders>
            <w:shd w:val="clear" w:color="auto" w:fill="D86DCB" w:themeFill="accent5" w:themeFillTint="99"/>
            <w:vAlign w:val="center"/>
          </w:tcPr>
          <w:p w14:paraId="52C1E055"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Ca</w:t>
            </w:r>
          </w:p>
        </w:tc>
      </w:tr>
      <w:tr w:rsidR="00D40E9E" w:rsidRPr="00C12113" w14:paraId="5E416E7D" w14:textId="77777777" w:rsidTr="00D40E9E">
        <w:tc>
          <w:tcPr>
            <w:tcW w:w="904" w:type="dxa"/>
            <w:vMerge/>
            <w:tcBorders>
              <w:top w:val="nil"/>
              <w:left w:val="nil"/>
              <w:bottom w:val="nil"/>
              <w:right w:val="nil"/>
            </w:tcBorders>
            <w:shd w:val="clear" w:color="auto" w:fill="FFDEFF"/>
            <w:vAlign w:val="center"/>
          </w:tcPr>
          <w:p w14:paraId="7D451785" w14:textId="77777777" w:rsidR="00C12113" w:rsidRPr="003731C9" w:rsidRDefault="00C12113" w:rsidP="00C12113">
            <w:pPr>
              <w:rPr>
                <w:rFonts w:ascii="Arial Hebrew Light" w:hAnsi="Arial Hebrew Light" w:cs="Arial Hebrew Light" w:hint="cs"/>
                <w:b/>
                <w:bCs/>
                <w:sz w:val="13"/>
                <w:szCs w:val="13"/>
              </w:rPr>
            </w:pPr>
          </w:p>
        </w:tc>
        <w:tc>
          <w:tcPr>
            <w:tcW w:w="1364" w:type="dxa"/>
            <w:vMerge/>
            <w:tcBorders>
              <w:top w:val="nil"/>
              <w:left w:val="nil"/>
              <w:bottom w:val="nil"/>
              <w:right w:val="nil"/>
            </w:tcBorders>
            <w:vAlign w:val="center"/>
          </w:tcPr>
          <w:p w14:paraId="5EA4441F" w14:textId="77777777" w:rsidR="00C12113" w:rsidRPr="003731C9" w:rsidRDefault="00C12113" w:rsidP="00C12113">
            <w:pPr>
              <w:rPr>
                <w:rFonts w:ascii="Arial Hebrew Light" w:hAnsi="Arial Hebrew Light" w:cs="Arial Hebrew Light" w:hint="cs"/>
                <w:b/>
                <w:bCs/>
                <w:sz w:val="13"/>
                <w:szCs w:val="13"/>
              </w:rPr>
            </w:pPr>
          </w:p>
        </w:tc>
        <w:tc>
          <w:tcPr>
            <w:tcW w:w="1063" w:type="dxa"/>
            <w:tcBorders>
              <w:top w:val="nil"/>
              <w:left w:val="nil"/>
              <w:bottom w:val="nil"/>
              <w:right w:val="nil"/>
            </w:tcBorders>
            <w:shd w:val="clear" w:color="auto" w:fill="D86DCB" w:themeFill="accent5" w:themeFillTint="99"/>
            <w:vAlign w:val="center"/>
          </w:tcPr>
          <w:p w14:paraId="5ED64E60" w14:textId="77777777" w:rsidR="00C12113" w:rsidRPr="003731C9" w:rsidRDefault="00C12113" w:rsidP="00C12113">
            <w:pPr>
              <w:rPr>
                <w:rFonts w:ascii="Arial Hebrew Light" w:hAnsi="Arial Hebrew Light" w:cs="Arial Hebrew Light" w:hint="cs"/>
                <w:b/>
                <w:bCs/>
                <w:sz w:val="13"/>
                <w:szCs w:val="13"/>
              </w:rPr>
            </w:pPr>
            <w:r w:rsidRPr="003731C9">
              <w:rPr>
                <w:rFonts w:ascii="Arial Hebrew Light" w:hAnsi="Arial Hebrew Light" w:cs="Arial Hebrew Light" w:hint="cs"/>
                <w:b/>
                <w:bCs/>
                <w:sz w:val="13"/>
                <w:szCs w:val="13"/>
              </w:rPr>
              <w:t>C</w:t>
            </w:r>
          </w:p>
        </w:tc>
        <w:tc>
          <w:tcPr>
            <w:tcW w:w="922" w:type="dxa"/>
            <w:vMerge/>
            <w:tcBorders>
              <w:top w:val="nil"/>
              <w:left w:val="nil"/>
              <w:bottom w:val="nil"/>
              <w:right w:val="nil"/>
            </w:tcBorders>
            <w:vAlign w:val="center"/>
          </w:tcPr>
          <w:p w14:paraId="5E898F0A" w14:textId="77777777" w:rsidR="00C12113" w:rsidRPr="003731C9" w:rsidRDefault="00C12113" w:rsidP="00C12113">
            <w:pPr>
              <w:rPr>
                <w:rFonts w:ascii="Arial Hebrew Light" w:hAnsi="Arial Hebrew Light" w:cs="Arial Hebrew Light" w:hint="cs"/>
                <w:b/>
                <w:bCs/>
                <w:sz w:val="13"/>
                <w:szCs w:val="13"/>
              </w:rPr>
            </w:pPr>
          </w:p>
        </w:tc>
      </w:tr>
      <w:tr w:rsidR="00D40E9E" w:rsidRPr="00C12113" w14:paraId="2C91448D" w14:textId="77777777" w:rsidTr="00D40E9E">
        <w:trPr>
          <w:trHeight w:val="77"/>
        </w:trPr>
        <w:tc>
          <w:tcPr>
            <w:tcW w:w="904" w:type="dxa"/>
            <w:vMerge/>
            <w:tcBorders>
              <w:top w:val="nil"/>
              <w:left w:val="nil"/>
              <w:right w:val="nil"/>
            </w:tcBorders>
            <w:shd w:val="clear" w:color="auto" w:fill="FFDEFF"/>
            <w:vAlign w:val="center"/>
          </w:tcPr>
          <w:p w14:paraId="0F3894EB" w14:textId="77777777" w:rsidR="00C12113" w:rsidRPr="003731C9" w:rsidRDefault="00C12113" w:rsidP="00C12113">
            <w:pPr>
              <w:rPr>
                <w:rFonts w:ascii="Arial Hebrew Light" w:hAnsi="Arial Hebrew Light" w:cs="Arial Hebrew Light" w:hint="cs"/>
                <w:b/>
                <w:bCs/>
                <w:sz w:val="13"/>
                <w:szCs w:val="13"/>
              </w:rPr>
            </w:pPr>
          </w:p>
        </w:tc>
        <w:tc>
          <w:tcPr>
            <w:tcW w:w="1364" w:type="dxa"/>
            <w:tcBorders>
              <w:top w:val="nil"/>
              <w:left w:val="nil"/>
              <w:right w:val="nil"/>
            </w:tcBorders>
            <w:shd w:val="clear" w:color="auto" w:fill="77206D" w:themeFill="accent5" w:themeFillShade="BF"/>
            <w:vAlign w:val="center"/>
          </w:tcPr>
          <w:p w14:paraId="08B5B73E" w14:textId="45B7A6FF" w:rsidR="00C12113" w:rsidRPr="003731C9" w:rsidRDefault="00C12113" w:rsidP="00C12113">
            <w:pPr>
              <w:rPr>
                <w:rFonts w:ascii="Cambria" w:hAnsi="Cambria" w:cs="Arial Hebrew Light" w:hint="cs"/>
                <w:b/>
                <w:bCs/>
                <w:color w:val="FFFFFF" w:themeColor="background1"/>
                <w:sz w:val="13"/>
                <w:szCs w:val="13"/>
              </w:rPr>
            </w:pPr>
            <w:r w:rsidRPr="003731C9">
              <w:rPr>
                <w:rFonts w:ascii="Cambria" w:hAnsi="Cambria" w:cs="Arial Hebrew Light"/>
                <w:b/>
                <w:bCs/>
                <w:color w:val="FFFFFF" w:themeColor="background1"/>
                <w:sz w:val="13"/>
                <w:szCs w:val="13"/>
              </w:rPr>
              <w:t>In Default</w:t>
            </w:r>
          </w:p>
        </w:tc>
        <w:tc>
          <w:tcPr>
            <w:tcW w:w="1063" w:type="dxa"/>
            <w:tcBorders>
              <w:top w:val="nil"/>
              <w:left w:val="nil"/>
              <w:right w:val="nil"/>
            </w:tcBorders>
            <w:shd w:val="clear" w:color="auto" w:fill="77206D" w:themeFill="accent5" w:themeFillShade="BF"/>
            <w:vAlign w:val="center"/>
          </w:tcPr>
          <w:p w14:paraId="3E437E05" w14:textId="77777777" w:rsidR="00C12113" w:rsidRPr="003731C9" w:rsidRDefault="00C12113" w:rsidP="00C12113">
            <w:pPr>
              <w:rPr>
                <w:rFonts w:ascii="Arial Hebrew Light" w:hAnsi="Arial Hebrew Light" w:cs="Arial Hebrew Light" w:hint="cs"/>
                <w:b/>
                <w:bCs/>
                <w:color w:val="FFFFFF" w:themeColor="background1"/>
                <w:sz w:val="13"/>
                <w:szCs w:val="13"/>
              </w:rPr>
            </w:pPr>
            <w:r w:rsidRPr="003731C9">
              <w:rPr>
                <w:rFonts w:ascii="Arial Hebrew Light" w:hAnsi="Arial Hebrew Light" w:cs="Arial Hebrew Light" w:hint="cs"/>
                <w:b/>
                <w:bCs/>
                <w:color w:val="FFFFFF" w:themeColor="background1"/>
                <w:sz w:val="13"/>
                <w:szCs w:val="13"/>
              </w:rPr>
              <w:t>DDD-D</w:t>
            </w:r>
          </w:p>
        </w:tc>
        <w:tc>
          <w:tcPr>
            <w:tcW w:w="922" w:type="dxa"/>
            <w:tcBorders>
              <w:top w:val="nil"/>
              <w:left w:val="nil"/>
              <w:right w:val="nil"/>
            </w:tcBorders>
            <w:shd w:val="clear" w:color="auto" w:fill="77206D" w:themeFill="accent5" w:themeFillShade="BF"/>
            <w:vAlign w:val="center"/>
          </w:tcPr>
          <w:p w14:paraId="3E465E02" w14:textId="77777777" w:rsidR="00C12113" w:rsidRPr="003731C9" w:rsidRDefault="00C12113" w:rsidP="00C12113">
            <w:pPr>
              <w:rPr>
                <w:rFonts w:ascii="Arial Hebrew Light" w:hAnsi="Arial Hebrew Light" w:cs="Arial Hebrew Light" w:hint="cs"/>
                <w:b/>
                <w:bCs/>
                <w:color w:val="FFFFFF" w:themeColor="background1"/>
                <w:sz w:val="13"/>
                <w:szCs w:val="13"/>
              </w:rPr>
            </w:pPr>
            <w:r w:rsidRPr="003731C9">
              <w:rPr>
                <w:rFonts w:ascii="Arial Hebrew Light" w:hAnsi="Arial Hebrew Light" w:cs="Arial Hebrew Light" w:hint="cs"/>
                <w:b/>
                <w:bCs/>
                <w:color w:val="FFFFFF" w:themeColor="background1"/>
                <w:sz w:val="13"/>
                <w:szCs w:val="13"/>
              </w:rPr>
              <w:t>C</w:t>
            </w:r>
          </w:p>
        </w:tc>
      </w:tr>
    </w:tbl>
    <w:p w14:paraId="26E40838" w14:textId="77777777" w:rsidR="003731C9" w:rsidRDefault="003731C9" w:rsidP="003731C9">
      <w:pPr>
        <w:spacing w:after="240"/>
        <w:rPr>
          <w:rFonts w:ascii="Cambria" w:hAnsi="Cambria" w:cs="Arial Hebrew Light"/>
          <w:sz w:val="21"/>
          <w:szCs w:val="21"/>
        </w:rPr>
      </w:pPr>
    </w:p>
    <w:p w14:paraId="5EA83FDA" w14:textId="47F42A5E" w:rsidR="003731C9" w:rsidRDefault="00E37C42" w:rsidP="00E37C42">
      <w:pPr>
        <w:spacing w:after="240" w:line="360" w:lineRule="auto"/>
        <w:ind w:firstLine="360"/>
        <w:rPr>
          <w:rFonts w:ascii="Cambria" w:hAnsi="Cambria" w:cs="Arial Hebrew Light"/>
          <w:sz w:val="21"/>
          <w:szCs w:val="21"/>
        </w:rPr>
      </w:pPr>
      <w:r>
        <w:rPr>
          <w:rFonts w:ascii="Cambria" w:hAnsi="Cambria" w:cs="Arial Hebrew Light"/>
          <w:sz w:val="21"/>
          <w:szCs w:val="21"/>
        </w:rPr>
        <w:t>The exact methods used by ratings agencies to determine these scores are proprietary</w:t>
      </w:r>
      <w:r w:rsidR="00D40E9E">
        <w:rPr>
          <w:rFonts w:ascii="Cambria" w:hAnsi="Cambria" w:cs="Arial Hebrew Light"/>
          <w:sz w:val="21"/>
          <w:szCs w:val="21"/>
        </w:rPr>
        <w:t>, with varying levels of detail made public.</w:t>
      </w:r>
      <w:r>
        <w:rPr>
          <w:rFonts w:ascii="Cambria" w:hAnsi="Cambria" w:cs="Arial Hebrew Light"/>
          <w:sz w:val="21"/>
          <w:szCs w:val="21"/>
        </w:rPr>
        <w:t xml:space="preserve">  </w:t>
      </w:r>
    </w:p>
    <w:p w14:paraId="1CF536AF" w14:textId="0170F741" w:rsidR="003731C9" w:rsidRPr="00D40E9E" w:rsidRDefault="003731C9" w:rsidP="003731C9">
      <w:pPr>
        <w:spacing w:after="240"/>
        <w:rPr>
          <w:rFonts w:ascii="Cambria" w:hAnsi="Cambria" w:cs="Arial Hebrew Light" w:hint="cs"/>
          <w:i/>
          <w:iCs/>
        </w:rPr>
      </w:pPr>
      <w:r w:rsidRPr="00D40E9E">
        <w:rPr>
          <w:rFonts w:ascii="Cambria" w:hAnsi="Cambria" w:cs="Arial Hebrew Light"/>
          <w:i/>
          <w:iCs/>
        </w:rPr>
        <w:t>Moody’s</w:t>
      </w:r>
    </w:p>
    <w:p w14:paraId="7866727A" w14:textId="579D2C8B" w:rsidR="00234E34" w:rsidRPr="00234E34" w:rsidRDefault="003731C9" w:rsidP="00E37C42">
      <w:pPr>
        <w:spacing w:before="240" w:after="240" w:line="360" w:lineRule="auto"/>
        <w:ind w:firstLine="360"/>
        <w:jc w:val="both"/>
        <w:rPr>
          <w:rFonts w:ascii="Arial Hebrew Light" w:hAnsi="Arial Hebrew Light" w:cs="Arial Hebrew Light" w:hint="cs"/>
          <w:sz w:val="21"/>
          <w:szCs w:val="21"/>
        </w:rPr>
      </w:pPr>
      <w:proofErr w:type="gramStart"/>
      <w:r>
        <w:rPr>
          <w:rFonts w:ascii="Cambria" w:hAnsi="Cambria" w:cs="Arial Hebrew Light"/>
          <w:sz w:val="21"/>
          <w:szCs w:val="21"/>
        </w:rPr>
        <w:t xml:space="preserve">Moody’s </w:t>
      </w:r>
      <w:r>
        <w:rPr>
          <w:rFonts w:ascii="Arial Hebrew Light" w:hAnsi="Arial Hebrew Light" w:cs="Arial Hebrew Light"/>
          <w:sz w:val="21"/>
          <w:szCs w:val="21"/>
        </w:rPr>
        <w:t xml:space="preserve"> </w:t>
      </w:r>
      <w:r>
        <w:rPr>
          <w:rFonts w:ascii="Cambria" w:hAnsi="Cambria" w:cs="Arial Hebrew Light"/>
          <w:sz w:val="21"/>
          <w:szCs w:val="21"/>
        </w:rPr>
        <w:t>accounts</w:t>
      </w:r>
      <w:proofErr w:type="gramEnd"/>
      <w:r>
        <w:rPr>
          <w:rFonts w:ascii="Cambria" w:hAnsi="Cambria" w:cs="Arial Hebrew Light"/>
          <w:sz w:val="21"/>
          <w:szCs w:val="21"/>
        </w:rPr>
        <w:t xml:space="preserve"> for about 40% market share… </w:t>
      </w:r>
    </w:p>
    <w:p w14:paraId="4446FF0B" w14:textId="2B4479DC" w:rsidR="003731C9" w:rsidRPr="003731C9" w:rsidRDefault="003731C9" w:rsidP="003731C9">
      <w:pPr>
        <w:spacing w:after="240"/>
        <w:rPr>
          <w:rFonts w:ascii="Cambria" w:hAnsi="Cambria" w:cs="Arial Hebrew Light" w:hint="cs"/>
          <w:sz w:val="28"/>
          <w:szCs w:val="28"/>
        </w:rPr>
      </w:pPr>
      <w:r>
        <w:rPr>
          <w:rFonts w:ascii="Cambria" w:hAnsi="Cambria" w:cs="Arial Hebrew Light"/>
        </w:rPr>
        <w:t xml:space="preserve">Standard &amp; Poor’s </w:t>
      </w:r>
    </w:p>
    <w:p w14:paraId="72B3332B" w14:textId="77777777" w:rsidR="003731C9" w:rsidRPr="00234E34" w:rsidRDefault="003731C9" w:rsidP="00E37C42">
      <w:pPr>
        <w:spacing w:before="240" w:after="240" w:line="360" w:lineRule="auto"/>
        <w:ind w:firstLine="360"/>
        <w:jc w:val="both"/>
        <w:rPr>
          <w:rFonts w:ascii="Arial Hebrew Light" w:hAnsi="Arial Hebrew Light" w:cs="Arial Hebrew Light" w:hint="cs"/>
          <w:sz w:val="21"/>
          <w:szCs w:val="21"/>
        </w:rPr>
      </w:pPr>
      <w:proofErr w:type="gramStart"/>
      <w:r>
        <w:rPr>
          <w:rFonts w:ascii="Cambria" w:hAnsi="Cambria" w:cs="Arial Hebrew Light"/>
          <w:sz w:val="21"/>
          <w:szCs w:val="21"/>
        </w:rPr>
        <w:t xml:space="preserve">Moody’s </w:t>
      </w:r>
      <w:r>
        <w:rPr>
          <w:rFonts w:ascii="Arial Hebrew Light" w:hAnsi="Arial Hebrew Light" w:cs="Arial Hebrew Light"/>
          <w:sz w:val="21"/>
          <w:szCs w:val="21"/>
        </w:rPr>
        <w:t xml:space="preserve"> </w:t>
      </w:r>
      <w:r>
        <w:rPr>
          <w:rFonts w:ascii="Cambria" w:hAnsi="Cambria" w:cs="Arial Hebrew Light"/>
          <w:sz w:val="21"/>
          <w:szCs w:val="21"/>
        </w:rPr>
        <w:t>accounts</w:t>
      </w:r>
      <w:proofErr w:type="gramEnd"/>
      <w:r>
        <w:rPr>
          <w:rFonts w:ascii="Cambria" w:hAnsi="Cambria" w:cs="Arial Hebrew Light"/>
          <w:sz w:val="21"/>
          <w:szCs w:val="21"/>
        </w:rPr>
        <w:t xml:space="preserve"> for about 40% market share… </w:t>
      </w:r>
    </w:p>
    <w:p w14:paraId="5FBEE138" w14:textId="39CE78EB" w:rsidR="003731C9" w:rsidRPr="003731C9" w:rsidRDefault="003731C9" w:rsidP="003731C9">
      <w:pPr>
        <w:spacing w:after="240"/>
        <w:rPr>
          <w:rFonts w:ascii="Cambria" w:hAnsi="Cambria" w:cs="Arial Hebrew Light" w:hint="cs"/>
        </w:rPr>
      </w:pPr>
      <w:r>
        <w:rPr>
          <w:rFonts w:ascii="Cambria" w:hAnsi="Cambria" w:cs="Arial Hebrew Light"/>
        </w:rPr>
        <w:t>Fitch</w:t>
      </w:r>
    </w:p>
    <w:p w14:paraId="3447C70A" w14:textId="40ABAB11" w:rsidR="00D40E9E" w:rsidRPr="00D40E9E" w:rsidRDefault="003731C9" w:rsidP="00D40E9E">
      <w:pPr>
        <w:spacing w:before="240" w:after="240" w:line="360" w:lineRule="auto"/>
        <w:ind w:firstLine="360"/>
        <w:rPr>
          <w:rFonts w:ascii="Arial Hebrew Light" w:hAnsi="Arial Hebrew Light" w:cs="Arial Hebrew Light"/>
          <w:sz w:val="21"/>
          <w:szCs w:val="21"/>
        </w:rPr>
      </w:pPr>
      <w:proofErr w:type="gramStart"/>
      <w:r>
        <w:rPr>
          <w:rFonts w:ascii="Cambria" w:hAnsi="Cambria" w:cs="Arial Hebrew Light"/>
          <w:sz w:val="21"/>
          <w:szCs w:val="21"/>
        </w:rPr>
        <w:t xml:space="preserve">Moody’s </w:t>
      </w:r>
      <w:r>
        <w:rPr>
          <w:rFonts w:ascii="Arial Hebrew Light" w:hAnsi="Arial Hebrew Light" w:cs="Arial Hebrew Light"/>
          <w:sz w:val="21"/>
          <w:szCs w:val="21"/>
        </w:rPr>
        <w:t xml:space="preserve"> </w:t>
      </w:r>
      <w:r>
        <w:rPr>
          <w:rFonts w:ascii="Cambria" w:hAnsi="Cambria" w:cs="Arial Hebrew Light"/>
          <w:sz w:val="21"/>
          <w:szCs w:val="21"/>
        </w:rPr>
        <w:t>accounts</w:t>
      </w:r>
      <w:proofErr w:type="gramEnd"/>
      <w:r>
        <w:rPr>
          <w:rFonts w:ascii="Cambria" w:hAnsi="Cambria" w:cs="Arial Hebrew Light"/>
          <w:sz w:val="21"/>
          <w:szCs w:val="21"/>
        </w:rPr>
        <w:t xml:space="preserve"> for about 40% market share… </w:t>
      </w:r>
    </w:p>
    <w:p w14:paraId="1A2EDCC7" w14:textId="01EA25DD" w:rsidR="00D40E9E" w:rsidRPr="00D40E9E" w:rsidRDefault="00D40E9E" w:rsidP="00D40E9E">
      <w:pPr>
        <w:spacing w:after="240"/>
        <w:rPr>
          <w:rFonts w:ascii="Cambria" w:hAnsi="Cambria" w:cs="Arial Hebrew Light" w:hint="cs"/>
          <w:sz w:val="28"/>
          <w:szCs w:val="28"/>
        </w:rPr>
      </w:pPr>
      <w:r w:rsidRPr="00D40E9E">
        <w:rPr>
          <w:rFonts w:ascii="Cambria" w:hAnsi="Cambria" w:cs="Arial Hebrew Light"/>
          <w:sz w:val="28"/>
          <w:szCs w:val="28"/>
        </w:rPr>
        <w:t>A Global Trust Index</w:t>
      </w:r>
    </w:p>
    <w:p w14:paraId="12D87D16" w14:textId="77777777" w:rsidR="00D40E9E" w:rsidRPr="00234E34" w:rsidRDefault="00D40E9E" w:rsidP="00D40E9E">
      <w:pPr>
        <w:spacing w:before="240" w:line="360" w:lineRule="auto"/>
        <w:ind w:firstLine="360"/>
        <w:jc w:val="both"/>
        <w:rPr>
          <w:rFonts w:ascii="Arial Hebrew Light" w:hAnsi="Arial Hebrew Light" w:cs="Arial Hebrew Light" w:hint="cs"/>
          <w:sz w:val="21"/>
          <w:szCs w:val="21"/>
        </w:rPr>
      </w:pPr>
      <w:proofErr w:type="gramStart"/>
      <w:r>
        <w:rPr>
          <w:rFonts w:ascii="Cambria" w:hAnsi="Cambria" w:cs="Arial Hebrew Light"/>
          <w:sz w:val="21"/>
          <w:szCs w:val="21"/>
        </w:rPr>
        <w:t xml:space="preserve">Moody’s </w:t>
      </w:r>
      <w:r>
        <w:rPr>
          <w:rFonts w:ascii="Arial Hebrew Light" w:hAnsi="Arial Hebrew Light" w:cs="Arial Hebrew Light"/>
          <w:sz w:val="21"/>
          <w:szCs w:val="21"/>
        </w:rPr>
        <w:t xml:space="preserve"> </w:t>
      </w:r>
      <w:r>
        <w:rPr>
          <w:rFonts w:ascii="Cambria" w:hAnsi="Cambria" w:cs="Arial Hebrew Light"/>
          <w:sz w:val="21"/>
          <w:szCs w:val="21"/>
        </w:rPr>
        <w:t>accounts</w:t>
      </w:r>
      <w:proofErr w:type="gramEnd"/>
      <w:r>
        <w:rPr>
          <w:rFonts w:ascii="Cambria" w:hAnsi="Cambria" w:cs="Arial Hebrew Light"/>
          <w:sz w:val="21"/>
          <w:szCs w:val="21"/>
        </w:rPr>
        <w:t xml:space="preserve"> for about 40% market share… </w:t>
      </w:r>
    </w:p>
    <w:p w14:paraId="7448798C" w14:textId="77777777" w:rsidR="00D40E9E" w:rsidRDefault="00D40E9E" w:rsidP="00D40E9E">
      <w:pPr>
        <w:spacing w:after="240"/>
        <w:rPr>
          <w:rFonts w:ascii="Cambria" w:hAnsi="Cambria" w:cs="Arial Hebrew Light"/>
          <w:sz w:val="28"/>
          <w:szCs w:val="28"/>
        </w:rPr>
      </w:pPr>
    </w:p>
    <w:p w14:paraId="3CD81435" w14:textId="5EAC8B70" w:rsidR="00D40E9E" w:rsidRPr="00D40E9E" w:rsidRDefault="00D40E9E" w:rsidP="00D40E9E">
      <w:pPr>
        <w:spacing w:after="240"/>
        <w:rPr>
          <w:rFonts w:ascii="Cambria" w:hAnsi="Cambria" w:cs="Arial Hebrew Light" w:hint="cs"/>
          <w:sz w:val="28"/>
          <w:szCs w:val="28"/>
        </w:rPr>
      </w:pPr>
      <w:r>
        <w:rPr>
          <w:rFonts w:ascii="Cambria" w:hAnsi="Cambria" w:cs="Arial Hebrew Light"/>
          <w:sz w:val="28"/>
          <w:szCs w:val="28"/>
        </w:rPr>
        <w:t>Conclusion</w:t>
      </w:r>
    </w:p>
    <w:p w14:paraId="488BF9F7" w14:textId="77777777" w:rsidR="00D40E9E" w:rsidRPr="00234E34" w:rsidRDefault="00D40E9E" w:rsidP="00D40E9E">
      <w:pPr>
        <w:spacing w:before="240" w:line="360" w:lineRule="auto"/>
        <w:ind w:firstLine="360"/>
        <w:jc w:val="both"/>
        <w:rPr>
          <w:rFonts w:ascii="Arial Hebrew Light" w:hAnsi="Arial Hebrew Light" w:cs="Arial Hebrew Light" w:hint="cs"/>
          <w:sz w:val="21"/>
          <w:szCs w:val="21"/>
        </w:rPr>
      </w:pPr>
      <w:proofErr w:type="gramStart"/>
      <w:r>
        <w:rPr>
          <w:rFonts w:ascii="Cambria" w:hAnsi="Cambria" w:cs="Arial Hebrew Light"/>
          <w:sz w:val="21"/>
          <w:szCs w:val="21"/>
        </w:rPr>
        <w:t xml:space="preserve">Moody’s </w:t>
      </w:r>
      <w:r>
        <w:rPr>
          <w:rFonts w:ascii="Arial Hebrew Light" w:hAnsi="Arial Hebrew Light" w:cs="Arial Hebrew Light"/>
          <w:sz w:val="21"/>
          <w:szCs w:val="21"/>
        </w:rPr>
        <w:t xml:space="preserve"> </w:t>
      </w:r>
      <w:r>
        <w:rPr>
          <w:rFonts w:ascii="Cambria" w:hAnsi="Cambria" w:cs="Arial Hebrew Light"/>
          <w:sz w:val="21"/>
          <w:szCs w:val="21"/>
        </w:rPr>
        <w:t>accounts</w:t>
      </w:r>
      <w:proofErr w:type="gramEnd"/>
      <w:r>
        <w:rPr>
          <w:rFonts w:ascii="Cambria" w:hAnsi="Cambria" w:cs="Arial Hebrew Light"/>
          <w:sz w:val="21"/>
          <w:szCs w:val="21"/>
        </w:rPr>
        <w:t xml:space="preserve"> for about 40% market share… </w:t>
      </w:r>
    </w:p>
    <w:p w14:paraId="43FACF1D" w14:textId="77777777" w:rsidR="00234E34" w:rsidRDefault="00234E34" w:rsidP="00D40E9E">
      <w:pPr>
        <w:spacing w:before="240" w:line="360" w:lineRule="auto"/>
        <w:jc w:val="both"/>
        <w:rPr>
          <w:rFonts w:ascii="Arial Hebrew Light" w:hAnsi="Arial Hebrew Light" w:cs="Arial Hebrew Light"/>
          <w:sz w:val="21"/>
          <w:szCs w:val="21"/>
        </w:rPr>
      </w:pPr>
    </w:p>
    <w:p w14:paraId="37D5C9D2" w14:textId="77777777" w:rsidR="00D40E9E" w:rsidRPr="00234E34" w:rsidRDefault="00D40E9E" w:rsidP="00D40E9E">
      <w:pPr>
        <w:spacing w:before="240" w:line="360" w:lineRule="auto"/>
        <w:jc w:val="both"/>
        <w:rPr>
          <w:rFonts w:ascii="Arial Hebrew Light" w:hAnsi="Arial Hebrew Light" w:cs="Arial Hebrew Light" w:hint="cs"/>
          <w:sz w:val="21"/>
          <w:szCs w:val="21"/>
        </w:rPr>
      </w:pPr>
    </w:p>
    <w:p w14:paraId="51F9B205" w14:textId="77777777" w:rsidR="003731C9" w:rsidRPr="00234E34" w:rsidRDefault="003731C9" w:rsidP="003731C9">
      <w:pPr>
        <w:spacing w:after="240"/>
        <w:rPr>
          <w:rFonts w:ascii="Arial Hebrew Light" w:hAnsi="Arial Hebrew Light" w:cs="Arial Hebrew Light" w:hint="cs"/>
          <w:sz w:val="28"/>
          <w:szCs w:val="28"/>
        </w:rPr>
      </w:pPr>
      <w:r w:rsidRPr="00234E34">
        <w:rPr>
          <w:rFonts w:ascii="Arial Hebrew Light" w:hAnsi="Arial Hebrew Light" w:cs="Arial Hebrew Light" w:hint="cs"/>
          <w:sz w:val="28"/>
          <w:szCs w:val="28"/>
        </w:rPr>
        <w:t>Assessment Frameworks</w:t>
      </w:r>
    </w:p>
    <w:p w14:paraId="415D020C" w14:textId="1156CA14" w:rsidR="00AC220B" w:rsidRPr="00234E34" w:rsidRDefault="003731C9" w:rsidP="00D40E9E">
      <w:pPr>
        <w:ind w:left="720"/>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Three agencies dominate the global credit-score market, using similar schemes to categorise long-</w:t>
      </w:r>
      <w:r w:rsidR="00D40E9E" w:rsidRPr="00D40E9E">
        <w:rPr>
          <w:rFonts w:ascii="Cambria" w:hAnsi="Cambria" w:cs="Arial Hebrew Light"/>
          <w:sz w:val="21"/>
          <w:szCs w:val="21"/>
        </w:rPr>
        <w:t xml:space="preserve"> </w:t>
      </w:r>
      <w:proofErr w:type="gramStart"/>
      <w:r w:rsidR="00D40E9E">
        <w:rPr>
          <w:rFonts w:ascii="Cambria" w:hAnsi="Cambria" w:cs="Arial Hebrew Light"/>
          <w:sz w:val="21"/>
          <w:szCs w:val="21"/>
        </w:rPr>
        <w:t xml:space="preserve">Moody’s </w:t>
      </w:r>
      <w:r w:rsidR="00D40E9E">
        <w:rPr>
          <w:rFonts w:ascii="Arial Hebrew Light" w:hAnsi="Arial Hebrew Light" w:cs="Arial Hebrew Light"/>
          <w:sz w:val="21"/>
          <w:szCs w:val="21"/>
        </w:rPr>
        <w:t xml:space="preserve"> </w:t>
      </w:r>
      <w:r w:rsidR="00D40E9E">
        <w:rPr>
          <w:rFonts w:ascii="Cambria" w:hAnsi="Cambria" w:cs="Arial Hebrew Light"/>
          <w:sz w:val="21"/>
          <w:szCs w:val="21"/>
        </w:rPr>
        <w:t>accounts</w:t>
      </w:r>
      <w:proofErr w:type="gramEnd"/>
      <w:r w:rsidR="00D40E9E">
        <w:rPr>
          <w:rFonts w:ascii="Cambria" w:hAnsi="Cambria" w:cs="Arial Hebrew Light"/>
          <w:sz w:val="21"/>
          <w:szCs w:val="21"/>
        </w:rPr>
        <w:t xml:space="preserve"> for about</w:t>
      </w:r>
    </w:p>
    <w:p w14:paraId="4A8EF406" w14:textId="77777777" w:rsidR="00234E34" w:rsidRPr="00234E34" w:rsidRDefault="00234E34" w:rsidP="000F0B70">
      <w:pPr>
        <w:jc w:val="both"/>
        <w:rPr>
          <w:rFonts w:ascii="Arial Hebrew Light" w:hAnsi="Arial Hebrew Light" w:cs="Arial Hebrew Light" w:hint="cs"/>
          <w:sz w:val="18"/>
          <w:szCs w:val="18"/>
        </w:rPr>
      </w:pPr>
    </w:p>
    <w:p w14:paraId="0FB324D0" w14:textId="77777777" w:rsidR="00234E34" w:rsidRPr="00234E34" w:rsidRDefault="00234E34" w:rsidP="00234E34">
      <w:pPr>
        <w:spacing w:after="240"/>
        <w:rPr>
          <w:rFonts w:ascii="Arial Hebrew Light" w:hAnsi="Arial Hebrew Light" w:cs="Arial Hebrew Light" w:hint="cs"/>
        </w:rPr>
      </w:pPr>
      <w:r w:rsidRPr="00234E34">
        <w:rPr>
          <w:rFonts w:ascii="Arial Hebrew Light" w:hAnsi="Arial Hebrew Light" w:cs="Arial Hebrew Light" w:hint="cs"/>
        </w:rPr>
        <w:t>Assessment Frameworks</w:t>
      </w:r>
    </w:p>
    <w:p w14:paraId="138FBCD3" w14:textId="6697EEC4" w:rsidR="00234E34" w:rsidRPr="00234E34" w:rsidRDefault="00234E34" w:rsidP="00234E34">
      <w:pPr>
        <w:jc w:val="both"/>
        <w:rPr>
          <w:rFonts w:ascii="Arial Hebrew Light" w:hAnsi="Arial Hebrew Light" w:cs="Arial Hebrew Light" w:hint="cs"/>
          <w:sz w:val="18"/>
          <w:szCs w:val="18"/>
        </w:rPr>
      </w:pPr>
      <w:r w:rsidRPr="00234E34">
        <w:rPr>
          <w:rFonts w:ascii="Arial Hebrew Light" w:hAnsi="Arial Hebrew Light" w:cs="Arial Hebrew Light" w:hint="cs"/>
          <w:sz w:val="21"/>
          <w:szCs w:val="21"/>
        </w:rPr>
        <w:t>Three agencies dominate the global credit-score market, using similar schemes to categorise long-term debt instruments into prime (higher-price, lower-yield) and speculative (lower-price, higher-yield) grades. Ratings scores</w:t>
      </w:r>
    </w:p>
    <w:tbl>
      <w:tblPr>
        <w:tblStyle w:val="TableGrid"/>
        <w:tblW w:w="0" w:type="auto"/>
        <w:tblLook w:val="04A0" w:firstRow="1" w:lastRow="0" w:firstColumn="1" w:lastColumn="0" w:noHBand="0" w:noVBand="1"/>
      </w:tblPr>
      <w:tblGrid>
        <w:gridCol w:w="1803"/>
        <w:gridCol w:w="1803"/>
        <w:gridCol w:w="1803"/>
        <w:gridCol w:w="1803"/>
        <w:gridCol w:w="1804"/>
      </w:tblGrid>
      <w:tr w:rsidR="00AC220B" w:rsidRPr="00234E34" w14:paraId="19488676" w14:textId="77777777" w:rsidTr="00CB238D">
        <w:tc>
          <w:tcPr>
            <w:tcW w:w="1803" w:type="dxa"/>
          </w:tcPr>
          <w:p w14:paraId="282468D1"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17D5E754"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04184D59" w14:textId="77777777" w:rsidR="00AC220B" w:rsidRPr="00234E34" w:rsidRDefault="00AC220B"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Moody’s</w:t>
            </w:r>
          </w:p>
        </w:tc>
        <w:tc>
          <w:tcPr>
            <w:tcW w:w="1803" w:type="dxa"/>
          </w:tcPr>
          <w:p w14:paraId="335BFBEA" w14:textId="77777777" w:rsidR="00AC220B" w:rsidRPr="00234E34" w:rsidRDefault="00AC220B"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Standard &amp; Poor’s</w:t>
            </w:r>
          </w:p>
        </w:tc>
        <w:tc>
          <w:tcPr>
            <w:tcW w:w="1804" w:type="dxa"/>
          </w:tcPr>
          <w:p w14:paraId="6ADC1CC4" w14:textId="77777777" w:rsidR="00AC220B" w:rsidRPr="00234E34" w:rsidRDefault="00AC220B"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Fitch</w:t>
            </w:r>
          </w:p>
        </w:tc>
      </w:tr>
      <w:tr w:rsidR="00AC220B" w:rsidRPr="00234E34" w14:paraId="6F41DE1D" w14:textId="77777777" w:rsidTr="00CB238D">
        <w:tc>
          <w:tcPr>
            <w:tcW w:w="1803" w:type="dxa"/>
          </w:tcPr>
          <w:p w14:paraId="0E5B2F11"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5B295C9E"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5CD2F123"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2379C075" w14:textId="77777777" w:rsidR="00AC220B" w:rsidRPr="00234E34" w:rsidRDefault="00AC220B" w:rsidP="000F0B70">
            <w:pPr>
              <w:jc w:val="both"/>
              <w:rPr>
                <w:rFonts w:ascii="Arial Hebrew Light" w:hAnsi="Arial Hebrew Light" w:cs="Arial Hebrew Light" w:hint="cs"/>
                <w:sz w:val="21"/>
                <w:szCs w:val="21"/>
              </w:rPr>
            </w:pPr>
          </w:p>
        </w:tc>
        <w:tc>
          <w:tcPr>
            <w:tcW w:w="1804" w:type="dxa"/>
          </w:tcPr>
          <w:p w14:paraId="10D8FBD5" w14:textId="77777777" w:rsidR="00AC220B" w:rsidRPr="00234E34" w:rsidRDefault="00AC220B" w:rsidP="000F0B70">
            <w:pPr>
              <w:jc w:val="both"/>
              <w:rPr>
                <w:rFonts w:ascii="Arial Hebrew Light" w:hAnsi="Arial Hebrew Light" w:cs="Arial Hebrew Light" w:hint="cs"/>
                <w:sz w:val="21"/>
                <w:szCs w:val="21"/>
              </w:rPr>
            </w:pPr>
          </w:p>
        </w:tc>
      </w:tr>
      <w:tr w:rsidR="00AC220B" w:rsidRPr="00234E34" w14:paraId="5280CB85" w14:textId="77777777" w:rsidTr="00CB238D">
        <w:tc>
          <w:tcPr>
            <w:tcW w:w="1803" w:type="dxa"/>
          </w:tcPr>
          <w:p w14:paraId="4CF2E02B"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1C8E9F2D"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267D34C0"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2C5D7474" w14:textId="77777777" w:rsidR="00AC220B" w:rsidRPr="00234E34" w:rsidRDefault="00AC220B" w:rsidP="000F0B70">
            <w:pPr>
              <w:jc w:val="both"/>
              <w:rPr>
                <w:rFonts w:ascii="Arial Hebrew Light" w:hAnsi="Arial Hebrew Light" w:cs="Arial Hebrew Light" w:hint="cs"/>
                <w:sz w:val="21"/>
                <w:szCs w:val="21"/>
              </w:rPr>
            </w:pPr>
          </w:p>
        </w:tc>
        <w:tc>
          <w:tcPr>
            <w:tcW w:w="1804" w:type="dxa"/>
          </w:tcPr>
          <w:p w14:paraId="184963A7" w14:textId="77777777" w:rsidR="00AC220B" w:rsidRPr="00234E34" w:rsidRDefault="00AC220B" w:rsidP="000F0B70">
            <w:pPr>
              <w:jc w:val="both"/>
              <w:rPr>
                <w:rFonts w:ascii="Arial Hebrew Light" w:hAnsi="Arial Hebrew Light" w:cs="Arial Hebrew Light" w:hint="cs"/>
                <w:sz w:val="21"/>
                <w:szCs w:val="21"/>
              </w:rPr>
            </w:pPr>
          </w:p>
        </w:tc>
      </w:tr>
      <w:tr w:rsidR="00AC220B" w:rsidRPr="00234E34" w14:paraId="0B139B3B" w14:textId="77777777" w:rsidTr="00CB238D">
        <w:tc>
          <w:tcPr>
            <w:tcW w:w="1803" w:type="dxa"/>
          </w:tcPr>
          <w:p w14:paraId="320C7C97"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24148D71"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4382E0B2"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0EF2F2CB" w14:textId="77777777" w:rsidR="00AC220B" w:rsidRPr="00234E34" w:rsidRDefault="00AC220B" w:rsidP="000F0B70">
            <w:pPr>
              <w:jc w:val="both"/>
              <w:rPr>
                <w:rFonts w:ascii="Arial Hebrew Light" w:hAnsi="Arial Hebrew Light" w:cs="Arial Hebrew Light" w:hint="cs"/>
                <w:sz w:val="21"/>
                <w:szCs w:val="21"/>
              </w:rPr>
            </w:pPr>
          </w:p>
        </w:tc>
        <w:tc>
          <w:tcPr>
            <w:tcW w:w="1804" w:type="dxa"/>
          </w:tcPr>
          <w:p w14:paraId="19591F54" w14:textId="77777777" w:rsidR="00AC220B" w:rsidRPr="00234E34" w:rsidRDefault="00AC220B" w:rsidP="000F0B70">
            <w:pPr>
              <w:jc w:val="both"/>
              <w:rPr>
                <w:rFonts w:ascii="Arial Hebrew Light" w:hAnsi="Arial Hebrew Light" w:cs="Arial Hebrew Light" w:hint="cs"/>
                <w:sz w:val="21"/>
                <w:szCs w:val="21"/>
              </w:rPr>
            </w:pPr>
          </w:p>
        </w:tc>
      </w:tr>
      <w:tr w:rsidR="00AC220B" w:rsidRPr="00234E34" w14:paraId="24A6CA66" w14:textId="77777777" w:rsidTr="00CB238D">
        <w:tc>
          <w:tcPr>
            <w:tcW w:w="1803" w:type="dxa"/>
          </w:tcPr>
          <w:p w14:paraId="0A36E561"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770A5D87"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63B2F316"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6324742C" w14:textId="77777777" w:rsidR="00AC220B" w:rsidRPr="00234E34" w:rsidRDefault="00AC220B" w:rsidP="000F0B70">
            <w:pPr>
              <w:jc w:val="both"/>
              <w:rPr>
                <w:rFonts w:ascii="Arial Hebrew Light" w:hAnsi="Arial Hebrew Light" w:cs="Arial Hebrew Light" w:hint="cs"/>
                <w:sz w:val="21"/>
                <w:szCs w:val="21"/>
              </w:rPr>
            </w:pPr>
          </w:p>
        </w:tc>
        <w:tc>
          <w:tcPr>
            <w:tcW w:w="1804" w:type="dxa"/>
          </w:tcPr>
          <w:p w14:paraId="0889AC61" w14:textId="77777777" w:rsidR="00AC220B" w:rsidRPr="00234E34" w:rsidRDefault="00AC220B" w:rsidP="000F0B70">
            <w:pPr>
              <w:jc w:val="both"/>
              <w:rPr>
                <w:rFonts w:ascii="Arial Hebrew Light" w:hAnsi="Arial Hebrew Light" w:cs="Arial Hebrew Light" w:hint="cs"/>
                <w:sz w:val="21"/>
                <w:szCs w:val="21"/>
              </w:rPr>
            </w:pPr>
          </w:p>
        </w:tc>
      </w:tr>
      <w:tr w:rsidR="00AC220B" w:rsidRPr="00234E34" w14:paraId="7863E691" w14:textId="77777777" w:rsidTr="00CB238D">
        <w:tc>
          <w:tcPr>
            <w:tcW w:w="1803" w:type="dxa"/>
          </w:tcPr>
          <w:p w14:paraId="2DAF77A2"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3F8D4DC1"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2AECBF07"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5769482F" w14:textId="77777777" w:rsidR="00AC220B" w:rsidRPr="00234E34" w:rsidRDefault="00AC220B" w:rsidP="000F0B70">
            <w:pPr>
              <w:jc w:val="both"/>
              <w:rPr>
                <w:rFonts w:ascii="Arial Hebrew Light" w:hAnsi="Arial Hebrew Light" w:cs="Arial Hebrew Light" w:hint="cs"/>
                <w:sz w:val="21"/>
                <w:szCs w:val="21"/>
              </w:rPr>
            </w:pPr>
          </w:p>
        </w:tc>
        <w:tc>
          <w:tcPr>
            <w:tcW w:w="1804" w:type="dxa"/>
          </w:tcPr>
          <w:p w14:paraId="7D030857" w14:textId="77777777" w:rsidR="00AC220B" w:rsidRPr="00234E34" w:rsidRDefault="00AC220B" w:rsidP="000F0B70">
            <w:pPr>
              <w:jc w:val="both"/>
              <w:rPr>
                <w:rFonts w:ascii="Arial Hebrew Light" w:hAnsi="Arial Hebrew Light" w:cs="Arial Hebrew Light" w:hint="cs"/>
                <w:sz w:val="21"/>
                <w:szCs w:val="21"/>
              </w:rPr>
            </w:pPr>
          </w:p>
        </w:tc>
      </w:tr>
      <w:tr w:rsidR="00AC220B" w:rsidRPr="00234E34" w14:paraId="67775891" w14:textId="77777777" w:rsidTr="00CB238D">
        <w:tc>
          <w:tcPr>
            <w:tcW w:w="1803" w:type="dxa"/>
          </w:tcPr>
          <w:p w14:paraId="2B913759"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7D050FBE"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4639F7FD"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38EB8A70" w14:textId="77777777" w:rsidR="00AC220B" w:rsidRPr="00234E34" w:rsidRDefault="00AC220B" w:rsidP="000F0B70">
            <w:pPr>
              <w:jc w:val="both"/>
              <w:rPr>
                <w:rFonts w:ascii="Arial Hebrew Light" w:hAnsi="Arial Hebrew Light" w:cs="Arial Hebrew Light" w:hint="cs"/>
                <w:sz w:val="21"/>
                <w:szCs w:val="21"/>
              </w:rPr>
            </w:pPr>
          </w:p>
        </w:tc>
        <w:tc>
          <w:tcPr>
            <w:tcW w:w="1804" w:type="dxa"/>
          </w:tcPr>
          <w:p w14:paraId="3F2AC93F" w14:textId="77777777" w:rsidR="00AC220B" w:rsidRPr="00234E34" w:rsidRDefault="00AC220B" w:rsidP="000F0B70">
            <w:pPr>
              <w:jc w:val="both"/>
              <w:rPr>
                <w:rFonts w:ascii="Arial Hebrew Light" w:hAnsi="Arial Hebrew Light" w:cs="Arial Hebrew Light" w:hint="cs"/>
                <w:sz w:val="21"/>
                <w:szCs w:val="21"/>
              </w:rPr>
            </w:pPr>
          </w:p>
        </w:tc>
      </w:tr>
      <w:tr w:rsidR="00AC220B" w:rsidRPr="00234E34" w14:paraId="167383A3" w14:textId="77777777" w:rsidTr="00CB238D">
        <w:tc>
          <w:tcPr>
            <w:tcW w:w="1803" w:type="dxa"/>
          </w:tcPr>
          <w:p w14:paraId="688D94FB"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1A994704"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0546122A" w14:textId="77777777" w:rsidR="00AC220B" w:rsidRPr="00234E34" w:rsidRDefault="00AC220B" w:rsidP="000F0B70">
            <w:pPr>
              <w:jc w:val="both"/>
              <w:rPr>
                <w:rFonts w:ascii="Arial Hebrew Light" w:hAnsi="Arial Hebrew Light" w:cs="Arial Hebrew Light" w:hint="cs"/>
                <w:sz w:val="21"/>
                <w:szCs w:val="21"/>
              </w:rPr>
            </w:pPr>
          </w:p>
        </w:tc>
        <w:tc>
          <w:tcPr>
            <w:tcW w:w="1803" w:type="dxa"/>
          </w:tcPr>
          <w:p w14:paraId="6C338117" w14:textId="77777777" w:rsidR="00AC220B" w:rsidRPr="00234E34" w:rsidRDefault="00AC220B" w:rsidP="000F0B70">
            <w:pPr>
              <w:jc w:val="both"/>
              <w:rPr>
                <w:rFonts w:ascii="Arial Hebrew Light" w:hAnsi="Arial Hebrew Light" w:cs="Arial Hebrew Light" w:hint="cs"/>
                <w:sz w:val="21"/>
                <w:szCs w:val="21"/>
              </w:rPr>
            </w:pPr>
          </w:p>
        </w:tc>
        <w:tc>
          <w:tcPr>
            <w:tcW w:w="1804" w:type="dxa"/>
          </w:tcPr>
          <w:p w14:paraId="0EEC332A" w14:textId="77777777" w:rsidR="00AC220B" w:rsidRPr="00234E34" w:rsidRDefault="00AC220B" w:rsidP="000F0B70">
            <w:pPr>
              <w:jc w:val="both"/>
              <w:rPr>
                <w:rFonts w:ascii="Arial Hebrew Light" w:hAnsi="Arial Hebrew Light" w:cs="Arial Hebrew Light" w:hint="cs"/>
                <w:sz w:val="21"/>
                <w:szCs w:val="21"/>
              </w:rPr>
            </w:pPr>
          </w:p>
        </w:tc>
      </w:tr>
    </w:tbl>
    <w:p w14:paraId="7D00EDE9" w14:textId="77777777" w:rsidR="00AC220B" w:rsidRPr="00234E34" w:rsidRDefault="00AC220B" w:rsidP="000F0B70">
      <w:pPr>
        <w:jc w:val="both"/>
        <w:rPr>
          <w:rFonts w:ascii="Arial Hebrew Light" w:hAnsi="Arial Hebrew Light" w:cs="Arial Hebrew Light" w:hint="cs"/>
          <w:sz w:val="21"/>
          <w:szCs w:val="21"/>
        </w:rPr>
      </w:pPr>
    </w:p>
    <w:p w14:paraId="1FBB3D8F" w14:textId="7E5DD495" w:rsidR="00AC220B" w:rsidRPr="00234E34" w:rsidRDefault="00AC220B" w:rsidP="000F0B70">
      <w:pPr>
        <w:ind w:firstLine="360"/>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 xml:space="preserve">Ratings scores significantly impact governments’ </w:t>
      </w:r>
      <w:r w:rsidR="00BE497E" w:rsidRPr="00234E34">
        <w:rPr>
          <w:rFonts w:ascii="Arial Hebrew Light" w:hAnsi="Arial Hebrew Light" w:cs="Arial Hebrew Light" w:hint="cs"/>
          <w:sz w:val="21"/>
          <w:szCs w:val="21"/>
        </w:rPr>
        <w:t>financing</w:t>
      </w:r>
      <w:r w:rsidRPr="00234E34">
        <w:rPr>
          <w:rFonts w:ascii="Arial Hebrew Light" w:hAnsi="Arial Hebrew Light" w:cs="Arial Hebrew Light" w:hint="cs"/>
          <w:sz w:val="21"/>
          <w:szCs w:val="21"/>
        </w:rPr>
        <w:t xml:space="preserve"> costs, with bond prices sensitive to the prospect of upgrades or downgrades. In addition to a credit rating, agencies can give sovereign debt</w:t>
      </w:r>
      <w:r w:rsidR="00A469DF" w:rsidRPr="00234E34">
        <w:rPr>
          <w:rFonts w:ascii="Arial Hebrew Light" w:hAnsi="Arial Hebrew Light" w:cs="Arial Hebrew Light" w:hint="cs"/>
          <w:sz w:val="21"/>
          <w:szCs w:val="21"/>
        </w:rPr>
        <w:t xml:space="preserve"> instruments</w:t>
      </w:r>
      <w:r w:rsidRPr="00234E34">
        <w:rPr>
          <w:rFonts w:ascii="Arial Hebrew Light" w:hAnsi="Arial Hebrew Light" w:cs="Arial Hebrew Light" w:hint="cs"/>
          <w:sz w:val="21"/>
          <w:szCs w:val="21"/>
        </w:rPr>
        <w:t xml:space="preserve"> a positive or negative outlook – indicating the likely direction of a credit upgrade or downgrade. </w:t>
      </w:r>
      <w:r w:rsidR="00EE4CA8" w:rsidRPr="00234E34">
        <w:rPr>
          <w:rFonts w:ascii="Arial Hebrew Light" w:hAnsi="Arial Hebrew Light" w:cs="Arial Hebrew Light" w:hint="cs"/>
          <w:sz w:val="21"/>
          <w:szCs w:val="21"/>
        </w:rPr>
        <w:t xml:space="preserve">Each of the three agencies provides differing levels of </w:t>
      </w:r>
      <w:r w:rsidR="00DF01CC" w:rsidRPr="00234E34">
        <w:rPr>
          <w:rFonts w:ascii="Arial Hebrew Light" w:hAnsi="Arial Hebrew Light" w:cs="Arial Hebrew Light" w:hint="cs"/>
          <w:sz w:val="21"/>
          <w:szCs w:val="21"/>
        </w:rPr>
        <w:t xml:space="preserve">public </w:t>
      </w:r>
      <w:r w:rsidR="00EE4CA8" w:rsidRPr="00234E34">
        <w:rPr>
          <w:rFonts w:ascii="Arial Hebrew Light" w:hAnsi="Arial Hebrew Light" w:cs="Arial Hebrew Light" w:hint="cs"/>
          <w:sz w:val="21"/>
          <w:szCs w:val="21"/>
        </w:rPr>
        <w:t xml:space="preserve">detail on their </w:t>
      </w:r>
      <w:r w:rsidR="00DF01CC" w:rsidRPr="00234E34">
        <w:rPr>
          <w:rFonts w:ascii="Arial Hebrew Light" w:hAnsi="Arial Hebrew Light" w:cs="Arial Hebrew Light" w:hint="cs"/>
          <w:sz w:val="21"/>
          <w:szCs w:val="21"/>
        </w:rPr>
        <w:t xml:space="preserve">proprietary (and </w:t>
      </w:r>
      <w:proofErr w:type="gramStart"/>
      <w:r w:rsidR="00DF01CC" w:rsidRPr="00234E34">
        <w:rPr>
          <w:rFonts w:ascii="Arial Hebrew Light" w:hAnsi="Arial Hebrew Light" w:cs="Arial Hebrew Light" w:hint="cs"/>
          <w:sz w:val="21"/>
          <w:szCs w:val="21"/>
        </w:rPr>
        <w:t>continuously-evolving</w:t>
      </w:r>
      <w:proofErr w:type="gramEnd"/>
      <w:r w:rsidR="00DF01CC" w:rsidRPr="00234E34">
        <w:rPr>
          <w:rFonts w:ascii="Arial Hebrew Light" w:hAnsi="Arial Hebrew Light" w:cs="Arial Hebrew Light" w:hint="cs"/>
          <w:sz w:val="21"/>
          <w:szCs w:val="21"/>
        </w:rPr>
        <w:t>)</w:t>
      </w:r>
      <w:r w:rsidR="00EE4CA8" w:rsidRPr="00234E34">
        <w:rPr>
          <w:rFonts w:ascii="Arial Hebrew Light" w:hAnsi="Arial Hebrew Light" w:cs="Arial Hebrew Light" w:hint="cs"/>
          <w:sz w:val="21"/>
          <w:szCs w:val="21"/>
        </w:rPr>
        <w:t xml:space="preserve"> methodologies for sovereign and sub-sovereign ratings. </w:t>
      </w:r>
    </w:p>
    <w:p w14:paraId="39602BCA" w14:textId="77777777" w:rsidR="00AC220B" w:rsidRPr="00234E34" w:rsidRDefault="00AC220B" w:rsidP="000F0B70">
      <w:pPr>
        <w:jc w:val="both"/>
        <w:rPr>
          <w:rFonts w:ascii="Arial Hebrew Light" w:hAnsi="Arial Hebrew Light" w:cs="Arial Hebrew Light" w:hint="cs"/>
          <w:sz w:val="21"/>
          <w:szCs w:val="21"/>
        </w:rPr>
      </w:pPr>
    </w:p>
    <w:p w14:paraId="0F587B51" w14:textId="63832646" w:rsidR="00AC220B" w:rsidRPr="00234E34" w:rsidRDefault="00AC220B"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Moody’s</w:t>
      </w:r>
    </w:p>
    <w:p w14:paraId="3A18D608" w14:textId="7CCD5BBF" w:rsidR="00AC220B" w:rsidRPr="00234E34" w:rsidRDefault="00AC220B" w:rsidP="000F0B70">
      <w:pPr>
        <w:ind w:firstLine="360"/>
        <w:jc w:val="both"/>
        <w:rPr>
          <w:rFonts w:ascii="Arial Hebrew Light" w:hAnsi="Arial Hebrew Light" w:cs="Arial Hebrew Light" w:hint="cs"/>
          <w:sz w:val="21"/>
          <w:szCs w:val="21"/>
        </w:rPr>
      </w:pPr>
      <w:proofErr w:type="spellStart"/>
      <w:r w:rsidRPr="00234E34">
        <w:rPr>
          <w:rFonts w:ascii="Arial Hebrew Light" w:hAnsi="Arial Hebrew Light" w:cs="Arial Hebrew Light" w:hint="cs"/>
          <w:sz w:val="21"/>
          <w:szCs w:val="21"/>
        </w:rPr>
        <w:t>sss</w:t>
      </w:r>
      <w:proofErr w:type="spellEnd"/>
    </w:p>
    <w:p w14:paraId="337D265A" w14:textId="77777777" w:rsidR="00AC220B" w:rsidRPr="00234E34" w:rsidRDefault="00AC220B" w:rsidP="000F0B70">
      <w:pPr>
        <w:ind w:firstLine="360"/>
        <w:jc w:val="both"/>
        <w:rPr>
          <w:rFonts w:ascii="Arial Hebrew Light" w:hAnsi="Arial Hebrew Light" w:cs="Arial Hebrew Light" w:hint="cs"/>
          <w:sz w:val="21"/>
          <w:szCs w:val="21"/>
        </w:rPr>
      </w:pPr>
    </w:p>
    <w:p w14:paraId="08B06E7B" w14:textId="77777777" w:rsidR="00AC220B" w:rsidRPr="00234E34" w:rsidRDefault="00AC220B" w:rsidP="000F0B70">
      <w:pPr>
        <w:ind w:firstLine="360"/>
        <w:jc w:val="both"/>
        <w:rPr>
          <w:rFonts w:ascii="Arial Hebrew Light" w:hAnsi="Arial Hebrew Light" w:cs="Arial Hebrew Light" w:hint="cs"/>
          <w:sz w:val="21"/>
          <w:szCs w:val="21"/>
        </w:rPr>
      </w:pPr>
    </w:p>
    <w:p w14:paraId="40950C42" w14:textId="77777777" w:rsidR="00AC220B" w:rsidRPr="00234E34" w:rsidRDefault="00AC220B" w:rsidP="000F0B70">
      <w:pPr>
        <w:jc w:val="both"/>
        <w:rPr>
          <w:rFonts w:ascii="Arial Hebrew Light" w:hAnsi="Arial Hebrew Light" w:cs="Arial Hebrew Light" w:hint="cs"/>
          <w:sz w:val="21"/>
          <w:szCs w:val="21"/>
        </w:rPr>
      </w:pPr>
    </w:p>
    <w:p w14:paraId="1877A16C" w14:textId="636A586E" w:rsidR="00930C15" w:rsidRPr="00234E34" w:rsidRDefault="00930C15" w:rsidP="000F0B70">
      <w:pPr>
        <w:spacing w:after="240"/>
        <w:rPr>
          <w:rFonts w:ascii="Arial Hebrew Light" w:hAnsi="Arial Hebrew Light" w:cs="Arial Hebrew Light" w:hint="cs"/>
          <w:sz w:val="21"/>
          <w:szCs w:val="21"/>
        </w:rPr>
      </w:pPr>
      <w:r w:rsidRPr="00234E34">
        <w:rPr>
          <w:rFonts w:ascii="Arial Hebrew Light" w:hAnsi="Arial Hebrew Light" w:cs="Arial Hebrew Light" w:hint="cs"/>
          <w:sz w:val="21"/>
          <w:szCs w:val="21"/>
        </w:rPr>
        <w:t>Standard &amp; Poor’s</w:t>
      </w:r>
    </w:p>
    <w:p w14:paraId="0872405F" w14:textId="77777777" w:rsidR="007122A1" w:rsidRPr="00234E34" w:rsidRDefault="007122A1"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The governing institutions of a country, region or municipality express their effectiveness through the quality of the</w:t>
      </w:r>
    </w:p>
    <w:p w14:paraId="0CF8B4A1" w14:textId="77777777" w:rsidR="007122A1" w:rsidRPr="00234E34" w:rsidRDefault="007122A1" w:rsidP="000F0B70">
      <w:pPr>
        <w:jc w:val="both"/>
        <w:rPr>
          <w:rFonts w:ascii="Arial Hebrew Light" w:hAnsi="Arial Hebrew Light" w:cs="Arial Hebrew Light" w:hint="cs"/>
          <w:sz w:val="21"/>
          <w:szCs w:val="21"/>
        </w:rPr>
      </w:pPr>
    </w:p>
    <w:p w14:paraId="4A5FFA03" w14:textId="77777777" w:rsidR="00930C15" w:rsidRPr="00234E34" w:rsidRDefault="00930C15" w:rsidP="000F0B70">
      <w:pPr>
        <w:jc w:val="both"/>
        <w:rPr>
          <w:rFonts w:ascii="Arial Hebrew Light" w:hAnsi="Arial Hebrew Light" w:cs="Arial Hebrew Light" w:hint="cs"/>
          <w:sz w:val="21"/>
          <w:szCs w:val="21"/>
        </w:rPr>
      </w:pPr>
    </w:p>
    <w:p w14:paraId="31064D71" w14:textId="492CB30E" w:rsidR="00930C15" w:rsidRPr="00234E34" w:rsidRDefault="00930C15"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Fitch</w:t>
      </w:r>
    </w:p>
    <w:p w14:paraId="2A173BC5" w14:textId="77777777" w:rsidR="00930C15" w:rsidRPr="00234E34" w:rsidRDefault="00930C15" w:rsidP="000F0B70">
      <w:pPr>
        <w:jc w:val="both"/>
        <w:rPr>
          <w:rFonts w:ascii="Arial Hebrew Light" w:hAnsi="Arial Hebrew Light" w:cs="Arial Hebrew Light" w:hint="cs"/>
          <w:sz w:val="21"/>
          <w:szCs w:val="21"/>
        </w:rPr>
      </w:pPr>
    </w:p>
    <w:p w14:paraId="68767998" w14:textId="77777777" w:rsidR="00930C15" w:rsidRPr="00234E34" w:rsidRDefault="00930C15" w:rsidP="000F0B70">
      <w:pPr>
        <w:jc w:val="both"/>
        <w:rPr>
          <w:rFonts w:ascii="Arial Hebrew Light" w:hAnsi="Arial Hebrew Light" w:cs="Arial Hebrew Light" w:hint="cs"/>
          <w:sz w:val="21"/>
          <w:szCs w:val="21"/>
        </w:rPr>
      </w:pPr>
    </w:p>
    <w:p w14:paraId="72D2FBEB" w14:textId="77777777" w:rsidR="00930C15" w:rsidRPr="00234E34" w:rsidRDefault="00930C15" w:rsidP="000F0B70">
      <w:pPr>
        <w:jc w:val="both"/>
        <w:rPr>
          <w:rFonts w:ascii="Arial Hebrew Light" w:hAnsi="Arial Hebrew Light" w:cs="Arial Hebrew Light" w:hint="cs"/>
          <w:sz w:val="21"/>
          <w:szCs w:val="21"/>
        </w:rPr>
      </w:pPr>
    </w:p>
    <w:p w14:paraId="530EEF6D" w14:textId="7DB634F3" w:rsidR="00930C15" w:rsidRPr="00234E34" w:rsidRDefault="00AC220B"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A</w:t>
      </w:r>
      <w:r w:rsidR="00930C15" w:rsidRPr="00234E34">
        <w:rPr>
          <w:rFonts w:ascii="Arial Hebrew Light" w:hAnsi="Arial Hebrew Light" w:cs="Arial Hebrew Light" w:hint="cs"/>
          <w:sz w:val="21"/>
          <w:szCs w:val="21"/>
        </w:rPr>
        <w:t xml:space="preserve"> Global Trust Index</w:t>
      </w:r>
    </w:p>
    <w:p w14:paraId="7DF4F419" w14:textId="77777777" w:rsidR="00930C15" w:rsidRPr="00234E34" w:rsidRDefault="00930C15" w:rsidP="000F0B70">
      <w:pPr>
        <w:jc w:val="both"/>
        <w:rPr>
          <w:rFonts w:ascii="Arial Hebrew Light" w:hAnsi="Arial Hebrew Light" w:cs="Arial Hebrew Light" w:hint="cs"/>
          <w:sz w:val="21"/>
          <w:szCs w:val="21"/>
        </w:rPr>
      </w:pPr>
    </w:p>
    <w:p w14:paraId="33C592E0" w14:textId="19D4F21D" w:rsidR="00930C15" w:rsidRPr="00234E34" w:rsidRDefault="00930C15" w:rsidP="000F0B70">
      <w:pPr>
        <w:jc w:val="both"/>
        <w:rPr>
          <w:rFonts w:ascii="Arial Hebrew Light" w:hAnsi="Arial Hebrew Light" w:cs="Arial Hebrew Light" w:hint="cs"/>
          <w:sz w:val="21"/>
          <w:szCs w:val="21"/>
        </w:rPr>
      </w:pPr>
      <w:r w:rsidRPr="00234E34">
        <w:rPr>
          <w:rFonts w:ascii="Arial Hebrew Light" w:hAnsi="Arial Hebrew Light" w:cs="Arial Hebrew Light" w:hint="cs"/>
          <w:sz w:val="21"/>
          <w:szCs w:val="21"/>
        </w:rPr>
        <w:t>Conclusion</w:t>
      </w:r>
    </w:p>
    <w:sectPr w:rsidR="00930C15" w:rsidRPr="00234E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FED66" w14:textId="77777777" w:rsidR="0075215F" w:rsidRDefault="0075215F" w:rsidP="00930C15">
      <w:r>
        <w:separator/>
      </w:r>
    </w:p>
  </w:endnote>
  <w:endnote w:type="continuationSeparator" w:id="0">
    <w:p w14:paraId="558839B2" w14:textId="77777777" w:rsidR="0075215F" w:rsidRDefault="0075215F" w:rsidP="009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Hebrew Light">
    <w:altName w:val="ARIAL HEBREW LIGHT"/>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AB741" w14:textId="77777777" w:rsidR="0075215F" w:rsidRDefault="0075215F" w:rsidP="00930C15">
      <w:r>
        <w:separator/>
      </w:r>
    </w:p>
  </w:footnote>
  <w:footnote w:type="continuationSeparator" w:id="0">
    <w:p w14:paraId="60389BAB" w14:textId="77777777" w:rsidR="0075215F" w:rsidRDefault="0075215F" w:rsidP="00930C15">
      <w:r>
        <w:continuationSeparator/>
      </w:r>
    </w:p>
  </w:footnote>
  <w:footnote w:id="1">
    <w:p w14:paraId="4E42D661" w14:textId="442E7F90" w:rsidR="00A90C71" w:rsidRPr="00A90C71" w:rsidRDefault="00A90C71">
      <w:pPr>
        <w:pStyle w:val="FootnoteText"/>
        <w:rPr>
          <w:lang w:val="en-US"/>
        </w:rPr>
      </w:pPr>
      <w:r>
        <w:rPr>
          <w:rStyle w:val="FootnoteReference"/>
        </w:rPr>
        <w:footnoteRef/>
      </w:r>
      <w:r>
        <w:t xml:space="preserve"> </w:t>
      </w:r>
      <w:r>
        <w:rPr>
          <w:lang w:val="en-US"/>
        </w:rPr>
        <w:t>See associated 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77495"/>
    <w:multiLevelType w:val="hybridMultilevel"/>
    <w:tmpl w:val="9E4AF5B2"/>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8175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A6"/>
    <w:rsid w:val="00084C52"/>
    <w:rsid w:val="00097826"/>
    <w:rsid w:val="000F0B70"/>
    <w:rsid w:val="001461B9"/>
    <w:rsid w:val="002228C4"/>
    <w:rsid w:val="00234E34"/>
    <w:rsid w:val="002D7286"/>
    <w:rsid w:val="00323F46"/>
    <w:rsid w:val="003731C9"/>
    <w:rsid w:val="003B5A36"/>
    <w:rsid w:val="003C135F"/>
    <w:rsid w:val="00410C97"/>
    <w:rsid w:val="00477D0F"/>
    <w:rsid w:val="004A5906"/>
    <w:rsid w:val="004E3851"/>
    <w:rsid w:val="00507D6B"/>
    <w:rsid w:val="00570F3B"/>
    <w:rsid w:val="00610578"/>
    <w:rsid w:val="00707278"/>
    <w:rsid w:val="007122A1"/>
    <w:rsid w:val="00727C84"/>
    <w:rsid w:val="00746E73"/>
    <w:rsid w:val="0075215F"/>
    <w:rsid w:val="00793676"/>
    <w:rsid w:val="00880BA6"/>
    <w:rsid w:val="008865E4"/>
    <w:rsid w:val="008C77E0"/>
    <w:rsid w:val="008E6D88"/>
    <w:rsid w:val="00907C72"/>
    <w:rsid w:val="00930C15"/>
    <w:rsid w:val="00996D32"/>
    <w:rsid w:val="00A23B8C"/>
    <w:rsid w:val="00A469DF"/>
    <w:rsid w:val="00A90C71"/>
    <w:rsid w:val="00AC220B"/>
    <w:rsid w:val="00BE497E"/>
    <w:rsid w:val="00C12113"/>
    <w:rsid w:val="00C61F60"/>
    <w:rsid w:val="00D40E9E"/>
    <w:rsid w:val="00DF01CC"/>
    <w:rsid w:val="00E37C42"/>
    <w:rsid w:val="00EB21B0"/>
    <w:rsid w:val="00EE4CA8"/>
    <w:rsid w:val="00EE7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E97321"/>
  <w15:docId w15:val="{7172E437-F44F-BB4D-8DB9-76F8AA4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B7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8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B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B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B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B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BA6"/>
    <w:rPr>
      <w:rFonts w:eastAsiaTheme="majorEastAsia" w:cstheme="majorBidi"/>
      <w:color w:val="272727" w:themeColor="text1" w:themeTint="D8"/>
    </w:rPr>
  </w:style>
  <w:style w:type="paragraph" w:styleId="Title">
    <w:name w:val="Title"/>
    <w:basedOn w:val="Normal"/>
    <w:next w:val="Normal"/>
    <w:link w:val="TitleChar"/>
    <w:uiPriority w:val="2"/>
    <w:qFormat/>
    <w:rsid w:val="00880B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8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B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B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0BA6"/>
    <w:rPr>
      <w:i/>
      <w:iCs/>
      <w:color w:val="404040" w:themeColor="text1" w:themeTint="BF"/>
    </w:rPr>
  </w:style>
  <w:style w:type="paragraph" w:styleId="ListParagraph">
    <w:name w:val="List Paragraph"/>
    <w:basedOn w:val="Normal"/>
    <w:uiPriority w:val="34"/>
    <w:qFormat/>
    <w:rsid w:val="00880BA6"/>
    <w:pPr>
      <w:ind w:left="720"/>
      <w:contextualSpacing/>
    </w:pPr>
  </w:style>
  <w:style w:type="character" w:styleId="IntenseEmphasis">
    <w:name w:val="Intense Emphasis"/>
    <w:basedOn w:val="DefaultParagraphFont"/>
    <w:uiPriority w:val="21"/>
    <w:qFormat/>
    <w:rsid w:val="00880BA6"/>
    <w:rPr>
      <w:i/>
      <w:iCs/>
      <w:color w:val="0F4761" w:themeColor="accent1" w:themeShade="BF"/>
    </w:rPr>
  </w:style>
  <w:style w:type="paragraph" w:styleId="IntenseQuote">
    <w:name w:val="Intense Quote"/>
    <w:basedOn w:val="Normal"/>
    <w:next w:val="Normal"/>
    <w:link w:val="IntenseQuoteChar"/>
    <w:uiPriority w:val="30"/>
    <w:qFormat/>
    <w:rsid w:val="0088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BA6"/>
    <w:rPr>
      <w:i/>
      <w:iCs/>
      <w:color w:val="0F4761" w:themeColor="accent1" w:themeShade="BF"/>
    </w:rPr>
  </w:style>
  <w:style w:type="character" w:styleId="IntenseReference">
    <w:name w:val="Intense Reference"/>
    <w:basedOn w:val="DefaultParagraphFont"/>
    <w:uiPriority w:val="32"/>
    <w:qFormat/>
    <w:rsid w:val="00880BA6"/>
    <w:rPr>
      <w:b/>
      <w:bCs/>
      <w:smallCaps/>
      <w:color w:val="0F4761" w:themeColor="accent1" w:themeShade="BF"/>
      <w:spacing w:val="5"/>
    </w:rPr>
  </w:style>
  <w:style w:type="paragraph" w:styleId="FootnoteText">
    <w:name w:val="footnote text"/>
    <w:basedOn w:val="Normal"/>
    <w:link w:val="FootnoteTextChar"/>
    <w:uiPriority w:val="99"/>
    <w:semiHidden/>
    <w:unhideWhenUsed/>
    <w:rsid w:val="00930C15"/>
    <w:rPr>
      <w:sz w:val="20"/>
      <w:szCs w:val="20"/>
    </w:rPr>
  </w:style>
  <w:style w:type="character" w:customStyle="1" w:styleId="FootnoteTextChar">
    <w:name w:val="Footnote Text Char"/>
    <w:basedOn w:val="DefaultParagraphFont"/>
    <w:link w:val="FootnoteText"/>
    <w:uiPriority w:val="99"/>
    <w:semiHidden/>
    <w:rsid w:val="00930C1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930C15"/>
    <w:rPr>
      <w:vertAlign w:val="superscript"/>
    </w:rPr>
  </w:style>
  <w:style w:type="table" w:styleId="TableGrid">
    <w:name w:val="Table Grid"/>
    <w:basedOn w:val="TableNormal"/>
    <w:uiPriority w:val="39"/>
    <w:rsid w:val="00EE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B77-9AD6-3248-B2D2-EA9D40D2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Gerard Kelly</cp:lastModifiedBy>
  <cp:revision>3</cp:revision>
  <dcterms:created xsi:type="dcterms:W3CDTF">2025-05-05T17:05:00Z</dcterms:created>
  <dcterms:modified xsi:type="dcterms:W3CDTF">2025-05-07T00:47:00Z</dcterms:modified>
</cp:coreProperties>
</file>