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AA91D" w14:textId="77777777" w:rsidR="00F23319" w:rsidRPr="007067EB" w:rsidRDefault="00F23319" w:rsidP="00F23319">
      <w:pPr>
        <w:spacing w:line="240" w:lineRule="auto"/>
        <w:jc w:val="both"/>
        <w:rPr>
          <w:rFonts w:ascii="Arial Hebrew" w:hAnsi="Arial Hebrew" w:cs="Arial Hebrew" w:hint="cs"/>
          <w:sz w:val="21"/>
          <w:szCs w:val="21"/>
        </w:rPr>
      </w:pPr>
      <w:r w:rsidRPr="007067EB">
        <w:rPr>
          <w:rFonts w:ascii="Arial Hebrew" w:hAnsi="Arial Hebrew" w:cs="Arial Hebrew" w:hint="cs"/>
          <w:sz w:val="21"/>
          <w:szCs w:val="21"/>
        </w:rPr>
        <w:t xml:space="preserve">Trustworthy Digital Society Hub </w:t>
      </w:r>
      <w:r w:rsidRPr="007067EB">
        <w:rPr>
          <w:rFonts w:ascii="Arial Hebrew" w:hAnsi="Arial Hebrew" w:cs="Arial Hebrew" w:hint="cs"/>
          <w:sz w:val="21"/>
          <w:szCs w:val="21"/>
        </w:rPr>
        <w:tab/>
      </w:r>
      <w:r w:rsidRPr="007067EB">
        <w:rPr>
          <w:rFonts w:ascii="Arial Hebrew" w:hAnsi="Arial Hebrew" w:cs="Arial Hebrew" w:hint="cs"/>
          <w:sz w:val="21"/>
          <w:szCs w:val="21"/>
        </w:rPr>
        <w:tab/>
      </w:r>
      <w:r w:rsidRPr="007067EB">
        <w:rPr>
          <w:rFonts w:ascii="Arial Hebrew" w:hAnsi="Arial Hebrew" w:cs="Arial Hebrew" w:hint="cs"/>
          <w:sz w:val="21"/>
          <w:szCs w:val="21"/>
        </w:rPr>
        <w:tab/>
      </w:r>
      <w:r w:rsidRPr="007067EB">
        <w:rPr>
          <w:rFonts w:ascii="Arial Hebrew" w:hAnsi="Arial Hebrew" w:cs="Arial Hebrew" w:hint="cs"/>
          <w:sz w:val="21"/>
          <w:szCs w:val="21"/>
        </w:rPr>
        <w:tab/>
      </w:r>
      <w:r w:rsidRPr="007067EB">
        <w:rPr>
          <w:rFonts w:ascii="Arial Hebrew" w:hAnsi="Arial Hebrew" w:cs="Arial Hebrew" w:hint="cs"/>
          <w:sz w:val="21"/>
          <w:szCs w:val="21"/>
        </w:rPr>
        <w:tab/>
      </w:r>
      <w:r w:rsidRPr="007067EB">
        <w:rPr>
          <w:rFonts w:ascii="Arial Hebrew" w:hAnsi="Arial Hebrew" w:cs="Arial Hebrew" w:hint="cs"/>
          <w:sz w:val="21"/>
          <w:szCs w:val="21"/>
        </w:rPr>
        <w:tab/>
        <w:t xml:space="preserve">      UNSW May 2025</w:t>
      </w:r>
    </w:p>
    <w:p w14:paraId="0F86823F" w14:textId="77777777" w:rsidR="00F23319" w:rsidRPr="007067EB" w:rsidRDefault="00F23319" w:rsidP="00F23319">
      <w:pPr>
        <w:pStyle w:val="Title"/>
        <w:rPr>
          <w:rFonts w:ascii="Arial Hebrew" w:hAnsi="Arial Hebrew" w:cs="Arial Hebrew" w:hint="cs"/>
          <w:b/>
          <w:bCs/>
          <w:sz w:val="28"/>
          <w:szCs w:val="28"/>
        </w:rPr>
      </w:pPr>
    </w:p>
    <w:p w14:paraId="363F7405" w14:textId="77777777" w:rsidR="00F23319" w:rsidRPr="007067EB" w:rsidRDefault="00F23319" w:rsidP="00F23319">
      <w:pPr>
        <w:pStyle w:val="Title"/>
        <w:rPr>
          <w:rFonts w:ascii="Arial Hebrew" w:hAnsi="Arial Hebrew" w:cs="Arial Hebrew" w:hint="cs"/>
          <w:b/>
          <w:bCs/>
          <w:sz w:val="28"/>
          <w:szCs w:val="28"/>
        </w:rPr>
      </w:pPr>
    </w:p>
    <w:p w14:paraId="3B52A215" w14:textId="77777777" w:rsidR="00F23319" w:rsidRPr="007067EB" w:rsidRDefault="00F23319" w:rsidP="00F23319">
      <w:pPr>
        <w:pStyle w:val="Title"/>
        <w:rPr>
          <w:rFonts w:ascii="Arial Hebrew" w:hAnsi="Arial Hebrew" w:cs="Arial Hebrew" w:hint="cs"/>
          <w:b/>
          <w:bCs/>
          <w:sz w:val="28"/>
          <w:szCs w:val="28"/>
        </w:rPr>
      </w:pPr>
      <w:r w:rsidRPr="007067EB">
        <w:rPr>
          <w:rFonts w:ascii="Arial Hebrew" w:hAnsi="Arial Hebrew" w:cs="Arial Hebrew" w:hint="cs"/>
          <w:b/>
          <w:bCs/>
          <w:sz w:val="28"/>
          <w:szCs w:val="28"/>
        </w:rPr>
        <w:t>A Global Trust Index for Sovereign &amp; Sub-Sovereign Assessments</w:t>
      </w:r>
    </w:p>
    <w:p w14:paraId="6C20D74B" w14:textId="77777777" w:rsidR="00F23319" w:rsidRPr="007067EB" w:rsidRDefault="00F23319" w:rsidP="00F23319">
      <w:pPr>
        <w:rPr>
          <w:rFonts w:ascii="Arial Hebrew" w:hAnsi="Arial Hebrew" w:cs="Arial Hebrew" w:hint="cs"/>
        </w:rPr>
      </w:pPr>
    </w:p>
    <w:p w14:paraId="42F04604" w14:textId="77777777" w:rsidR="00F23319" w:rsidRPr="007067EB" w:rsidRDefault="00F23319" w:rsidP="00F23319">
      <w:pPr>
        <w:rPr>
          <w:rFonts w:ascii="Arial Hebrew" w:hAnsi="Arial Hebrew" w:cs="Arial Hebrew" w:hint="cs"/>
        </w:rPr>
      </w:pPr>
    </w:p>
    <w:p w14:paraId="16BAE557" w14:textId="77777777" w:rsidR="00F23319" w:rsidRPr="007067EB" w:rsidRDefault="00F23319" w:rsidP="00F23319">
      <w:pPr>
        <w:rPr>
          <w:rFonts w:ascii="Arial Hebrew" w:hAnsi="Arial Hebrew" w:cs="Arial Hebrew" w:hint="cs"/>
        </w:rPr>
      </w:pPr>
    </w:p>
    <w:p w14:paraId="1AFD04F0" w14:textId="77777777" w:rsidR="00F23319" w:rsidRPr="007067EB" w:rsidRDefault="00F23319" w:rsidP="00F23319">
      <w:pPr>
        <w:pStyle w:val="Heading1"/>
        <w:rPr>
          <w:rFonts w:ascii="Arial Hebrew" w:hAnsi="Arial Hebrew" w:cs="Arial Hebrew" w:hint="cs"/>
          <w:sz w:val="26"/>
          <w:szCs w:val="26"/>
        </w:rPr>
      </w:pPr>
      <w:r w:rsidRPr="007067EB">
        <w:rPr>
          <w:rFonts w:ascii="Arial Hebrew" w:hAnsi="Arial Hebrew" w:cs="Arial Hebrew" w:hint="cs"/>
          <w:sz w:val="26"/>
          <w:szCs w:val="26"/>
        </w:rPr>
        <w:t>Introduction</w:t>
      </w:r>
    </w:p>
    <w:p w14:paraId="77B325DA" w14:textId="77777777" w:rsidR="00F23319" w:rsidRPr="007067EB" w:rsidRDefault="00F23319" w:rsidP="00F23319">
      <w:pPr>
        <w:spacing w:before="240" w:after="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 xml:space="preserve">The governing institutions of a country, region, or municipality express their effectiveness through the quality of public services that they deliver. Institutions translate policy into practice through planning, funding, implementing, and maintaining service operations that fulfil complex social and economic needs. Standards of public services enjoyed by different populations reflect the competence, reliability, adaptability, innovation, and accountability of their respective governments. The capacity of governments to deliver necessary services to individuals – both on a general basis and during individuals’ critical life-events – forms a basis for their popular legitimacy. Credit ratings agencies, in their assessments of sovereign and sub-sovereign borrowers, may reasonably consider the quality of government services to inform evaluations of institutional trustworthiness. </w:t>
      </w:r>
    </w:p>
    <w:p w14:paraId="2EC02504" w14:textId="77777777" w:rsidR="00F23319" w:rsidRPr="007067EB" w:rsidRDefault="00F23319" w:rsidP="00F23319">
      <w:pPr>
        <w:spacing w:after="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 xml:space="preserve">Digital transformation enables increasingly real-time monitoring of institutional performance. Digital public service platforms support the generation of voluminous data on service quality: objective metrics for processes and outcomes, and subjective metrics for user experience and trust. Measures of public service quality constructed from this data may be able to proxy as indicators for institutional credibility at the national, regional, and local levels of government. A benchmarking indicator that standardises the measurement of government service quality – leveraging data on user-experience and public trust – could be designed for use as an input in sovereign and sub-sovereign credit assessments. Such an indicator – a </w:t>
      </w:r>
      <w:r w:rsidRPr="007067EB">
        <w:rPr>
          <w:rFonts w:ascii="Arial Hebrew" w:hAnsi="Arial Hebrew" w:cs="Arial Hebrew" w:hint="cs"/>
          <w:b/>
          <w:bCs/>
          <w:i/>
          <w:iCs/>
          <w:sz w:val="20"/>
          <w:szCs w:val="20"/>
        </w:rPr>
        <w:t>global trust index</w:t>
      </w:r>
      <w:r w:rsidRPr="007067EB">
        <w:rPr>
          <w:rFonts w:ascii="Arial Hebrew" w:hAnsi="Arial Hebrew" w:cs="Arial Hebrew" w:hint="cs"/>
          <w:sz w:val="20"/>
          <w:szCs w:val="20"/>
        </w:rPr>
        <w:t xml:space="preserve"> – would be a statistic formally constructed to summarise quality and performance metrics across public-service portfolios of debt-issuing governments. The index would incorporate a systematic assessment of the trustworthiness of digital systems underlying government service provision, capturing an emerging element of critical institutional risk.</w:t>
      </w:r>
      <w:r w:rsidRPr="007067EB">
        <w:rPr>
          <w:rStyle w:val="FootnoteReference"/>
          <w:rFonts w:ascii="Arial Hebrew" w:hAnsi="Arial Hebrew" w:cs="Arial Hebrew" w:hint="cs"/>
          <w:sz w:val="20"/>
          <w:szCs w:val="20"/>
        </w:rPr>
        <w:footnoteReference w:id="1"/>
      </w:r>
      <w:r w:rsidRPr="007067EB">
        <w:rPr>
          <w:rFonts w:ascii="Arial Hebrew" w:hAnsi="Arial Hebrew" w:cs="Arial Hebrew" w:hint="cs"/>
          <w:sz w:val="20"/>
          <w:szCs w:val="20"/>
        </w:rPr>
        <w:t xml:space="preserve"> </w:t>
      </w:r>
    </w:p>
    <w:p w14:paraId="1C58D7DB" w14:textId="77777777" w:rsidR="00F23319" w:rsidRPr="007067EB" w:rsidRDefault="00F23319" w:rsidP="00F23319">
      <w:pPr>
        <w:spacing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 xml:space="preserve">This note will describe current assessment methodologies of the three major credit ratings agencies – Moody’s, Standard &amp; Poor’s, and Fitch – before considering the role that a global trust index could play in supporting credit assessments in the digital age.   </w:t>
      </w:r>
    </w:p>
    <w:p w14:paraId="175DB864" w14:textId="77777777" w:rsidR="00F23319" w:rsidRPr="007067EB" w:rsidRDefault="00F23319" w:rsidP="00F23319">
      <w:pPr>
        <w:pStyle w:val="Heading1"/>
        <w:spacing w:after="240"/>
        <w:rPr>
          <w:rFonts w:ascii="Arial Hebrew" w:hAnsi="Arial Hebrew" w:cs="Arial Hebrew" w:hint="cs"/>
          <w:sz w:val="26"/>
          <w:szCs w:val="26"/>
        </w:rPr>
      </w:pPr>
      <w:r w:rsidRPr="007067EB">
        <w:rPr>
          <w:rFonts w:ascii="Arial Hebrew" w:hAnsi="Arial Hebrew" w:cs="Arial Hebrew" w:hint="cs"/>
          <w:sz w:val="26"/>
          <w:szCs w:val="26"/>
        </w:rPr>
        <w:lastRenderedPageBreak/>
        <w:t>Assessment Frameworks</w:t>
      </w:r>
    </w:p>
    <w:p w14:paraId="017780EA" w14:textId="77777777" w:rsidR="00F23319" w:rsidRPr="007067EB" w:rsidRDefault="00F23319" w:rsidP="00F23319">
      <w:pPr>
        <w:spacing w:before="24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 xml:space="preserve">The three major credit ratings account for about 95% of credit ratings industry market share. These agencies categorise long-term debt instruments into </w:t>
      </w:r>
      <w:r w:rsidRPr="007067EB">
        <w:rPr>
          <w:rFonts w:ascii="Arial Hebrew" w:hAnsi="Arial Hebrew" w:cs="Arial Hebrew" w:hint="cs"/>
          <w:i/>
          <w:iCs/>
          <w:sz w:val="20"/>
          <w:szCs w:val="20"/>
        </w:rPr>
        <w:t xml:space="preserve">investment </w:t>
      </w:r>
      <w:r w:rsidRPr="007067EB">
        <w:rPr>
          <w:rFonts w:ascii="Arial Hebrew" w:hAnsi="Arial Hebrew" w:cs="Arial Hebrew" w:hint="cs"/>
          <w:sz w:val="20"/>
          <w:szCs w:val="20"/>
        </w:rPr>
        <w:t xml:space="preserve">(higher-price, lower-yield) and </w:t>
      </w:r>
      <w:r w:rsidRPr="007067EB">
        <w:rPr>
          <w:rFonts w:ascii="Arial Hebrew" w:hAnsi="Arial Hebrew" w:cs="Arial Hebrew" w:hint="cs"/>
          <w:i/>
          <w:iCs/>
          <w:sz w:val="20"/>
          <w:szCs w:val="20"/>
        </w:rPr>
        <w:t>speculative</w:t>
      </w:r>
      <w:r w:rsidRPr="007067EB">
        <w:rPr>
          <w:rFonts w:ascii="Arial Hebrew" w:hAnsi="Arial Hebrew" w:cs="Arial Hebrew" w:hint="cs"/>
          <w:sz w:val="20"/>
          <w:szCs w:val="20"/>
        </w:rPr>
        <w:t xml:space="preserve"> (lower-price, higher-yield) grades (</w:t>
      </w:r>
      <w:r w:rsidRPr="007067EB">
        <w:rPr>
          <w:rFonts w:ascii="Arial Hebrew" w:hAnsi="Arial Hebrew" w:cs="Arial Hebrew" w:hint="cs"/>
          <w:b/>
          <w:bCs/>
          <w:sz w:val="20"/>
          <w:szCs w:val="20"/>
        </w:rPr>
        <w:t>Table 1</w:t>
      </w:r>
      <w:r w:rsidRPr="007067EB">
        <w:rPr>
          <w:rFonts w:ascii="Arial Hebrew" w:hAnsi="Arial Hebrew" w:cs="Arial Hebrew" w:hint="cs"/>
          <w:sz w:val="20"/>
          <w:szCs w:val="20"/>
        </w:rPr>
        <w:t xml:space="preserve">). Major agency ratings significantly affect governments’ financing costs, with prices of bonds and credit default swaps highly sensitive to the potential of major agency upgrades or downgrades. In addition to assigning ratings to government debt-instruments, agencies may also assign a positive or negative </w:t>
      </w:r>
      <w:r w:rsidRPr="007067EB">
        <w:rPr>
          <w:rFonts w:ascii="Arial Hebrew" w:hAnsi="Arial Hebrew" w:cs="Arial Hebrew" w:hint="cs"/>
          <w:i/>
          <w:iCs/>
          <w:sz w:val="20"/>
          <w:szCs w:val="20"/>
        </w:rPr>
        <w:t>outlook</w:t>
      </w:r>
      <w:r w:rsidRPr="007067EB">
        <w:rPr>
          <w:rFonts w:ascii="Arial Hebrew" w:hAnsi="Arial Hebrew" w:cs="Arial Hebrew" w:hint="cs"/>
          <w:sz w:val="20"/>
          <w:szCs w:val="20"/>
        </w:rPr>
        <w:t xml:space="preserve"> in their assessments – indicating the direction of an expected future rating change. </w:t>
      </w:r>
      <w:r w:rsidRPr="007067EB">
        <w:rPr>
          <w:rFonts w:ascii="Arial Hebrew" w:hAnsi="Arial Hebrew" w:cs="Arial Hebrew" w:hint="cs"/>
          <w:b/>
          <w:bCs/>
          <w:sz w:val="20"/>
          <w:szCs w:val="20"/>
        </w:rPr>
        <w:t>Figures 1 and 2</w:t>
      </w:r>
      <w:r w:rsidRPr="007067EB">
        <w:rPr>
          <w:rFonts w:ascii="Arial Hebrew" w:hAnsi="Arial Hebrew" w:cs="Arial Hebrew" w:hint="cs"/>
          <w:sz w:val="20"/>
          <w:szCs w:val="20"/>
        </w:rPr>
        <w:t xml:space="preserve"> show sovereign ratings currently assigned by the three major agencies and their negative correlation to ten-year sovereign yield spreads. Agency ratings grades have here been converted into to a common scale, with fractional adjustments for </w:t>
      </w:r>
      <w:r w:rsidRPr="007067EB">
        <w:rPr>
          <w:rFonts w:ascii="Arial Hebrew" w:hAnsi="Arial Hebrew" w:cs="Arial Hebrew" w:hint="cs"/>
          <w:i/>
          <w:iCs/>
          <w:sz w:val="20"/>
          <w:szCs w:val="20"/>
        </w:rPr>
        <w:t xml:space="preserve">positive </w:t>
      </w:r>
      <w:r w:rsidRPr="007067EB">
        <w:rPr>
          <w:rFonts w:ascii="Arial Hebrew" w:hAnsi="Arial Hebrew" w:cs="Arial Hebrew" w:hint="cs"/>
          <w:sz w:val="20"/>
          <w:szCs w:val="20"/>
        </w:rPr>
        <w:t xml:space="preserve">and </w:t>
      </w:r>
      <w:r w:rsidRPr="007067EB">
        <w:rPr>
          <w:rFonts w:ascii="Arial Hebrew" w:hAnsi="Arial Hebrew" w:cs="Arial Hebrew" w:hint="cs"/>
          <w:i/>
          <w:iCs/>
          <w:sz w:val="20"/>
          <w:szCs w:val="20"/>
        </w:rPr>
        <w:t>negative</w:t>
      </w:r>
      <w:r w:rsidRPr="007067EB">
        <w:rPr>
          <w:rFonts w:ascii="Arial Hebrew" w:hAnsi="Arial Hebrew" w:cs="Arial Hebrew" w:hint="cs"/>
          <w:sz w:val="20"/>
          <w:szCs w:val="20"/>
        </w:rPr>
        <w:t xml:space="preserve"> outlooks. </w:t>
      </w:r>
    </w:p>
    <w:p w14:paraId="60994767" w14:textId="77777777" w:rsidR="00F23319" w:rsidRPr="007067EB" w:rsidRDefault="00F23319" w:rsidP="00F23319">
      <w:pPr>
        <w:spacing w:before="240" w:after="0"/>
        <w:jc w:val="center"/>
        <w:rPr>
          <w:rFonts w:ascii="Arial Hebrew" w:hAnsi="Arial Hebrew" w:cs="Arial Hebrew" w:hint="cs"/>
          <w:i/>
          <w:iCs/>
          <w:sz w:val="16"/>
          <w:szCs w:val="16"/>
        </w:rPr>
      </w:pPr>
      <w:r w:rsidRPr="007067EB">
        <w:rPr>
          <w:rFonts w:ascii="Arial Hebrew" w:hAnsi="Arial Hebrew" w:cs="Arial Hebrew" w:hint="cs"/>
          <w:b/>
          <w:bCs/>
          <w:i/>
          <w:iCs/>
          <w:sz w:val="16"/>
          <w:szCs w:val="16"/>
        </w:rPr>
        <w:t>Table 1.</w:t>
      </w:r>
      <w:r w:rsidRPr="007067EB">
        <w:rPr>
          <w:rFonts w:ascii="Arial Hebrew" w:hAnsi="Arial Hebrew" w:cs="Arial Hebrew" w:hint="cs"/>
          <w:i/>
          <w:iCs/>
          <w:sz w:val="16"/>
          <w:szCs w:val="16"/>
        </w:rPr>
        <w:t xml:space="preserve"> Ratings Agency Grades</w:t>
      </w:r>
    </w:p>
    <w:tbl>
      <w:tblPr>
        <w:tblStyle w:val="TableGrid"/>
        <w:tblW w:w="6096" w:type="dxa"/>
        <w:jc w:val="center"/>
        <w:tblLook w:val="04A0" w:firstRow="1" w:lastRow="0" w:firstColumn="1" w:lastColumn="0" w:noHBand="0" w:noVBand="1"/>
      </w:tblPr>
      <w:tblGrid>
        <w:gridCol w:w="945"/>
        <w:gridCol w:w="1465"/>
        <w:gridCol w:w="992"/>
        <w:gridCol w:w="993"/>
        <w:gridCol w:w="1701"/>
      </w:tblGrid>
      <w:tr w:rsidR="00F23319" w:rsidRPr="007067EB" w14:paraId="4071C60A" w14:textId="77777777" w:rsidTr="00CB238D">
        <w:trPr>
          <w:jc w:val="center"/>
        </w:trPr>
        <w:tc>
          <w:tcPr>
            <w:tcW w:w="945" w:type="dxa"/>
            <w:tcBorders>
              <w:top w:val="single" w:sz="4" w:space="0" w:color="auto"/>
              <w:left w:val="nil"/>
              <w:bottom w:val="single" w:sz="4" w:space="0" w:color="auto"/>
              <w:right w:val="nil"/>
            </w:tcBorders>
            <w:vAlign w:val="center"/>
          </w:tcPr>
          <w:p w14:paraId="735535AC"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Grade</w:t>
            </w:r>
          </w:p>
        </w:tc>
        <w:tc>
          <w:tcPr>
            <w:tcW w:w="1465" w:type="dxa"/>
            <w:tcBorders>
              <w:top w:val="single" w:sz="4" w:space="0" w:color="auto"/>
              <w:left w:val="nil"/>
              <w:bottom w:val="single" w:sz="4" w:space="0" w:color="auto"/>
              <w:right w:val="nil"/>
            </w:tcBorders>
            <w:vAlign w:val="center"/>
          </w:tcPr>
          <w:p w14:paraId="26F90B6F"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Description</w:t>
            </w:r>
          </w:p>
        </w:tc>
        <w:tc>
          <w:tcPr>
            <w:tcW w:w="992" w:type="dxa"/>
            <w:tcBorders>
              <w:top w:val="single" w:sz="4" w:space="0" w:color="auto"/>
              <w:left w:val="nil"/>
              <w:bottom w:val="single" w:sz="4" w:space="0" w:color="auto"/>
              <w:right w:val="nil"/>
            </w:tcBorders>
            <w:vAlign w:val="center"/>
          </w:tcPr>
          <w:p w14:paraId="3B387638"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S&amp;P / Fitch</w:t>
            </w:r>
          </w:p>
        </w:tc>
        <w:tc>
          <w:tcPr>
            <w:tcW w:w="993" w:type="dxa"/>
            <w:tcBorders>
              <w:top w:val="single" w:sz="4" w:space="0" w:color="auto"/>
              <w:left w:val="nil"/>
              <w:bottom w:val="single" w:sz="4" w:space="0" w:color="auto"/>
              <w:right w:val="nil"/>
            </w:tcBorders>
            <w:vAlign w:val="center"/>
          </w:tcPr>
          <w:p w14:paraId="001C1478"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Moody’s</w:t>
            </w:r>
          </w:p>
        </w:tc>
        <w:tc>
          <w:tcPr>
            <w:tcW w:w="1701" w:type="dxa"/>
            <w:tcBorders>
              <w:top w:val="single" w:sz="4" w:space="0" w:color="auto"/>
              <w:left w:val="nil"/>
              <w:bottom w:val="single" w:sz="4" w:space="0" w:color="auto"/>
              <w:right w:val="nil"/>
            </w:tcBorders>
            <w:vAlign w:val="center"/>
          </w:tcPr>
          <w:p w14:paraId="5049F611"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Countries (Averages)</w:t>
            </w:r>
          </w:p>
        </w:tc>
      </w:tr>
      <w:tr w:rsidR="00F23319" w:rsidRPr="007067EB" w14:paraId="3428DED8" w14:textId="77777777" w:rsidTr="00CB238D">
        <w:trPr>
          <w:jc w:val="center"/>
        </w:trPr>
        <w:tc>
          <w:tcPr>
            <w:tcW w:w="945" w:type="dxa"/>
            <w:vMerge w:val="restart"/>
            <w:tcBorders>
              <w:left w:val="nil"/>
              <w:bottom w:val="nil"/>
              <w:right w:val="nil"/>
            </w:tcBorders>
            <w:shd w:val="clear" w:color="auto" w:fill="CAEDFB" w:themeFill="accent4" w:themeFillTint="33"/>
            <w:vAlign w:val="center"/>
          </w:tcPr>
          <w:p w14:paraId="67C74A04"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Investment</w:t>
            </w:r>
          </w:p>
        </w:tc>
        <w:tc>
          <w:tcPr>
            <w:tcW w:w="1465" w:type="dxa"/>
            <w:tcBorders>
              <w:left w:val="nil"/>
              <w:bottom w:val="nil"/>
              <w:right w:val="nil"/>
            </w:tcBorders>
            <w:shd w:val="clear" w:color="auto" w:fill="CAEDFB" w:themeFill="accent4" w:themeFillTint="33"/>
            <w:vAlign w:val="center"/>
          </w:tcPr>
          <w:p w14:paraId="636F7A3B"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Prime</w:t>
            </w:r>
          </w:p>
        </w:tc>
        <w:tc>
          <w:tcPr>
            <w:tcW w:w="992" w:type="dxa"/>
            <w:tcBorders>
              <w:left w:val="nil"/>
              <w:bottom w:val="nil"/>
              <w:right w:val="nil"/>
            </w:tcBorders>
            <w:shd w:val="clear" w:color="auto" w:fill="CAEDFB" w:themeFill="accent4" w:themeFillTint="33"/>
            <w:vAlign w:val="center"/>
          </w:tcPr>
          <w:p w14:paraId="46B11029"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AAA</w:t>
            </w:r>
          </w:p>
        </w:tc>
        <w:tc>
          <w:tcPr>
            <w:tcW w:w="993" w:type="dxa"/>
            <w:tcBorders>
              <w:left w:val="nil"/>
              <w:bottom w:val="nil"/>
              <w:right w:val="nil"/>
            </w:tcBorders>
            <w:shd w:val="clear" w:color="auto" w:fill="CAEDFB" w:themeFill="accent4" w:themeFillTint="33"/>
            <w:vAlign w:val="center"/>
          </w:tcPr>
          <w:p w14:paraId="11C5CFDC" w14:textId="77777777" w:rsidR="00F23319" w:rsidRPr="007067EB" w:rsidRDefault="00F23319" w:rsidP="00CB238D">
            <w:pPr>
              <w:spacing w:after="0" w:line="240" w:lineRule="auto"/>
              <w:jc w:val="center"/>
              <w:rPr>
                <w:rFonts w:ascii="Arial Hebrew" w:hAnsi="Arial Hebrew" w:cs="Arial Hebrew" w:hint="cs"/>
                <w:sz w:val="13"/>
                <w:szCs w:val="13"/>
              </w:rPr>
            </w:pPr>
            <w:proofErr w:type="spellStart"/>
            <w:r w:rsidRPr="007067EB">
              <w:rPr>
                <w:rFonts w:ascii="Arial Hebrew" w:hAnsi="Arial Hebrew" w:cs="Arial Hebrew" w:hint="cs"/>
                <w:sz w:val="13"/>
                <w:szCs w:val="13"/>
              </w:rPr>
              <w:t>Aaa</w:t>
            </w:r>
            <w:proofErr w:type="spellEnd"/>
          </w:p>
        </w:tc>
        <w:tc>
          <w:tcPr>
            <w:tcW w:w="1701" w:type="dxa"/>
            <w:tcBorders>
              <w:left w:val="nil"/>
              <w:bottom w:val="nil"/>
              <w:right w:val="nil"/>
            </w:tcBorders>
          </w:tcPr>
          <w:p w14:paraId="6CC3F207"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00F44985"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1EF9D851"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val="restart"/>
            <w:tcBorders>
              <w:top w:val="nil"/>
              <w:left w:val="nil"/>
              <w:bottom w:val="nil"/>
              <w:right w:val="nil"/>
            </w:tcBorders>
            <w:shd w:val="clear" w:color="auto" w:fill="DEF3FB"/>
            <w:vAlign w:val="center"/>
          </w:tcPr>
          <w:p w14:paraId="71EC58B7"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High Medium Grade</w:t>
            </w:r>
          </w:p>
        </w:tc>
        <w:tc>
          <w:tcPr>
            <w:tcW w:w="992" w:type="dxa"/>
            <w:tcBorders>
              <w:top w:val="nil"/>
              <w:left w:val="nil"/>
              <w:bottom w:val="nil"/>
              <w:right w:val="nil"/>
            </w:tcBorders>
            <w:shd w:val="clear" w:color="auto" w:fill="DEF3FB"/>
            <w:vAlign w:val="center"/>
          </w:tcPr>
          <w:p w14:paraId="131454A7"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0E003B00"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Aa1</w:t>
            </w:r>
          </w:p>
        </w:tc>
        <w:tc>
          <w:tcPr>
            <w:tcW w:w="1701" w:type="dxa"/>
            <w:tcBorders>
              <w:top w:val="nil"/>
              <w:left w:val="nil"/>
              <w:bottom w:val="nil"/>
              <w:right w:val="nil"/>
            </w:tcBorders>
          </w:tcPr>
          <w:p w14:paraId="39E4288C"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7FDC4D34"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36B531CF"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DEF3FB"/>
            <w:vAlign w:val="center"/>
          </w:tcPr>
          <w:p w14:paraId="60449868"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DEF3FB"/>
            <w:vAlign w:val="center"/>
          </w:tcPr>
          <w:p w14:paraId="4297BAA7"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51E06F96"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Aa2</w:t>
            </w:r>
          </w:p>
        </w:tc>
        <w:tc>
          <w:tcPr>
            <w:tcW w:w="1701" w:type="dxa"/>
            <w:tcBorders>
              <w:top w:val="nil"/>
              <w:left w:val="nil"/>
              <w:bottom w:val="nil"/>
              <w:right w:val="nil"/>
            </w:tcBorders>
          </w:tcPr>
          <w:p w14:paraId="2A259BF2"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2A7C4D70"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418AD03B"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DEF3FB"/>
            <w:vAlign w:val="center"/>
          </w:tcPr>
          <w:p w14:paraId="05634985"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DEF3FB"/>
            <w:vAlign w:val="center"/>
          </w:tcPr>
          <w:p w14:paraId="4D081DE0"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4B6EFACF"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Aa3</w:t>
            </w:r>
          </w:p>
        </w:tc>
        <w:tc>
          <w:tcPr>
            <w:tcW w:w="1701" w:type="dxa"/>
            <w:tcBorders>
              <w:top w:val="nil"/>
              <w:left w:val="nil"/>
              <w:bottom w:val="nil"/>
              <w:right w:val="nil"/>
            </w:tcBorders>
          </w:tcPr>
          <w:p w14:paraId="7B98A845"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239E4DE5"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7DB38A97"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val="restart"/>
            <w:tcBorders>
              <w:top w:val="nil"/>
              <w:left w:val="nil"/>
              <w:bottom w:val="nil"/>
              <w:right w:val="nil"/>
            </w:tcBorders>
            <w:shd w:val="clear" w:color="auto" w:fill="EEF8FB"/>
            <w:vAlign w:val="center"/>
          </w:tcPr>
          <w:p w14:paraId="6BD8B8F1"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Upper Medium Grade</w:t>
            </w:r>
          </w:p>
        </w:tc>
        <w:tc>
          <w:tcPr>
            <w:tcW w:w="992" w:type="dxa"/>
            <w:tcBorders>
              <w:top w:val="nil"/>
              <w:left w:val="nil"/>
              <w:bottom w:val="nil"/>
              <w:right w:val="nil"/>
            </w:tcBorders>
            <w:shd w:val="clear" w:color="auto" w:fill="EEF8FB"/>
            <w:vAlign w:val="center"/>
          </w:tcPr>
          <w:p w14:paraId="743BD994"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3716EF7D"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A1</w:t>
            </w:r>
          </w:p>
        </w:tc>
        <w:tc>
          <w:tcPr>
            <w:tcW w:w="1701" w:type="dxa"/>
            <w:tcBorders>
              <w:top w:val="nil"/>
              <w:left w:val="nil"/>
              <w:bottom w:val="nil"/>
              <w:right w:val="nil"/>
            </w:tcBorders>
          </w:tcPr>
          <w:p w14:paraId="05EE5778"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1AF32BE2"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0B1EFF9E"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EEF8FB"/>
            <w:vAlign w:val="center"/>
          </w:tcPr>
          <w:p w14:paraId="3F41176E"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EEF8FB"/>
            <w:vAlign w:val="center"/>
          </w:tcPr>
          <w:p w14:paraId="3F2CB84B"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31A6ED37"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A2</w:t>
            </w:r>
          </w:p>
        </w:tc>
        <w:tc>
          <w:tcPr>
            <w:tcW w:w="1701" w:type="dxa"/>
            <w:tcBorders>
              <w:top w:val="nil"/>
              <w:left w:val="nil"/>
              <w:bottom w:val="nil"/>
              <w:right w:val="nil"/>
            </w:tcBorders>
          </w:tcPr>
          <w:p w14:paraId="6BE713E5"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69554050"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7DE741F5"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EEF8FB"/>
            <w:vAlign w:val="center"/>
          </w:tcPr>
          <w:p w14:paraId="2BDA516F"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EEF8FB"/>
            <w:vAlign w:val="center"/>
          </w:tcPr>
          <w:p w14:paraId="7172EBB5"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60C97D88"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A3</w:t>
            </w:r>
          </w:p>
        </w:tc>
        <w:tc>
          <w:tcPr>
            <w:tcW w:w="1701" w:type="dxa"/>
            <w:tcBorders>
              <w:top w:val="nil"/>
              <w:left w:val="nil"/>
              <w:bottom w:val="nil"/>
              <w:right w:val="nil"/>
            </w:tcBorders>
          </w:tcPr>
          <w:p w14:paraId="2CE1B122"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4F2A4659"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06912A89"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val="restart"/>
            <w:tcBorders>
              <w:top w:val="nil"/>
              <w:left w:val="nil"/>
              <w:bottom w:val="nil"/>
              <w:right w:val="nil"/>
            </w:tcBorders>
            <w:shd w:val="clear" w:color="auto" w:fill="F7FAFB"/>
            <w:vAlign w:val="center"/>
          </w:tcPr>
          <w:p w14:paraId="0A198BB6"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Lower Medium Grade</w:t>
            </w:r>
          </w:p>
        </w:tc>
        <w:tc>
          <w:tcPr>
            <w:tcW w:w="992" w:type="dxa"/>
            <w:tcBorders>
              <w:top w:val="nil"/>
              <w:left w:val="nil"/>
              <w:bottom w:val="nil"/>
              <w:right w:val="nil"/>
            </w:tcBorders>
            <w:shd w:val="clear" w:color="auto" w:fill="F7FAFB"/>
            <w:vAlign w:val="center"/>
          </w:tcPr>
          <w:p w14:paraId="1111729A"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BBB+</w:t>
            </w:r>
          </w:p>
        </w:tc>
        <w:tc>
          <w:tcPr>
            <w:tcW w:w="993" w:type="dxa"/>
            <w:tcBorders>
              <w:top w:val="nil"/>
              <w:left w:val="nil"/>
              <w:bottom w:val="nil"/>
              <w:right w:val="nil"/>
            </w:tcBorders>
            <w:shd w:val="clear" w:color="auto" w:fill="F7FAFB"/>
            <w:vAlign w:val="center"/>
          </w:tcPr>
          <w:p w14:paraId="65663B3C"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Baa1</w:t>
            </w:r>
          </w:p>
        </w:tc>
        <w:tc>
          <w:tcPr>
            <w:tcW w:w="1701" w:type="dxa"/>
            <w:tcBorders>
              <w:top w:val="nil"/>
              <w:left w:val="nil"/>
              <w:bottom w:val="nil"/>
              <w:right w:val="nil"/>
            </w:tcBorders>
          </w:tcPr>
          <w:p w14:paraId="1DFB5CF8"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155EFAC1" w14:textId="77777777" w:rsidTr="00CB238D">
        <w:trPr>
          <w:jc w:val="center"/>
        </w:trPr>
        <w:tc>
          <w:tcPr>
            <w:tcW w:w="945" w:type="dxa"/>
            <w:vMerge/>
            <w:tcBorders>
              <w:top w:val="nil"/>
              <w:left w:val="nil"/>
              <w:bottom w:val="nil"/>
              <w:right w:val="nil"/>
            </w:tcBorders>
            <w:shd w:val="clear" w:color="auto" w:fill="CAEDFB" w:themeFill="accent4" w:themeFillTint="33"/>
            <w:vAlign w:val="center"/>
          </w:tcPr>
          <w:p w14:paraId="23D99D46"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7FAFB"/>
            <w:vAlign w:val="center"/>
          </w:tcPr>
          <w:p w14:paraId="6E735135"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7FAFB"/>
            <w:vAlign w:val="center"/>
          </w:tcPr>
          <w:p w14:paraId="58FF42BB"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BBB</w:t>
            </w:r>
          </w:p>
        </w:tc>
        <w:tc>
          <w:tcPr>
            <w:tcW w:w="993" w:type="dxa"/>
            <w:tcBorders>
              <w:top w:val="nil"/>
              <w:left w:val="nil"/>
              <w:bottom w:val="nil"/>
              <w:right w:val="nil"/>
            </w:tcBorders>
            <w:shd w:val="clear" w:color="auto" w:fill="F7FAFB"/>
            <w:vAlign w:val="center"/>
          </w:tcPr>
          <w:p w14:paraId="53AFF01A"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Baa2</w:t>
            </w:r>
          </w:p>
        </w:tc>
        <w:tc>
          <w:tcPr>
            <w:tcW w:w="1701" w:type="dxa"/>
            <w:tcBorders>
              <w:top w:val="nil"/>
              <w:left w:val="nil"/>
              <w:bottom w:val="nil"/>
              <w:right w:val="nil"/>
            </w:tcBorders>
          </w:tcPr>
          <w:p w14:paraId="1F9AEC11"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7EA799FA" w14:textId="77777777" w:rsidTr="00CB238D">
        <w:trPr>
          <w:jc w:val="center"/>
        </w:trPr>
        <w:tc>
          <w:tcPr>
            <w:tcW w:w="945" w:type="dxa"/>
            <w:vMerge/>
            <w:tcBorders>
              <w:top w:val="nil"/>
              <w:left w:val="nil"/>
              <w:bottom w:val="single" w:sz="2" w:space="0" w:color="ADADAD" w:themeColor="background2" w:themeShade="BF"/>
              <w:right w:val="nil"/>
            </w:tcBorders>
            <w:shd w:val="clear" w:color="auto" w:fill="CAEDFB" w:themeFill="accent4" w:themeFillTint="33"/>
            <w:vAlign w:val="center"/>
          </w:tcPr>
          <w:p w14:paraId="77C688E3"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single" w:sz="2" w:space="0" w:color="ADADAD" w:themeColor="background2" w:themeShade="BF"/>
              <w:right w:val="nil"/>
            </w:tcBorders>
            <w:shd w:val="clear" w:color="auto" w:fill="F7FAFB"/>
            <w:vAlign w:val="center"/>
          </w:tcPr>
          <w:p w14:paraId="167E774F"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single" w:sz="2" w:space="0" w:color="ADADAD" w:themeColor="background2" w:themeShade="BF"/>
              <w:right w:val="nil"/>
            </w:tcBorders>
            <w:shd w:val="clear" w:color="auto" w:fill="F7FAFB"/>
            <w:vAlign w:val="center"/>
          </w:tcPr>
          <w:p w14:paraId="0CB3DB82"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BBB-</w:t>
            </w:r>
          </w:p>
        </w:tc>
        <w:tc>
          <w:tcPr>
            <w:tcW w:w="993" w:type="dxa"/>
            <w:tcBorders>
              <w:top w:val="nil"/>
              <w:left w:val="nil"/>
              <w:bottom w:val="single" w:sz="2" w:space="0" w:color="ADADAD" w:themeColor="background2" w:themeShade="BF"/>
              <w:right w:val="nil"/>
            </w:tcBorders>
            <w:shd w:val="clear" w:color="auto" w:fill="F7FAFB"/>
            <w:vAlign w:val="center"/>
          </w:tcPr>
          <w:p w14:paraId="6AF8BA7A"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Baa3</w:t>
            </w:r>
          </w:p>
        </w:tc>
        <w:tc>
          <w:tcPr>
            <w:tcW w:w="1701" w:type="dxa"/>
            <w:tcBorders>
              <w:top w:val="nil"/>
              <w:left w:val="nil"/>
              <w:bottom w:val="single" w:sz="2" w:space="0" w:color="ADADAD" w:themeColor="background2" w:themeShade="BF"/>
              <w:right w:val="nil"/>
            </w:tcBorders>
          </w:tcPr>
          <w:p w14:paraId="6316D99F"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3AE469AE" w14:textId="77777777" w:rsidTr="00CB238D">
        <w:trPr>
          <w:jc w:val="center"/>
        </w:trPr>
        <w:tc>
          <w:tcPr>
            <w:tcW w:w="945" w:type="dxa"/>
            <w:vMerge w:val="restart"/>
            <w:tcBorders>
              <w:top w:val="single" w:sz="2" w:space="0" w:color="ADADAD" w:themeColor="background2" w:themeShade="BF"/>
              <w:left w:val="nil"/>
              <w:bottom w:val="nil"/>
              <w:right w:val="nil"/>
            </w:tcBorders>
            <w:shd w:val="clear" w:color="auto" w:fill="FFDBFE"/>
            <w:vAlign w:val="center"/>
          </w:tcPr>
          <w:p w14:paraId="7ECAF744"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Speculative</w:t>
            </w:r>
          </w:p>
        </w:tc>
        <w:tc>
          <w:tcPr>
            <w:tcW w:w="1465" w:type="dxa"/>
            <w:vMerge w:val="restart"/>
            <w:tcBorders>
              <w:top w:val="single" w:sz="2" w:space="0" w:color="ADADAD" w:themeColor="background2" w:themeShade="BF"/>
              <w:left w:val="nil"/>
              <w:bottom w:val="nil"/>
              <w:right w:val="nil"/>
            </w:tcBorders>
            <w:shd w:val="clear" w:color="auto" w:fill="FFF8FF"/>
            <w:vAlign w:val="center"/>
          </w:tcPr>
          <w:p w14:paraId="4B7CD7AD"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Speculative</w:t>
            </w:r>
          </w:p>
        </w:tc>
        <w:tc>
          <w:tcPr>
            <w:tcW w:w="992" w:type="dxa"/>
            <w:tcBorders>
              <w:top w:val="single" w:sz="2" w:space="0" w:color="ADADAD" w:themeColor="background2" w:themeShade="BF"/>
              <w:left w:val="nil"/>
              <w:bottom w:val="nil"/>
              <w:right w:val="nil"/>
            </w:tcBorders>
            <w:shd w:val="clear" w:color="auto" w:fill="FFF8FF"/>
            <w:vAlign w:val="center"/>
          </w:tcPr>
          <w:p w14:paraId="0F6AD7F3"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BB+</w:t>
            </w:r>
          </w:p>
        </w:tc>
        <w:tc>
          <w:tcPr>
            <w:tcW w:w="993" w:type="dxa"/>
            <w:tcBorders>
              <w:top w:val="single" w:sz="2" w:space="0" w:color="ADADAD" w:themeColor="background2" w:themeShade="BF"/>
              <w:left w:val="nil"/>
              <w:bottom w:val="nil"/>
              <w:right w:val="nil"/>
            </w:tcBorders>
            <w:shd w:val="clear" w:color="auto" w:fill="FFF8FF"/>
            <w:vAlign w:val="center"/>
          </w:tcPr>
          <w:p w14:paraId="10EB3F6D"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Ba1</w:t>
            </w:r>
          </w:p>
        </w:tc>
        <w:tc>
          <w:tcPr>
            <w:tcW w:w="1701" w:type="dxa"/>
            <w:tcBorders>
              <w:top w:val="single" w:sz="2" w:space="0" w:color="ADADAD" w:themeColor="background2" w:themeShade="BF"/>
              <w:left w:val="nil"/>
              <w:bottom w:val="nil"/>
              <w:right w:val="nil"/>
            </w:tcBorders>
          </w:tcPr>
          <w:p w14:paraId="2BECEA47"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0A879BB4" w14:textId="77777777" w:rsidTr="00CB238D">
        <w:trPr>
          <w:jc w:val="center"/>
        </w:trPr>
        <w:tc>
          <w:tcPr>
            <w:tcW w:w="945" w:type="dxa"/>
            <w:vMerge/>
            <w:tcBorders>
              <w:top w:val="nil"/>
              <w:left w:val="nil"/>
              <w:bottom w:val="nil"/>
              <w:right w:val="nil"/>
            </w:tcBorders>
            <w:shd w:val="clear" w:color="auto" w:fill="FFDBFE"/>
            <w:vAlign w:val="center"/>
          </w:tcPr>
          <w:p w14:paraId="67B7016A"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FF8FF"/>
            <w:vAlign w:val="center"/>
          </w:tcPr>
          <w:p w14:paraId="72BE2B1A"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FF8FF"/>
            <w:vAlign w:val="center"/>
          </w:tcPr>
          <w:p w14:paraId="04887E5C"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BB</w:t>
            </w:r>
          </w:p>
        </w:tc>
        <w:tc>
          <w:tcPr>
            <w:tcW w:w="993" w:type="dxa"/>
            <w:tcBorders>
              <w:top w:val="nil"/>
              <w:left w:val="nil"/>
              <w:bottom w:val="nil"/>
              <w:right w:val="nil"/>
            </w:tcBorders>
            <w:shd w:val="clear" w:color="auto" w:fill="FFF8FF"/>
            <w:vAlign w:val="center"/>
          </w:tcPr>
          <w:p w14:paraId="036430EB"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Ba2</w:t>
            </w:r>
          </w:p>
        </w:tc>
        <w:tc>
          <w:tcPr>
            <w:tcW w:w="1701" w:type="dxa"/>
            <w:tcBorders>
              <w:top w:val="nil"/>
              <w:left w:val="nil"/>
              <w:bottom w:val="nil"/>
              <w:right w:val="nil"/>
            </w:tcBorders>
          </w:tcPr>
          <w:p w14:paraId="35B56244"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p>
        </w:tc>
      </w:tr>
      <w:tr w:rsidR="00F23319" w:rsidRPr="007067EB" w14:paraId="6D697797" w14:textId="77777777" w:rsidTr="00CB238D">
        <w:trPr>
          <w:jc w:val="center"/>
        </w:trPr>
        <w:tc>
          <w:tcPr>
            <w:tcW w:w="945" w:type="dxa"/>
            <w:vMerge/>
            <w:tcBorders>
              <w:top w:val="nil"/>
              <w:left w:val="nil"/>
              <w:bottom w:val="nil"/>
              <w:right w:val="nil"/>
            </w:tcBorders>
            <w:shd w:val="clear" w:color="auto" w:fill="FFDBFE"/>
            <w:vAlign w:val="center"/>
          </w:tcPr>
          <w:p w14:paraId="0F6D096F"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FF8FF"/>
            <w:vAlign w:val="center"/>
          </w:tcPr>
          <w:p w14:paraId="650F8DE9"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FF8FF"/>
            <w:vAlign w:val="center"/>
          </w:tcPr>
          <w:p w14:paraId="20C41264"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BB-</w:t>
            </w:r>
          </w:p>
        </w:tc>
        <w:tc>
          <w:tcPr>
            <w:tcW w:w="993" w:type="dxa"/>
            <w:tcBorders>
              <w:top w:val="nil"/>
              <w:left w:val="nil"/>
              <w:bottom w:val="nil"/>
              <w:right w:val="nil"/>
            </w:tcBorders>
            <w:shd w:val="clear" w:color="auto" w:fill="FFF8FF"/>
            <w:vAlign w:val="center"/>
          </w:tcPr>
          <w:p w14:paraId="1D024BA4"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Ba3</w:t>
            </w:r>
          </w:p>
        </w:tc>
        <w:tc>
          <w:tcPr>
            <w:tcW w:w="1701" w:type="dxa"/>
            <w:tcBorders>
              <w:top w:val="nil"/>
              <w:left w:val="nil"/>
              <w:bottom w:val="nil"/>
              <w:right w:val="nil"/>
            </w:tcBorders>
          </w:tcPr>
          <w:p w14:paraId="7C1C86BA"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4BAAA992" w14:textId="77777777" w:rsidTr="00CB238D">
        <w:trPr>
          <w:jc w:val="center"/>
        </w:trPr>
        <w:tc>
          <w:tcPr>
            <w:tcW w:w="945" w:type="dxa"/>
            <w:vMerge/>
            <w:tcBorders>
              <w:top w:val="nil"/>
              <w:left w:val="nil"/>
              <w:bottom w:val="nil"/>
              <w:right w:val="nil"/>
            </w:tcBorders>
            <w:shd w:val="clear" w:color="auto" w:fill="FFDBFE"/>
            <w:vAlign w:val="center"/>
          </w:tcPr>
          <w:p w14:paraId="021DDCF6"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val="restart"/>
            <w:tcBorders>
              <w:top w:val="nil"/>
              <w:left w:val="nil"/>
              <w:bottom w:val="nil"/>
              <w:right w:val="nil"/>
            </w:tcBorders>
            <w:shd w:val="clear" w:color="auto" w:fill="FFEEFF"/>
            <w:vAlign w:val="center"/>
          </w:tcPr>
          <w:p w14:paraId="4EB27BA5"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Highly Speculative</w:t>
            </w:r>
          </w:p>
        </w:tc>
        <w:tc>
          <w:tcPr>
            <w:tcW w:w="992" w:type="dxa"/>
            <w:tcBorders>
              <w:top w:val="nil"/>
              <w:left w:val="nil"/>
              <w:bottom w:val="nil"/>
              <w:right w:val="nil"/>
            </w:tcBorders>
            <w:shd w:val="clear" w:color="auto" w:fill="FFEEFF"/>
            <w:vAlign w:val="center"/>
          </w:tcPr>
          <w:p w14:paraId="303E3E37"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5EE58338"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B1</w:t>
            </w:r>
          </w:p>
        </w:tc>
        <w:tc>
          <w:tcPr>
            <w:tcW w:w="1701" w:type="dxa"/>
            <w:tcBorders>
              <w:top w:val="nil"/>
              <w:left w:val="nil"/>
              <w:bottom w:val="nil"/>
              <w:right w:val="nil"/>
            </w:tcBorders>
          </w:tcPr>
          <w:p w14:paraId="25E7E0E0"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p>
        </w:tc>
      </w:tr>
      <w:tr w:rsidR="00F23319" w:rsidRPr="007067EB" w14:paraId="5CCB8B44" w14:textId="77777777" w:rsidTr="00CB238D">
        <w:trPr>
          <w:jc w:val="center"/>
        </w:trPr>
        <w:tc>
          <w:tcPr>
            <w:tcW w:w="945" w:type="dxa"/>
            <w:vMerge/>
            <w:tcBorders>
              <w:top w:val="nil"/>
              <w:left w:val="nil"/>
              <w:bottom w:val="nil"/>
              <w:right w:val="nil"/>
            </w:tcBorders>
            <w:shd w:val="clear" w:color="auto" w:fill="FFDBFE"/>
            <w:vAlign w:val="center"/>
          </w:tcPr>
          <w:p w14:paraId="6D3828B8"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FEEFF"/>
            <w:vAlign w:val="center"/>
          </w:tcPr>
          <w:p w14:paraId="1E7EFD27"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FEEFF"/>
            <w:vAlign w:val="center"/>
          </w:tcPr>
          <w:p w14:paraId="08C280A3"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28CD9AEC"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B2</w:t>
            </w:r>
          </w:p>
        </w:tc>
        <w:tc>
          <w:tcPr>
            <w:tcW w:w="1701" w:type="dxa"/>
            <w:tcBorders>
              <w:top w:val="nil"/>
              <w:left w:val="nil"/>
              <w:bottom w:val="nil"/>
              <w:right w:val="nil"/>
            </w:tcBorders>
          </w:tcPr>
          <w:p w14:paraId="72BD21EE"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p>
        </w:tc>
      </w:tr>
      <w:tr w:rsidR="00F23319" w:rsidRPr="007067EB" w14:paraId="0F8A0D50" w14:textId="77777777" w:rsidTr="00CB238D">
        <w:trPr>
          <w:jc w:val="center"/>
        </w:trPr>
        <w:tc>
          <w:tcPr>
            <w:tcW w:w="945" w:type="dxa"/>
            <w:vMerge/>
            <w:tcBorders>
              <w:top w:val="nil"/>
              <w:left w:val="nil"/>
              <w:bottom w:val="nil"/>
              <w:right w:val="nil"/>
            </w:tcBorders>
            <w:shd w:val="clear" w:color="auto" w:fill="FFDBFE"/>
            <w:vAlign w:val="center"/>
          </w:tcPr>
          <w:p w14:paraId="07AA8773"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FEEFF"/>
            <w:vAlign w:val="center"/>
          </w:tcPr>
          <w:p w14:paraId="341AEECA"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FEEFF"/>
            <w:vAlign w:val="center"/>
          </w:tcPr>
          <w:p w14:paraId="08479513"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3D2EBDA3"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B3</w:t>
            </w:r>
          </w:p>
        </w:tc>
        <w:tc>
          <w:tcPr>
            <w:tcW w:w="1701" w:type="dxa"/>
            <w:tcBorders>
              <w:top w:val="nil"/>
              <w:left w:val="nil"/>
              <w:bottom w:val="nil"/>
              <w:right w:val="nil"/>
            </w:tcBorders>
          </w:tcPr>
          <w:p w14:paraId="452DF7D9"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656DDA72" w14:textId="77777777" w:rsidTr="00CB238D">
        <w:trPr>
          <w:jc w:val="center"/>
        </w:trPr>
        <w:tc>
          <w:tcPr>
            <w:tcW w:w="945" w:type="dxa"/>
            <w:vMerge/>
            <w:tcBorders>
              <w:top w:val="nil"/>
              <w:left w:val="nil"/>
              <w:bottom w:val="nil"/>
              <w:right w:val="nil"/>
            </w:tcBorders>
            <w:shd w:val="clear" w:color="auto" w:fill="FFDBFE"/>
            <w:vAlign w:val="center"/>
          </w:tcPr>
          <w:p w14:paraId="3E2D627F"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val="restart"/>
            <w:tcBorders>
              <w:top w:val="nil"/>
              <w:left w:val="nil"/>
              <w:bottom w:val="nil"/>
              <w:right w:val="nil"/>
            </w:tcBorders>
            <w:shd w:val="clear" w:color="auto" w:fill="FFE6FF"/>
            <w:vAlign w:val="center"/>
          </w:tcPr>
          <w:p w14:paraId="6E2870F5"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Substantial Risk</w:t>
            </w:r>
          </w:p>
        </w:tc>
        <w:tc>
          <w:tcPr>
            <w:tcW w:w="992" w:type="dxa"/>
            <w:tcBorders>
              <w:top w:val="nil"/>
              <w:left w:val="nil"/>
              <w:bottom w:val="nil"/>
              <w:right w:val="nil"/>
            </w:tcBorders>
            <w:shd w:val="clear" w:color="auto" w:fill="FFE6FF"/>
            <w:vAlign w:val="center"/>
          </w:tcPr>
          <w:p w14:paraId="20826A81"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463CA84F"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Caa1</w:t>
            </w:r>
          </w:p>
        </w:tc>
        <w:tc>
          <w:tcPr>
            <w:tcW w:w="1701" w:type="dxa"/>
            <w:tcBorders>
              <w:top w:val="nil"/>
              <w:left w:val="nil"/>
              <w:bottom w:val="nil"/>
              <w:right w:val="nil"/>
            </w:tcBorders>
          </w:tcPr>
          <w:p w14:paraId="2011C98D"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p>
        </w:tc>
      </w:tr>
      <w:tr w:rsidR="00F23319" w:rsidRPr="007067EB" w14:paraId="613D3C45" w14:textId="77777777" w:rsidTr="00CB238D">
        <w:trPr>
          <w:jc w:val="center"/>
        </w:trPr>
        <w:tc>
          <w:tcPr>
            <w:tcW w:w="945" w:type="dxa"/>
            <w:vMerge/>
            <w:tcBorders>
              <w:top w:val="nil"/>
              <w:left w:val="nil"/>
              <w:bottom w:val="nil"/>
              <w:right w:val="nil"/>
            </w:tcBorders>
            <w:shd w:val="clear" w:color="auto" w:fill="FFDBFE"/>
            <w:vAlign w:val="center"/>
          </w:tcPr>
          <w:p w14:paraId="42623868"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FE6FF"/>
            <w:vAlign w:val="center"/>
          </w:tcPr>
          <w:p w14:paraId="4D1AC453"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FE6FF"/>
            <w:vAlign w:val="center"/>
          </w:tcPr>
          <w:p w14:paraId="16EA7620"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3BC27886"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Caa2</w:t>
            </w:r>
          </w:p>
        </w:tc>
        <w:tc>
          <w:tcPr>
            <w:tcW w:w="1701" w:type="dxa"/>
            <w:tcBorders>
              <w:top w:val="nil"/>
              <w:left w:val="nil"/>
              <w:bottom w:val="nil"/>
              <w:right w:val="nil"/>
            </w:tcBorders>
          </w:tcPr>
          <w:p w14:paraId="2E9690C9" w14:textId="77777777" w:rsidR="00F23319" w:rsidRPr="007067EB" w:rsidRDefault="00F23319" w:rsidP="00CB238D">
            <w:pPr>
              <w:spacing w:after="0" w:line="240" w:lineRule="auto"/>
              <w:rPr>
                <w:rFonts w:ascii="Arial Hebrew" w:hAnsi="Arial Hebrew" w:cs="Arial Hebrew" w:hint="cs"/>
                <w:sz w:val="13"/>
                <w:szCs w:val="13"/>
              </w:rPr>
            </w:pPr>
          </w:p>
        </w:tc>
      </w:tr>
      <w:tr w:rsidR="00F23319" w:rsidRPr="007067EB" w14:paraId="5AAFCBC8" w14:textId="77777777" w:rsidTr="00CB238D">
        <w:trPr>
          <w:jc w:val="center"/>
        </w:trPr>
        <w:tc>
          <w:tcPr>
            <w:tcW w:w="945" w:type="dxa"/>
            <w:vMerge/>
            <w:tcBorders>
              <w:top w:val="nil"/>
              <w:left w:val="nil"/>
              <w:bottom w:val="nil"/>
              <w:right w:val="nil"/>
            </w:tcBorders>
            <w:shd w:val="clear" w:color="auto" w:fill="FFDBFE"/>
            <w:vAlign w:val="center"/>
          </w:tcPr>
          <w:p w14:paraId="053E0753"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FE6FF"/>
            <w:vAlign w:val="center"/>
          </w:tcPr>
          <w:p w14:paraId="37ABAFFA"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FE6FF"/>
            <w:vAlign w:val="center"/>
          </w:tcPr>
          <w:p w14:paraId="508AE5D5"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7B9FF850"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Caa3</w:t>
            </w:r>
          </w:p>
        </w:tc>
        <w:tc>
          <w:tcPr>
            <w:tcW w:w="1701" w:type="dxa"/>
            <w:tcBorders>
              <w:top w:val="nil"/>
              <w:left w:val="nil"/>
              <w:bottom w:val="nil"/>
              <w:right w:val="nil"/>
            </w:tcBorders>
          </w:tcPr>
          <w:p w14:paraId="43061065"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p>
        </w:tc>
      </w:tr>
      <w:tr w:rsidR="00F23319" w:rsidRPr="007067EB" w14:paraId="3104FFFC" w14:textId="77777777" w:rsidTr="00CB238D">
        <w:trPr>
          <w:jc w:val="center"/>
        </w:trPr>
        <w:tc>
          <w:tcPr>
            <w:tcW w:w="945" w:type="dxa"/>
            <w:vMerge/>
            <w:tcBorders>
              <w:top w:val="nil"/>
              <w:left w:val="nil"/>
              <w:bottom w:val="nil"/>
              <w:right w:val="nil"/>
            </w:tcBorders>
            <w:shd w:val="clear" w:color="auto" w:fill="FFDBFE"/>
            <w:vAlign w:val="center"/>
          </w:tcPr>
          <w:p w14:paraId="25299060"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val="restart"/>
            <w:tcBorders>
              <w:top w:val="nil"/>
              <w:left w:val="nil"/>
              <w:bottom w:val="nil"/>
              <w:right w:val="nil"/>
            </w:tcBorders>
            <w:shd w:val="clear" w:color="auto" w:fill="FFDBFE"/>
            <w:vAlign w:val="center"/>
          </w:tcPr>
          <w:p w14:paraId="469468C0" w14:textId="77777777" w:rsidR="00F23319" w:rsidRPr="007067EB" w:rsidRDefault="00F23319" w:rsidP="00CB238D">
            <w:pPr>
              <w:spacing w:after="0" w:line="240" w:lineRule="auto"/>
              <w:jc w:val="center"/>
              <w:rPr>
                <w:rFonts w:ascii="Arial Hebrew" w:hAnsi="Arial Hebrew" w:cs="Arial Hebrew" w:hint="cs"/>
                <w:i/>
                <w:iCs/>
                <w:sz w:val="13"/>
                <w:szCs w:val="13"/>
              </w:rPr>
            </w:pPr>
            <w:r w:rsidRPr="007067EB">
              <w:rPr>
                <w:rFonts w:ascii="Arial Hebrew" w:hAnsi="Arial Hebrew" w:cs="Arial Hebrew" w:hint="cs"/>
                <w:i/>
                <w:iCs/>
                <w:sz w:val="13"/>
                <w:szCs w:val="13"/>
              </w:rPr>
              <w:t>Extremely Speculative</w:t>
            </w:r>
          </w:p>
        </w:tc>
        <w:tc>
          <w:tcPr>
            <w:tcW w:w="992" w:type="dxa"/>
            <w:tcBorders>
              <w:top w:val="nil"/>
              <w:left w:val="nil"/>
              <w:bottom w:val="nil"/>
              <w:right w:val="nil"/>
            </w:tcBorders>
            <w:shd w:val="clear" w:color="auto" w:fill="FFDBFE"/>
            <w:vAlign w:val="center"/>
          </w:tcPr>
          <w:p w14:paraId="4683583B"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CC</w:t>
            </w:r>
          </w:p>
        </w:tc>
        <w:tc>
          <w:tcPr>
            <w:tcW w:w="993" w:type="dxa"/>
            <w:vMerge w:val="restart"/>
            <w:tcBorders>
              <w:top w:val="nil"/>
              <w:left w:val="nil"/>
              <w:bottom w:val="nil"/>
              <w:right w:val="nil"/>
            </w:tcBorders>
            <w:shd w:val="clear" w:color="auto" w:fill="FFDBFE"/>
            <w:vAlign w:val="center"/>
          </w:tcPr>
          <w:p w14:paraId="37DC980A"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Ca</w:t>
            </w:r>
          </w:p>
        </w:tc>
        <w:tc>
          <w:tcPr>
            <w:tcW w:w="1701" w:type="dxa"/>
            <w:tcBorders>
              <w:top w:val="nil"/>
              <w:left w:val="nil"/>
              <w:bottom w:val="nil"/>
              <w:right w:val="nil"/>
            </w:tcBorders>
          </w:tcPr>
          <w:p w14:paraId="24C191D9" w14:textId="77777777" w:rsidR="00F23319" w:rsidRPr="007067EB" w:rsidRDefault="00F23319" w:rsidP="00CB238D">
            <w:pPr>
              <w:spacing w:after="0" w:line="240" w:lineRule="auto"/>
              <w:rPr>
                <w:rFonts w:ascii="Arial Hebrew" w:hAnsi="Arial Hebrew" w:cs="Arial Hebrew" w:hint="cs"/>
                <w:sz w:val="13"/>
                <w:szCs w:val="13"/>
              </w:rPr>
            </w:pPr>
          </w:p>
        </w:tc>
      </w:tr>
      <w:tr w:rsidR="00F23319" w:rsidRPr="007067EB" w14:paraId="2E83D3F3" w14:textId="77777777" w:rsidTr="00CB238D">
        <w:trPr>
          <w:jc w:val="center"/>
        </w:trPr>
        <w:tc>
          <w:tcPr>
            <w:tcW w:w="945" w:type="dxa"/>
            <w:vMerge/>
            <w:tcBorders>
              <w:top w:val="nil"/>
              <w:left w:val="nil"/>
              <w:bottom w:val="nil"/>
              <w:right w:val="nil"/>
            </w:tcBorders>
            <w:shd w:val="clear" w:color="auto" w:fill="FFDBFE"/>
            <w:vAlign w:val="center"/>
          </w:tcPr>
          <w:p w14:paraId="27DD2B55"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vMerge/>
            <w:tcBorders>
              <w:top w:val="nil"/>
              <w:left w:val="nil"/>
              <w:bottom w:val="nil"/>
              <w:right w:val="nil"/>
            </w:tcBorders>
            <w:shd w:val="clear" w:color="auto" w:fill="FFDBFE"/>
            <w:vAlign w:val="center"/>
          </w:tcPr>
          <w:p w14:paraId="6AD42BFA" w14:textId="77777777" w:rsidR="00F23319" w:rsidRPr="007067EB" w:rsidRDefault="00F23319" w:rsidP="00CB238D">
            <w:pPr>
              <w:spacing w:after="0" w:line="240" w:lineRule="auto"/>
              <w:jc w:val="center"/>
              <w:rPr>
                <w:rFonts w:ascii="Arial Hebrew" w:hAnsi="Arial Hebrew" w:cs="Arial Hebrew" w:hint="cs"/>
                <w:i/>
                <w:iCs/>
                <w:sz w:val="13"/>
                <w:szCs w:val="13"/>
              </w:rPr>
            </w:pPr>
          </w:p>
        </w:tc>
        <w:tc>
          <w:tcPr>
            <w:tcW w:w="992" w:type="dxa"/>
            <w:tcBorders>
              <w:top w:val="nil"/>
              <w:left w:val="nil"/>
              <w:bottom w:val="nil"/>
              <w:right w:val="nil"/>
            </w:tcBorders>
            <w:shd w:val="clear" w:color="auto" w:fill="FFDBFE"/>
            <w:vAlign w:val="center"/>
          </w:tcPr>
          <w:p w14:paraId="68A7F653" w14:textId="77777777" w:rsidR="00F23319" w:rsidRPr="007067EB" w:rsidRDefault="00F23319" w:rsidP="00CB238D">
            <w:pPr>
              <w:spacing w:after="0" w:line="240" w:lineRule="auto"/>
              <w:jc w:val="center"/>
              <w:rPr>
                <w:rFonts w:ascii="Arial Hebrew" w:hAnsi="Arial Hebrew" w:cs="Arial Hebrew" w:hint="cs"/>
                <w:sz w:val="13"/>
                <w:szCs w:val="13"/>
              </w:rPr>
            </w:pPr>
            <w:r w:rsidRPr="007067EB">
              <w:rPr>
                <w:rFonts w:ascii="Arial Hebrew" w:hAnsi="Arial Hebrew" w:cs="Arial Hebrew" w:hint="cs"/>
                <w:sz w:val="13"/>
                <w:szCs w:val="13"/>
              </w:rPr>
              <w:t>C</w:t>
            </w:r>
          </w:p>
        </w:tc>
        <w:tc>
          <w:tcPr>
            <w:tcW w:w="993" w:type="dxa"/>
            <w:vMerge/>
            <w:tcBorders>
              <w:top w:val="nil"/>
              <w:left w:val="nil"/>
              <w:bottom w:val="nil"/>
              <w:right w:val="nil"/>
            </w:tcBorders>
            <w:shd w:val="clear" w:color="auto" w:fill="FFDBFE"/>
            <w:vAlign w:val="center"/>
          </w:tcPr>
          <w:p w14:paraId="0EA1CC8F"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701" w:type="dxa"/>
            <w:tcBorders>
              <w:top w:val="nil"/>
              <w:left w:val="nil"/>
              <w:bottom w:val="nil"/>
              <w:right w:val="nil"/>
            </w:tcBorders>
          </w:tcPr>
          <w:p w14:paraId="70314DD5"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r w:rsidRPr="007067EB">
              <w:rPr>
                <w:rFonts w:ascii="Arial Hebrew" w:hAnsi="Arial Hebrew" w:cs="Arial Hebrew" w:hint="cs"/>
                <w:sz w:val="13"/>
                <w:szCs w:val="13"/>
              </w:rPr>
              <w:t xml:space="preserve"> </w:t>
            </w:r>
            <w:r w:rsidRPr="007067EB">
              <w:rPr>
                <w:rFonts w:ascii="Apple Color Emoji" w:hAnsi="Apple Color Emoji" w:cs="Apple Color Emoji"/>
                <w:sz w:val="13"/>
                <w:szCs w:val="13"/>
              </w:rPr>
              <w:t>🇺🇦</w:t>
            </w:r>
          </w:p>
        </w:tc>
      </w:tr>
      <w:tr w:rsidR="00F23319" w:rsidRPr="007067EB" w14:paraId="6A3E0B69" w14:textId="77777777" w:rsidTr="00CB238D">
        <w:trPr>
          <w:trHeight w:val="215"/>
          <w:jc w:val="center"/>
        </w:trPr>
        <w:tc>
          <w:tcPr>
            <w:tcW w:w="945" w:type="dxa"/>
            <w:vMerge/>
            <w:tcBorders>
              <w:top w:val="nil"/>
              <w:left w:val="nil"/>
              <w:bottom w:val="single" w:sz="2" w:space="0" w:color="ADADAD" w:themeColor="background2" w:themeShade="BF"/>
              <w:right w:val="nil"/>
            </w:tcBorders>
            <w:shd w:val="clear" w:color="auto" w:fill="FFDBFE"/>
            <w:vAlign w:val="center"/>
          </w:tcPr>
          <w:p w14:paraId="1266D697" w14:textId="77777777" w:rsidR="00F23319" w:rsidRPr="007067EB" w:rsidRDefault="00F23319" w:rsidP="00CB238D">
            <w:pPr>
              <w:spacing w:after="0" w:line="240" w:lineRule="auto"/>
              <w:jc w:val="center"/>
              <w:rPr>
                <w:rFonts w:ascii="Arial Hebrew" w:hAnsi="Arial Hebrew" w:cs="Arial Hebrew" w:hint="cs"/>
                <w:sz w:val="13"/>
                <w:szCs w:val="13"/>
              </w:rPr>
            </w:pPr>
          </w:p>
        </w:tc>
        <w:tc>
          <w:tcPr>
            <w:tcW w:w="1465" w:type="dxa"/>
            <w:tcBorders>
              <w:top w:val="nil"/>
              <w:left w:val="nil"/>
              <w:bottom w:val="single" w:sz="2" w:space="0" w:color="ADADAD" w:themeColor="background2" w:themeShade="BF"/>
              <w:right w:val="nil"/>
            </w:tcBorders>
            <w:shd w:val="clear" w:color="auto" w:fill="D86DCB" w:themeFill="accent5" w:themeFillTint="99"/>
            <w:vAlign w:val="center"/>
          </w:tcPr>
          <w:p w14:paraId="0E431302" w14:textId="77777777" w:rsidR="00F23319" w:rsidRPr="007067EB" w:rsidRDefault="00F23319" w:rsidP="00CB238D">
            <w:pPr>
              <w:spacing w:after="0" w:line="240" w:lineRule="auto"/>
              <w:jc w:val="center"/>
              <w:rPr>
                <w:rFonts w:ascii="Arial Hebrew" w:hAnsi="Arial Hebrew" w:cs="Arial Hebrew" w:hint="cs"/>
                <w:i/>
                <w:iCs/>
                <w:color w:val="FFFFFF" w:themeColor="background1"/>
                <w:sz w:val="13"/>
                <w:szCs w:val="13"/>
              </w:rPr>
            </w:pPr>
            <w:r w:rsidRPr="007067EB">
              <w:rPr>
                <w:rFonts w:ascii="Arial Hebrew" w:hAnsi="Arial Hebrew" w:cs="Arial Hebrew" w:hint="cs"/>
                <w:i/>
                <w:iCs/>
                <w:color w:val="FFFFFF" w:themeColor="background1"/>
                <w:sz w:val="13"/>
                <w:szCs w:val="13"/>
              </w:rPr>
              <w:t>In Default</w:t>
            </w:r>
          </w:p>
        </w:tc>
        <w:tc>
          <w:tcPr>
            <w:tcW w:w="992" w:type="dxa"/>
            <w:tcBorders>
              <w:top w:val="nil"/>
              <w:left w:val="nil"/>
              <w:bottom w:val="single" w:sz="2" w:space="0" w:color="ADADAD" w:themeColor="background2" w:themeShade="BF"/>
              <w:right w:val="nil"/>
            </w:tcBorders>
            <w:shd w:val="clear" w:color="auto" w:fill="D86DCB" w:themeFill="accent5" w:themeFillTint="99"/>
            <w:vAlign w:val="center"/>
          </w:tcPr>
          <w:p w14:paraId="3E3CF763" w14:textId="77777777" w:rsidR="00F23319" w:rsidRPr="007067EB" w:rsidRDefault="00F23319" w:rsidP="00CB238D">
            <w:pPr>
              <w:spacing w:after="0" w:line="240" w:lineRule="auto"/>
              <w:jc w:val="center"/>
              <w:rPr>
                <w:rFonts w:ascii="Arial Hebrew" w:hAnsi="Arial Hebrew" w:cs="Arial Hebrew" w:hint="cs"/>
                <w:color w:val="FFFFFF" w:themeColor="background1"/>
                <w:sz w:val="13"/>
                <w:szCs w:val="13"/>
              </w:rPr>
            </w:pPr>
            <w:r w:rsidRPr="007067EB">
              <w:rPr>
                <w:rFonts w:ascii="Arial Hebrew" w:hAnsi="Arial Hebrew" w:cs="Arial Hebrew" w:hint="cs"/>
                <w:color w:val="FFFFFF" w:themeColor="background1"/>
                <w:sz w:val="13"/>
                <w:szCs w:val="13"/>
              </w:rPr>
              <w:t>D</w:t>
            </w:r>
          </w:p>
        </w:tc>
        <w:tc>
          <w:tcPr>
            <w:tcW w:w="993" w:type="dxa"/>
            <w:tcBorders>
              <w:top w:val="nil"/>
              <w:left w:val="nil"/>
              <w:bottom w:val="single" w:sz="2" w:space="0" w:color="ADADAD" w:themeColor="background2" w:themeShade="BF"/>
              <w:right w:val="nil"/>
            </w:tcBorders>
            <w:shd w:val="clear" w:color="auto" w:fill="D86DCB" w:themeFill="accent5" w:themeFillTint="99"/>
            <w:vAlign w:val="center"/>
          </w:tcPr>
          <w:p w14:paraId="43EB6BA1" w14:textId="77777777" w:rsidR="00F23319" w:rsidRPr="007067EB" w:rsidRDefault="00F23319" w:rsidP="00CB238D">
            <w:pPr>
              <w:spacing w:after="0" w:line="240" w:lineRule="auto"/>
              <w:jc w:val="center"/>
              <w:rPr>
                <w:rFonts w:ascii="Arial Hebrew" w:hAnsi="Arial Hebrew" w:cs="Arial Hebrew" w:hint="cs"/>
                <w:color w:val="FFFFFF" w:themeColor="background1"/>
                <w:sz w:val="13"/>
                <w:szCs w:val="13"/>
              </w:rPr>
            </w:pPr>
            <w:r w:rsidRPr="007067EB">
              <w:rPr>
                <w:rFonts w:ascii="Arial Hebrew" w:hAnsi="Arial Hebrew" w:cs="Arial Hebrew" w:hint="cs"/>
                <w:color w:val="FFFFFF" w:themeColor="background1"/>
                <w:sz w:val="13"/>
                <w:szCs w:val="13"/>
              </w:rPr>
              <w:t>C</w:t>
            </w:r>
          </w:p>
        </w:tc>
        <w:tc>
          <w:tcPr>
            <w:tcW w:w="1701" w:type="dxa"/>
            <w:tcBorders>
              <w:top w:val="nil"/>
              <w:left w:val="nil"/>
              <w:bottom w:val="single" w:sz="2" w:space="0" w:color="ADADAD" w:themeColor="background2" w:themeShade="BF"/>
              <w:right w:val="nil"/>
            </w:tcBorders>
          </w:tcPr>
          <w:p w14:paraId="398CD116" w14:textId="77777777" w:rsidR="00F23319" w:rsidRPr="007067EB" w:rsidRDefault="00F23319" w:rsidP="00CB238D">
            <w:pPr>
              <w:spacing w:after="0" w:line="240" w:lineRule="auto"/>
              <w:rPr>
                <w:rFonts w:ascii="Arial Hebrew" w:hAnsi="Arial Hebrew" w:cs="Arial Hebrew" w:hint="cs"/>
                <w:color w:val="FFFFFF" w:themeColor="background1"/>
                <w:sz w:val="13"/>
                <w:szCs w:val="13"/>
              </w:rPr>
            </w:pPr>
          </w:p>
        </w:tc>
      </w:tr>
      <w:tr w:rsidR="00F23319" w:rsidRPr="007067EB" w14:paraId="66D29FC1" w14:textId="77777777" w:rsidTr="00CB238D">
        <w:trPr>
          <w:trHeight w:val="77"/>
          <w:jc w:val="center"/>
        </w:trPr>
        <w:tc>
          <w:tcPr>
            <w:tcW w:w="94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6948B3DA" w14:textId="77777777" w:rsidR="00F23319" w:rsidRPr="007067EB" w:rsidRDefault="00F23319" w:rsidP="00CB238D">
            <w:pPr>
              <w:spacing w:after="0"/>
              <w:jc w:val="center"/>
              <w:rPr>
                <w:rFonts w:ascii="Arial Hebrew" w:hAnsi="Arial Hebrew" w:cs="Arial Hebrew" w:hint="cs"/>
                <w:sz w:val="13"/>
                <w:szCs w:val="13"/>
              </w:rPr>
            </w:pPr>
            <w:r w:rsidRPr="007067EB">
              <w:rPr>
                <w:rFonts w:ascii="Arial Hebrew" w:hAnsi="Arial Hebrew" w:cs="Arial Hebrew" w:hint="cs"/>
                <w:sz w:val="13"/>
                <w:szCs w:val="13"/>
              </w:rPr>
              <w:t>No Rating</w:t>
            </w:r>
          </w:p>
        </w:tc>
        <w:tc>
          <w:tcPr>
            <w:tcW w:w="146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2528A3F0" w14:textId="77777777" w:rsidR="00F23319" w:rsidRPr="007067EB" w:rsidRDefault="00F23319" w:rsidP="00CB238D">
            <w:pPr>
              <w:spacing w:after="0" w:line="240" w:lineRule="auto"/>
              <w:jc w:val="center"/>
              <w:rPr>
                <w:rFonts w:ascii="Arial Hebrew" w:hAnsi="Arial Hebrew" w:cs="Arial Hebrew" w:hint="cs"/>
                <w:color w:val="FFFFFF" w:themeColor="background1"/>
                <w:sz w:val="13"/>
                <w:szCs w:val="13"/>
              </w:rPr>
            </w:pPr>
          </w:p>
        </w:tc>
        <w:tc>
          <w:tcPr>
            <w:tcW w:w="992"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2325FDB0" w14:textId="77777777" w:rsidR="00F23319" w:rsidRPr="007067EB" w:rsidRDefault="00F23319" w:rsidP="00CB238D">
            <w:pPr>
              <w:spacing w:after="0" w:line="240" w:lineRule="auto"/>
              <w:jc w:val="center"/>
              <w:rPr>
                <w:rFonts w:ascii="Arial Hebrew" w:hAnsi="Arial Hebrew" w:cs="Arial Hebrew" w:hint="cs"/>
                <w:color w:val="FFFFFF" w:themeColor="background1"/>
                <w:sz w:val="13"/>
                <w:szCs w:val="13"/>
              </w:rPr>
            </w:pPr>
          </w:p>
        </w:tc>
        <w:tc>
          <w:tcPr>
            <w:tcW w:w="993"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03821811" w14:textId="77777777" w:rsidR="00F23319" w:rsidRPr="007067EB" w:rsidRDefault="00F23319" w:rsidP="00CB238D">
            <w:pPr>
              <w:spacing w:after="0" w:line="240" w:lineRule="auto"/>
              <w:jc w:val="center"/>
              <w:rPr>
                <w:rFonts w:ascii="Arial Hebrew" w:hAnsi="Arial Hebrew" w:cs="Arial Hebrew" w:hint="cs"/>
                <w:color w:val="FFFFFF" w:themeColor="background1"/>
                <w:sz w:val="13"/>
                <w:szCs w:val="13"/>
              </w:rPr>
            </w:pPr>
          </w:p>
        </w:tc>
        <w:tc>
          <w:tcPr>
            <w:tcW w:w="1701" w:type="dxa"/>
            <w:tcBorders>
              <w:top w:val="single" w:sz="2" w:space="0" w:color="ADADAD" w:themeColor="background2" w:themeShade="BF"/>
              <w:left w:val="nil"/>
              <w:bottom w:val="double" w:sz="4" w:space="0" w:color="auto"/>
              <w:right w:val="nil"/>
            </w:tcBorders>
          </w:tcPr>
          <w:p w14:paraId="30E1F076" w14:textId="77777777" w:rsidR="00F23319" w:rsidRPr="007067EB" w:rsidRDefault="00F23319" w:rsidP="00CB238D">
            <w:pPr>
              <w:spacing w:after="0" w:line="240" w:lineRule="auto"/>
              <w:rPr>
                <w:rFonts w:ascii="Arial Hebrew" w:hAnsi="Arial Hebrew" w:cs="Arial Hebrew" w:hint="cs"/>
                <w:sz w:val="13"/>
                <w:szCs w:val="13"/>
              </w:rPr>
            </w:pPr>
            <w:r w:rsidRPr="007067EB">
              <w:rPr>
                <w:rFonts w:ascii="Apple Color Emoji" w:hAnsi="Apple Color Emoji" w:cs="Apple Color Emoji"/>
                <w:sz w:val="13"/>
                <w:szCs w:val="13"/>
              </w:rPr>
              <w:t>🇷🇺</w:t>
            </w:r>
          </w:p>
        </w:tc>
      </w:tr>
    </w:tbl>
    <w:p w14:paraId="3947947E" w14:textId="77777777" w:rsidR="00F23319" w:rsidRPr="007067EB" w:rsidRDefault="00F23319" w:rsidP="00F23319">
      <w:pPr>
        <w:spacing w:before="240" w:after="0" w:line="240" w:lineRule="auto"/>
        <w:rPr>
          <w:rFonts w:ascii="Arial Hebrew" w:hAnsi="Arial Hebrew" w:cs="Arial Hebrew" w:hint="cs"/>
          <w:b/>
          <w:bCs/>
          <w:i/>
          <w:iCs/>
          <w:sz w:val="16"/>
          <w:szCs w:val="16"/>
        </w:rPr>
      </w:pPr>
    </w:p>
    <w:p w14:paraId="0A187666" w14:textId="77777777" w:rsidR="00F23319" w:rsidRPr="007067EB" w:rsidRDefault="00F23319" w:rsidP="00F23319">
      <w:pPr>
        <w:spacing w:after="0" w:line="240" w:lineRule="auto"/>
        <w:rPr>
          <w:rFonts w:ascii="Arial Hebrew" w:hAnsi="Arial Hebrew" w:cs="Arial Hebrew" w:hint="cs"/>
          <w:b/>
          <w:bCs/>
          <w:i/>
          <w:iCs/>
          <w:sz w:val="16"/>
          <w:szCs w:val="16"/>
        </w:rPr>
      </w:pPr>
      <w:r w:rsidRPr="007067EB">
        <w:rPr>
          <w:rFonts w:ascii="Arial Hebrew" w:hAnsi="Arial Hebrew" w:cs="Arial Hebrew" w:hint="cs"/>
          <w:b/>
          <w:bCs/>
          <w:i/>
          <w:iCs/>
          <w:sz w:val="16"/>
          <w:szCs w:val="16"/>
        </w:rPr>
        <w:t xml:space="preserve">       Figure 1. </w:t>
      </w:r>
      <w:r w:rsidRPr="007067EB">
        <w:rPr>
          <w:rFonts w:ascii="Arial Hebrew" w:hAnsi="Arial Hebrew" w:cs="Arial Hebrew" w:hint="cs"/>
          <w:b/>
          <w:bCs/>
          <w:i/>
          <w:iCs/>
          <w:sz w:val="16"/>
          <w:szCs w:val="16"/>
        </w:rPr>
        <w:tab/>
      </w:r>
      <w:r w:rsidRPr="007067EB">
        <w:rPr>
          <w:rFonts w:ascii="Arial Hebrew" w:hAnsi="Arial Hebrew" w:cs="Arial Hebrew" w:hint="cs"/>
          <w:b/>
          <w:bCs/>
          <w:i/>
          <w:iCs/>
          <w:sz w:val="16"/>
          <w:szCs w:val="16"/>
        </w:rPr>
        <w:tab/>
        <w:t xml:space="preserve">                                                         Figure 2. </w:t>
      </w:r>
    </w:p>
    <w:p w14:paraId="6782EB9D" w14:textId="77777777" w:rsidR="00F23319" w:rsidRPr="007067EB" w:rsidRDefault="00F23319" w:rsidP="00F23319">
      <w:pPr>
        <w:spacing w:after="0" w:line="240" w:lineRule="auto"/>
        <w:rPr>
          <w:rFonts w:ascii="Arial Hebrew" w:hAnsi="Arial Hebrew" w:cs="Arial Hebrew" w:hint="cs"/>
          <w:sz w:val="21"/>
          <w:szCs w:val="21"/>
        </w:rPr>
      </w:pPr>
      <w:r w:rsidRPr="007067EB">
        <w:rPr>
          <w:rFonts w:ascii="Arial Hebrew" w:hAnsi="Arial Hebrew" w:cs="Arial Hebrew" w:hint="cs"/>
          <w:noProof/>
          <w:sz w:val="21"/>
          <w:szCs w:val="21"/>
        </w:rPr>
        <w:drawing>
          <wp:inline distT="0" distB="0" distL="0" distR="0" wp14:anchorId="5A604CEA" wp14:editId="3B7383DA">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Pr="007067EB">
        <w:rPr>
          <w:rFonts w:ascii="Arial Hebrew" w:hAnsi="Arial Hebrew" w:cs="Arial Hebrew" w:hint="cs"/>
          <w:sz w:val="21"/>
          <w:szCs w:val="21"/>
        </w:rPr>
        <w:t xml:space="preserve">  </w:t>
      </w:r>
      <w:r w:rsidRPr="007067EB">
        <w:rPr>
          <w:rFonts w:ascii="Arial Hebrew" w:hAnsi="Arial Hebrew" w:cs="Arial Hebrew" w:hint="cs"/>
          <w:noProof/>
          <w:sz w:val="21"/>
          <w:szCs w:val="21"/>
        </w:rPr>
        <w:drawing>
          <wp:inline distT="0" distB="0" distL="0" distR="0" wp14:anchorId="599609AD" wp14:editId="000F1D67">
            <wp:extent cx="2836305" cy="2709545"/>
            <wp:effectExtent l="0" t="0" r="0" b="0"/>
            <wp:docPr id="651573716" name="Picture 1"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descr="A graph of different countries/regions&#10;&#10;Description automatically generated"/>
                    <pic:cNvPicPr/>
                  </pic:nvPicPr>
                  <pic:blipFill rotWithShape="1">
                    <a:blip r:embed="rId8" cstate="print">
                      <a:extLst>
                        <a:ext uri="{28A0092B-C50C-407E-A947-70E740481C1C}">
                          <a14:useLocalDpi xmlns:a14="http://schemas.microsoft.com/office/drawing/2010/main" val="0"/>
                        </a:ext>
                      </a:extLst>
                    </a:blip>
                    <a:srcRect t="-1325" b="1325"/>
                    <a:stretch/>
                  </pic:blipFill>
                  <pic:spPr>
                    <a:xfrm>
                      <a:off x="0" y="0"/>
                      <a:ext cx="2843887" cy="2716788"/>
                    </a:xfrm>
                    <a:prstGeom prst="rect">
                      <a:avLst/>
                    </a:prstGeom>
                  </pic:spPr>
                </pic:pic>
              </a:graphicData>
            </a:graphic>
          </wp:inline>
        </w:drawing>
      </w:r>
    </w:p>
    <w:p w14:paraId="2495C798" w14:textId="77777777" w:rsidR="00F23319" w:rsidRPr="007067EB" w:rsidRDefault="00F23319" w:rsidP="00F23319">
      <w:pPr>
        <w:spacing w:after="240" w:line="360" w:lineRule="auto"/>
        <w:ind w:firstLine="720"/>
        <w:rPr>
          <w:rFonts w:ascii="Arial Hebrew" w:hAnsi="Arial Hebrew" w:cs="Arial Hebrew" w:hint="cs"/>
          <w:sz w:val="20"/>
          <w:szCs w:val="20"/>
        </w:rPr>
      </w:pPr>
      <w:r w:rsidRPr="007067EB">
        <w:rPr>
          <w:rFonts w:ascii="Arial Hebrew" w:hAnsi="Arial Hebrew" w:cs="Arial Hebrew" w:hint="cs"/>
          <w:sz w:val="20"/>
          <w:szCs w:val="20"/>
        </w:rPr>
        <w:lastRenderedPageBreak/>
        <w:t>Varying levels of detail on assessment frameworks have been made public by the three major agencies, although the precise methods used to determine credit ratings are proprietary and subject to regular change. All three agencies assign ratings based on similar sets of factors, making extensive use of primary data from established international sources including the International Monetary Fund (IMF), the World Bank, national statistics offices, and central banks. These can be supplemented using secondary (external) data sources, which commonly provide the indicative metrics used to score the qualitative institutional characteristics of governments.</w:t>
      </w:r>
    </w:p>
    <w:p w14:paraId="2116D8BA" w14:textId="77777777" w:rsidR="00F23319" w:rsidRPr="007067EB" w:rsidRDefault="00F23319" w:rsidP="00F23319">
      <w:pPr>
        <w:pStyle w:val="Heading2"/>
        <w:rPr>
          <w:rFonts w:ascii="Arial Hebrew" w:hAnsi="Arial Hebrew" w:cs="Arial Hebrew" w:hint="cs"/>
          <w:sz w:val="22"/>
          <w:szCs w:val="22"/>
        </w:rPr>
      </w:pPr>
      <w:r w:rsidRPr="007067EB">
        <w:rPr>
          <w:rFonts w:ascii="Arial Hebrew" w:hAnsi="Arial Hebrew" w:cs="Arial Hebrew" w:hint="cs"/>
          <w:sz w:val="22"/>
          <w:szCs w:val="22"/>
        </w:rPr>
        <w:t>Moody’s</w:t>
      </w:r>
    </w:p>
    <w:p w14:paraId="04852E7E" w14:textId="77777777" w:rsidR="00F23319" w:rsidRPr="007067EB" w:rsidRDefault="00F23319" w:rsidP="00F23319">
      <w:pPr>
        <w:spacing w:before="240" w:after="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Moody's sovereign ratings are the outcome of a committee process that applies qualitative judgement to a quantitative scorecard. The scorecard is based on four factors:</w:t>
      </w:r>
    </w:p>
    <w:p w14:paraId="04553FDD" w14:textId="77777777" w:rsidR="00F23319" w:rsidRPr="007067EB" w:rsidRDefault="00F23319" w:rsidP="00F23319">
      <w:pPr>
        <w:pStyle w:val="ListParagraph"/>
        <w:numPr>
          <w:ilvl w:val="0"/>
          <w:numId w:val="8"/>
        </w:numPr>
        <w:spacing w:after="24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Economic Strength.</w:t>
      </w:r>
      <w:r w:rsidRPr="007067EB">
        <w:rPr>
          <w:rFonts w:ascii="Arial Hebrew" w:hAnsi="Arial Hebrew" w:cs="Arial Hebrew" w:hint="cs"/>
          <w:sz w:val="20"/>
          <w:szCs w:val="20"/>
        </w:rPr>
        <w:t xml:space="preserve"> Assesses the inherent strength and resilience of the sovereign's economy using Gross Domestic Product (GDP) statistics for </w:t>
      </w:r>
      <w:r w:rsidRPr="007067EB">
        <w:rPr>
          <w:rFonts w:ascii="Arial Hebrew" w:hAnsi="Arial Hebrew" w:cs="Arial Hebrew" w:hint="cs"/>
          <w:i/>
          <w:iCs/>
          <w:sz w:val="20"/>
          <w:szCs w:val="20"/>
        </w:rPr>
        <w:t xml:space="preserve">Economic Scale (35%), Income Level (25%), Growth (30%) </w:t>
      </w:r>
      <w:r w:rsidRPr="007067EB">
        <w:rPr>
          <w:rFonts w:ascii="Arial Hebrew" w:hAnsi="Arial Hebrew" w:cs="Arial Hebrew" w:hint="cs"/>
          <w:sz w:val="20"/>
          <w:szCs w:val="20"/>
        </w:rPr>
        <w:t xml:space="preserve">and </w:t>
      </w:r>
      <w:r w:rsidRPr="007067EB">
        <w:rPr>
          <w:rFonts w:ascii="Arial Hebrew" w:hAnsi="Arial Hebrew" w:cs="Arial Hebrew" w:hint="cs"/>
          <w:i/>
          <w:iCs/>
          <w:sz w:val="20"/>
          <w:szCs w:val="20"/>
        </w:rPr>
        <w:t>Volatility (10%).</w:t>
      </w:r>
      <w:r w:rsidRPr="007067EB">
        <w:rPr>
          <w:rStyle w:val="FootnoteReference"/>
          <w:rFonts w:ascii="Arial Hebrew" w:hAnsi="Arial Hebrew" w:cs="Arial Hebrew" w:hint="cs"/>
          <w:sz w:val="20"/>
          <w:szCs w:val="20"/>
        </w:rPr>
        <w:footnoteReference w:id="2"/>
      </w:r>
      <w:r w:rsidRPr="007067EB">
        <w:rPr>
          <w:rFonts w:ascii="Arial Hebrew" w:hAnsi="Arial Hebrew" w:cs="Arial Hebrew" w:hint="cs"/>
          <w:sz w:val="20"/>
          <w:szCs w:val="20"/>
        </w:rPr>
        <w:t xml:space="preserve"> </w:t>
      </w:r>
    </w:p>
    <w:p w14:paraId="557FBB94" w14:textId="77777777" w:rsidR="00F23319" w:rsidRPr="007067EB" w:rsidRDefault="00F23319" w:rsidP="00F23319">
      <w:pPr>
        <w:pStyle w:val="ListParagraph"/>
        <w:numPr>
          <w:ilvl w:val="0"/>
          <w:numId w:val="8"/>
        </w:numPr>
        <w:spacing w:before="240" w:after="24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Institutions &amp; Governance Strength.</w:t>
      </w:r>
      <w:r w:rsidRPr="007067EB">
        <w:rPr>
          <w:rFonts w:ascii="Arial Hebrew" w:hAnsi="Arial Hebrew" w:cs="Arial Hebrew" w:hint="cs"/>
          <w:sz w:val="20"/>
          <w:szCs w:val="20"/>
        </w:rPr>
        <w:t xml:space="preserve"> Assesses more qualitative properties of sovereigns:</w:t>
      </w:r>
    </w:p>
    <w:p w14:paraId="204C02BF" w14:textId="77777777" w:rsidR="00F23319" w:rsidRPr="007067EB" w:rsidRDefault="00F23319" w:rsidP="00F23319">
      <w:pPr>
        <w:pStyle w:val="ListParagraph"/>
        <w:numPr>
          <w:ilvl w:val="0"/>
          <w:numId w:val="12"/>
        </w:numPr>
        <w:spacing w:before="240" w:after="240" w:line="360" w:lineRule="auto"/>
        <w:jc w:val="both"/>
        <w:rPr>
          <w:rFonts w:ascii="Arial Hebrew" w:hAnsi="Arial Hebrew" w:cs="Arial Hebrew" w:hint="cs"/>
          <w:sz w:val="20"/>
          <w:szCs w:val="20"/>
        </w:rPr>
      </w:pPr>
      <w:r w:rsidRPr="007067EB">
        <w:rPr>
          <w:rFonts w:ascii="Arial Hebrew" w:hAnsi="Arial Hebrew" w:cs="Arial Hebrew" w:hint="cs"/>
          <w:sz w:val="20"/>
          <w:szCs w:val="20"/>
        </w:rPr>
        <w:t>the</w:t>
      </w:r>
      <w:r w:rsidRPr="007067EB">
        <w:rPr>
          <w:rFonts w:ascii="Arial Hebrew" w:hAnsi="Arial Hebrew" w:cs="Arial Hebrew" w:hint="cs"/>
        </w:rPr>
        <w:t xml:space="preserve"> </w:t>
      </w:r>
      <w:r w:rsidRPr="007067EB">
        <w:rPr>
          <w:rFonts w:ascii="Arial Hebrew" w:hAnsi="Arial Hebrew" w:cs="Arial Hebrew" w:hint="cs"/>
          <w:sz w:val="20"/>
          <w:szCs w:val="20"/>
        </w:rPr>
        <w:t xml:space="preserve">quality of legislative and executive institutions </w:t>
      </w:r>
      <w:r w:rsidRPr="007067EB">
        <w:rPr>
          <w:rFonts w:ascii="Arial Hebrew" w:hAnsi="Arial Hebrew" w:cs="Arial Hebrew" w:hint="cs"/>
          <w:i/>
          <w:iCs/>
          <w:sz w:val="20"/>
          <w:szCs w:val="20"/>
        </w:rPr>
        <w:t>(20%)</w:t>
      </w:r>
    </w:p>
    <w:p w14:paraId="1F121508" w14:textId="77777777" w:rsidR="00F23319" w:rsidRPr="007067EB" w:rsidRDefault="00F23319" w:rsidP="00F23319">
      <w:pPr>
        <w:pStyle w:val="ListParagraph"/>
        <w:numPr>
          <w:ilvl w:val="0"/>
          <w:numId w:val="12"/>
        </w:numPr>
        <w:spacing w:before="240" w:after="240"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the strength of civil society and the judiciary </w:t>
      </w:r>
      <w:r w:rsidRPr="007067EB">
        <w:rPr>
          <w:rFonts w:ascii="Arial Hebrew" w:hAnsi="Arial Hebrew" w:cs="Arial Hebrew" w:hint="cs"/>
          <w:i/>
          <w:iCs/>
          <w:sz w:val="20"/>
          <w:szCs w:val="20"/>
        </w:rPr>
        <w:t>(20%)</w:t>
      </w:r>
    </w:p>
    <w:p w14:paraId="13BD9DDD" w14:textId="77777777" w:rsidR="00F23319" w:rsidRPr="007067EB" w:rsidRDefault="00F23319" w:rsidP="00F23319">
      <w:pPr>
        <w:pStyle w:val="ListParagraph"/>
        <w:numPr>
          <w:ilvl w:val="0"/>
          <w:numId w:val="12"/>
        </w:numPr>
        <w:spacing w:before="240" w:after="240"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the effectiveness of fiscal policy </w:t>
      </w:r>
      <w:r w:rsidRPr="007067EB">
        <w:rPr>
          <w:rFonts w:ascii="Arial Hebrew" w:hAnsi="Arial Hebrew" w:cs="Arial Hebrew" w:hint="cs"/>
          <w:i/>
          <w:iCs/>
          <w:sz w:val="20"/>
          <w:szCs w:val="20"/>
        </w:rPr>
        <w:t>(30%)</w:t>
      </w:r>
    </w:p>
    <w:p w14:paraId="6C5DE579" w14:textId="77777777" w:rsidR="00F23319" w:rsidRPr="007067EB" w:rsidRDefault="00F23319" w:rsidP="00F23319">
      <w:pPr>
        <w:pStyle w:val="ListParagraph"/>
        <w:numPr>
          <w:ilvl w:val="0"/>
          <w:numId w:val="12"/>
        </w:numPr>
        <w:spacing w:before="240" w:after="0"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the effectiveness of monetary and macroeconomic policy </w:t>
      </w:r>
      <w:r w:rsidRPr="007067EB">
        <w:rPr>
          <w:rFonts w:ascii="Arial Hebrew" w:hAnsi="Arial Hebrew" w:cs="Arial Hebrew" w:hint="cs"/>
          <w:i/>
          <w:iCs/>
          <w:sz w:val="20"/>
          <w:szCs w:val="20"/>
        </w:rPr>
        <w:t>(30%)</w:t>
      </w:r>
      <w:r w:rsidRPr="007067EB">
        <w:rPr>
          <w:rFonts w:ascii="Arial Hebrew" w:hAnsi="Arial Hebrew" w:cs="Arial Hebrew" w:hint="cs"/>
          <w:sz w:val="20"/>
          <w:szCs w:val="20"/>
        </w:rPr>
        <w:t xml:space="preserve">. </w:t>
      </w:r>
    </w:p>
    <w:p w14:paraId="69394A04" w14:textId="77777777" w:rsidR="00F23319" w:rsidRPr="007067EB" w:rsidRDefault="00F23319" w:rsidP="00F23319">
      <w:pPr>
        <w:spacing w:after="0" w:line="360" w:lineRule="auto"/>
        <w:ind w:left="720"/>
        <w:jc w:val="both"/>
        <w:rPr>
          <w:rFonts w:ascii="Arial Hebrew" w:hAnsi="Arial Hebrew" w:cs="Arial Hebrew" w:hint="cs"/>
          <w:color w:val="000000" w:themeColor="text1"/>
          <w:sz w:val="20"/>
          <w:szCs w:val="20"/>
        </w:rPr>
      </w:pPr>
      <w:r w:rsidRPr="007067EB">
        <w:rPr>
          <w:rFonts w:ascii="Arial Hebrew" w:hAnsi="Arial Hebrew" w:cs="Arial Hebrew" w:hint="cs"/>
          <w:color w:val="000000" w:themeColor="text1"/>
          <w:sz w:val="20"/>
          <w:szCs w:val="20"/>
        </w:rPr>
        <w:t xml:space="preserve">Although these are qualitative properties, they are measured using quantitative external indicators, primarily the </w:t>
      </w:r>
      <w:r w:rsidRPr="007067EB">
        <w:rPr>
          <w:rFonts w:ascii="Arial Hebrew" w:hAnsi="Arial Hebrew" w:cs="Arial Hebrew" w:hint="cs"/>
          <w:b/>
          <w:bCs/>
          <w:color w:val="000000" w:themeColor="text1"/>
          <w:sz w:val="20"/>
          <w:szCs w:val="20"/>
        </w:rPr>
        <w:t xml:space="preserve">World Bank Worldwide Governance Indicators (WGI). </w:t>
      </w:r>
      <w:r w:rsidRPr="007067EB">
        <w:rPr>
          <w:rFonts w:ascii="Arial Hebrew" w:hAnsi="Arial Hebrew" w:cs="Arial Hebrew" w:hint="cs"/>
          <w:color w:val="000000" w:themeColor="text1"/>
          <w:sz w:val="20"/>
          <w:szCs w:val="20"/>
        </w:rPr>
        <w:t xml:space="preserve">The WGI include indicators for </w:t>
      </w:r>
      <w:r w:rsidRPr="007067EB">
        <w:rPr>
          <w:rFonts w:ascii="Arial Hebrew" w:hAnsi="Arial Hebrew" w:cs="Arial Hebrew" w:hint="cs"/>
          <w:i/>
          <w:iCs/>
          <w:color w:val="000000" w:themeColor="text1"/>
          <w:sz w:val="20"/>
          <w:szCs w:val="20"/>
        </w:rPr>
        <w:t>Regulatory Quality</w:t>
      </w:r>
      <w:r w:rsidRPr="007067EB">
        <w:rPr>
          <w:rFonts w:ascii="Arial Hebrew" w:hAnsi="Arial Hebrew" w:cs="Arial Hebrew" w:hint="cs"/>
          <w:color w:val="000000" w:themeColor="text1"/>
          <w:sz w:val="20"/>
          <w:szCs w:val="20"/>
        </w:rPr>
        <w:t xml:space="preserve">, </w:t>
      </w:r>
      <w:r w:rsidRPr="007067EB">
        <w:rPr>
          <w:rFonts w:ascii="Arial Hebrew" w:hAnsi="Arial Hebrew" w:cs="Arial Hebrew" w:hint="cs"/>
          <w:i/>
          <w:iCs/>
          <w:color w:val="000000" w:themeColor="text1"/>
          <w:sz w:val="20"/>
          <w:szCs w:val="20"/>
        </w:rPr>
        <w:t>Government Effectiveness</w:t>
      </w:r>
      <w:r w:rsidRPr="007067EB">
        <w:rPr>
          <w:rFonts w:ascii="Arial Hebrew" w:hAnsi="Arial Hebrew" w:cs="Arial Hebrew" w:hint="cs"/>
          <w:color w:val="000000" w:themeColor="text1"/>
          <w:sz w:val="20"/>
          <w:szCs w:val="20"/>
        </w:rPr>
        <w:t xml:space="preserve">, </w:t>
      </w:r>
      <w:r w:rsidRPr="007067EB">
        <w:rPr>
          <w:rFonts w:ascii="Arial Hebrew" w:hAnsi="Arial Hebrew" w:cs="Arial Hebrew" w:hint="cs"/>
          <w:i/>
          <w:iCs/>
          <w:color w:val="000000" w:themeColor="text1"/>
          <w:sz w:val="20"/>
          <w:szCs w:val="20"/>
        </w:rPr>
        <w:t xml:space="preserve">Voice &amp; Accountability, Rule of Law, </w:t>
      </w:r>
      <w:r w:rsidRPr="007067EB">
        <w:rPr>
          <w:rFonts w:ascii="Arial Hebrew" w:hAnsi="Arial Hebrew" w:cs="Arial Hebrew" w:hint="cs"/>
          <w:color w:val="000000" w:themeColor="text1"/>
          <w:sz w:val="20"/>
          <w:szCs w:val="20"/>
        </w:rPr>
        <w:t xml:space="preserve">and </w:t>
      </w:r>
      <w:r w:rsidRPr="007067EB">
        <w:rPr>
          <w:rFonts w:ascii="Arial Hebrew" w:hAnsi="Arial Hebrew" w:cs="Arial Hebrew" w:hint="cs"/>
          <w:i/>
          <w:iCs/>
          <w:color w:val="000000" w:themeColor="text1"/>
          <w:sz w:val="20"/>
          <w:szCs w:val="20"/>
        </w:rPr>
        <w:t>Control of Corruption</w:t>
      </w:r>
      <w:r w:rsidRPr="007067EB">
        <w:rPr>
          <w:rFonts w:ascii="Arial Hebrew" w:hAnsi="Arial Hebrew" w:cs="Arial Hebrew" w:hint="cs"/>
          <w:color w:val="000000" w:themeColor="text1"/>
          <w:sz w:val="20"/>
          <w:szCs w:val="20"/>
        </w:rPr>
        <w:t xml:space="preserve">. The World Economic Forum (WEF) Global Competitiveness Index (CGI) has also been referenced for components relating to market efficiency, infrastructure, innovation, and education, and the IMF referenced for information on data adequacy for surveillance and assessments. World Bank Country Policy and Institutional Assessments (CIPA) have also been referenced, along with other independent external sources. Assessments of </w:t>
      </w:r>
      <w:r w:rsidRPr="007067EB">
        <w:rPr>
          <w:rFonts w:ascii="Arial Hebrew" w:hAnsi="Arial Hebrew" w:cs="Arial Hebrew" w:hint="cs"/>
          <w:b/>
          <w:bCs/>
          <w:color w:val="000000" w:themeColor="text1"/>
          <w:sz w:val="20"/>
          <w:szCs w:val="20"/>
        </w:rPr>
        <w:t>Institutions &amp; Governance Strength</w:t>
      </w:r>
      <w:r w:rsidRPr="007067EB">
        <w:rPr>
          <w:rFonts w:ascii="Arial Hebrew" w:hAnsi="Arial Hebrew" w:cs="Arial Hebrew" w:hint="cs"/>
          <w:color w:val="000000" w:themeColor="text1"/>
          <w:sz w:val="20"/>
          <w:szCs w:val="20"/>
        </w:rPr>
        <w:t xml:space="preserve"> are adjusted according to government default history and track record of arrears.</w:t>
      </w:r>
    </w:p>
    <w:p w14:paraId="55D96D6B" w14:textId="77777777" w:rsidR="00F23319" w:rsidRPr="007067EB" w:rsidRDefault="00F23319" w:rsidP="00F23319">
      <w:pPr>
        <w:pStyle w:val="ListParagraph"/>
        <w:numPr>
          <w:ilvl w:val="0"/>
          <w:numId w:val="8"/>
        </w:numPr>
        <w:spacing w:after="24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Fiscal Health.</w:t>
      </w:r>
      <w:r w:rsidRPr="007067EB">
        <w:rPr>
          <w:rFonts w:ascii="Arial Hebrew" w:hAnsi="Arial Hebrew" w:cs="Arial Hebrew" w:hint="cs"/>
          <w:sz w:val="20"/>
          <w:szCs w:val="20"/>
        </w:rPr>
        <w:t xml:space="preserve"> Assesses the sustainability of government finances using g</w:t>
      </w:r>
      <w:r w:rsidRPr="007067EB">
        <w:rPr>
          <w:rFonts w:ascii="Arial Hebrew" w:hAnsi="Arial Hebrew" w:cs="Arial Hebrew" w:hint="cs"/>
          <w:i/>
          <w:iCs/>
          <w:sz w:val="20"/>
          <w:szCs w:val="20"/>
        </w:rPr>
        <w:t xml:space="preserve">overnment debt burden (50%) </w:t>
      </w:r>
      <w:r w:rsidRPr="007067EB">
        <w:rPr>
          <w:rFonts w:ascii="Arial Hebrew" w:hAnsi="Arial Hebrew" w:cs="Arial Hebrew" w:hint="cs"/>
          <w:sz w:val="20"/>
          <w:szCs w:val="20"/>
        </w:rPr>
        <w:t>– the average of debt-to-GDP and debt-to-revenue ratios – and g</w:t>
      </w:r>
      <w:r w:rsidRPr="007067EB">
        <w:rPr>
          <w:rFonts w:ascii="Arial Hebrew" w:hAnsi="Arial Hebrew" w:cs="Arial Hebrew" w:hint="cs"/>
          <w:i/>
          <w:iCs/>
          <w:sz w:val="20"/>
          <w:szCs w:val="20"/>
        </w:rPr>
        <w:t>overnment debt affordability (50%)</w:t>
      </w:r>
      <w:r w:rsidRPr="007067EB">
        <w:rPr>
          <w:rFonts w:ascii="Arial Hebrew" w:hAnsi="Arial Hebrew" w:cs="Arial Hebrew" w:hint="cs"/>
          <w:sz w:val="20"/>
          <w:szCs w:val="20"/>
        </w:rPr>
        <w:t xml:space="preserve"> – the average of the ratios of interest-payments-to-GDP and interest-payments-to-revenue. </w:t>
      </w:r>
      <w:r w:rsidRPr="007067EB">
        <w:rPr>
          <w:rFonts w:ascii="Arial Hebrew" w:hAnsi="Arial Hebrew" w:cs="Arial Hebrew" w:hint="cs"/>
          <w:sz w:val="20"/>
          <w:szCs w:val="20"/>
        </w:rPr>
        <w:lastRenderedPageBreak/>
        <w:t>Adjustments to this factor are made according to expected changes in debt burden, the share of foreign-currency-denominated debt, and the value of public assets (including sovereign wealth funds).</w:t>
      </w:r>
    </w:p>
    <w:p w14:paraId="11478647" w14:textId="77777777" w:rsidR="00F23319" w:rsidRPr="007067EB" w:rsidRDefault="00F23319" w:rsidP="00F23319">
      <w:pPr>
        <w:pStyle w:val="ListParagraph"/>
        <w:numPr>
          <w:ilvl w:val="0"/>
          <w:numId w:val="8"/>
        </w:numPr>
        <w:spacing w:before="240" w:after="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Susceptibility to Event Risk.</w:t>
      </w:r>
      <w:r w:rsidRPr="007067EB">
        <w:rPr>
          <w:rFonts w:ascii="Arial Hebrew" w:hAnsi="Arial Hebrew" w:cs="Arial Hebrew" w:hint="cs"/>
          <w:sz w:val="20"/>
          <w:szCs w:val="20"/>
        </w:rPr>
        <w:t xml:space="preserve"> Assesses vulnerability to sudden, disruptive events, using four sub-factors: </w:t>
      </w:r>
    </w:p>
    <w:p w14:paraId="7FF7148D" w14:textId="77777777" w:rsidR="00F23319" w:rsidRPr="007067EB" w:rsidRDefault="00F23319" w:rsidP="00F23319">
      <w:pPr>
        <w:pStyle w:val="ListParagraph"/>
        <w:numPr>
          <w:ilvl w:val="0"/>
          <w:numId w:val="15"/>
        </w:numPr>
        <w:spacing w:before="240"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Political Risk:</w:t>
      </w:r>
      <w:r w:rsidRPr="007067EB">
        <w:rPr>
          <w:rFonts w:ascii="Arial Hebrew" w:hAnsi="Arial Hebrew" w:cs="Arial Hebrew" w:hint="cs"/>
          <w:b/>
          <w:bCs/>
          <w:sz w:val="20"/>
          <w:szCs w:val="20"/>
        </w:rPr>
        <w:t xml:space="preserve"> </w:t>
      </w:r>
      <w:r w:rsidRPr="007067EB">
        <w:rPr>
          <w:rFonts w:ascii="Arial Hebrew" w:hAnsi="Arial Hebrew" w:cs="Arial Hebrew" w:hint="cs"/>
          <w:sz w:val="20"/>
          <w:szCs w:val="20"/>
        </w:rPr>
        <w:t>domestic political and geopolitical instability. Assessment refers to World Bank WGIs, along with socioeconomic indicators for unemployment and inequality.</w:t>
      </w:r>
    </w:p>
    <w:p w14:paraId="44DC5F5B" w14:textId="77777777" w:rsidR="00F23319" w:rsidRPr="007067EB" w:rsidRDefault="00F23319" w:rsidP="00F23319">
      <w:pPr>
        <w:pStyle w:val="ListParagraph"/>
        <w:numPr>
          <w:ilvl w:val="0"/>
          <w:numId w:val="15"/>
        </w:numPr>
        <w:spacing w:before="240"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Government Liquidity Risk:</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failure of government cash flow.</w:t>
      </w:r>
    </w:p>
    <w:p w14:paraId="554302BE" w14:textId="77777777" w:rsidR="00F23319" w:rsidRPr="007067EB" w:rsidRDefault="00F23319" w:rsidP="00F23319">
      <w:pPr>
        <w:pStyle w:val="ListParagraph"/>
        <w:numPr>
          <w:ilvl w:val="0"/>
          <w:numId w:val="15"/>
        </w:numPr>
        <w:spacing w:before="240"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Banking Sector Risk:</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failure of national banking or payments systems.</w:t>
      </w:r>
    </w:p>
    <w:p w14:paraId="06CD2751" w14:textId="77777777" w:rsidR="00F23319" w:rsidRPr="007067EB" w:rsidRDefault="00F23319" w:rsidP="00F23319">
      <w:pPr>
        <w:pStyle w:val="ListParagraph"/>
        <w:numPr>
          <w:ilvl w:val="0"/>
          <w:numId w:val="15"/>
        </w:numPr>
        <w:spacing w:before="240"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External Vulnerability Risk:</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risks originating from current account position and its financing structure, sustainability of external liabilities, and access to hard currency. Risks from environmental factors also included.</w:t>
      </w:r>
    </w:p>
    <w:p w14:paraId="0769FE4F" w14:textId="77777777" w:rsidR="00F23319" w:rsidRPr="007067EB" w:rsidRDefault="00F23319" w:rsidP="00F23319">
      <w:pPr>
        <w:spacing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Moody’s combines the </w:t>
      </w:r>
      <w:r w:rsidRPr="007067EB">
        <w:rPr>
          <w:rFonts w:ascii="Arial Hebrew" w:hAnsi="Arial Hebrew" w:cs="Arial Hebrew" w:hint="cs"/>
          <w:b/>
          <w:bCs/>
          <w:sz w:val="20"/>
          <w:szCs w:val="20"/>
        </w:rPr>
        <w:t>Economic Strength</w:t>
      </w:r>
      <w:r w:rsidRPr="007067EB">
        <w:rPr>
          <w:rFonts w:ascii="Arial Hebrew" w:hAnsi="Arial Hebrew" w:cs="Arial Hebrew" w:hint="cs"/>
          <w:sz w:val="20"/>
          <w:szCs w:val="20"/>
        </w:rPr>
        <w:t xml:space="preserve"> and </w:t>
      </w:r>
      <w:r w:rsidRPr="007067EB">
        <w:rPr>
          <w:rFonts w:ascii="Arial Hebrew" w:hAnsi="Arial Hebrew" w:cs="Arial Hebrew" w:hint="cs"/>
          <w:b/>
          <w:bCs/>
          <w:sz w:val="20"/>
          <w:szCs w:val="20"/>
        </w:rPr>
        <w:t>Institutions &amp; Governance Strength</w:t>
      </w:r>
      <w:r w:rsidRPr="007067EB">
        <w:rPr>
          <w:rFonts w:ascii="Arial Hebrew" w:hAnsi="Arial Hebrew" w:cs="Arial Hebrew" w:hint="cs"/>
          <w:sz w:val="20"/>
          <w:szCs w:val="20"/>
        </w:rPr>
        <w:t xml:space="preserve"> factors with equal weights to produce an </w:t>
      </w:r>
      <w:r w:rsidRPr="007067EB">
        <w:rPr>
          <w:rFonts w:ascii="Arial Hebrew" w:hAnsi="Arial Hebrew" w:cs="Arial Hebrew" w:hint="cs"/>
          <w:b/>
          <w:bCs/>
          <w:sz w:val="20"/>
          <w:szCs w:val="20"/>
        </w:rPr>
        <w:t>Economic Resiliency</w:t>
      </w:r>
      <w:r w:rsidRPr="007067EB">
        <w:rPr>
          <w:rFonts w:ascii="Arial Hebrew" w:hAnsi="Arial Hebrew" w:cs="Arial Hebrew" w:hint="cs"/>
          <w:sz w:val="20"/>
          <w:szCs w:val="20"/>
        </w:rPr>
        <w:t xml:space="preserve"> score. This is combined with the </w:t>
      </w:r>
      <w:r w:rsidRPr="007067EB">
        <w:rPr>
          <w:rFonts w:ascii="Arial Hebrew" w:hAnsi="Arial Hebrew" w:cs="Arial Hebrew" w:hint="cs"/>
          <w:b/>
          <w:bCs/>
          <w:sz w:val="20"/>
          <w:szCs w:val="20"/>
        </w:rPr>
        <w:t>Fiscal Health</w:t>
      </w:r>
      <w:r w:rsidRPr="007067EB">
        <w:rPr>
          <w:rFonts w:ascii="Arial Hebrew" w:hAnsi="Arial Hebrew" w:cs="Arial Hebrew" w:hint="cs"/>
          <w:sz w:val="20"/>
          <w:szCs w:val="20"/>
        </w:rPr>
        <w:t xml:space="preserve"> factor to produce the </w:t>
      </w:r>
      <w:r w:rsidRPr="007067EB">
        <w:rPr>
          <w:rFonts w:ascii="Arial Hebrew" w:hAnsi="Arial Hebrew" w:cs="Arial Hebrew" w:hint="cs"/>
          <w:b/>
          <w:bCs/>
          <w:sz w:val="20"/>
          <w:szCs w:val="20"/>
        </w:rPr>
        <w:t xml:space="preserve">Government Financial Strength </w:t>
      </w:r>
      <w:r w:rsidRPr="007067EB">
        <w:rPr>
          <w:rFonts w:ascii="Arial Hebrew" w:hAnsi="Arial Hebrew" w:cs="Arial Hebrew" w:hint="cs"/>
          <w:sz w:val="20"/>
          <w:szCs w:val="20"/>
        </w:rPr>
        <w:t xml:space="preserve">assessment, with dynamic weights used that increase the relative importance of </w:t>
      </w:r>
      <w:r w:rsidRPr="007067EB">
        <w:rPr>
          <w:rFonts w:ascii="Arial Hebrew" w:hAnsi="Arial Hebrew" w:cs="Arial Hebrew" w:hint="cs"/>
          <w:b/>
          <w:bCs/>
          <w:sz w:val="20"/>
          <w:szCs w:val="20"/>
        </w:rPr>
        <w:t xml:space="preserve">Economic Resiliency </w:t>
      </w:r>
      <w:r w:rsidRPr="007067EB">
        <w:rPr>
          <w:rFonts w:ascii="Arial Hebrew" w:hAnsi="Arial Hebrew" w:cs="Arial Hebrew" w:hint="cs"/>
          <w:sz w:val="20"/>
          <w:szCs w:val="20"/>
        </w:rPr>
        <w:t xml:space="preserve">for wealthier sovereigns and increase the relative importance of </w:t>
      </w:r>
      <w:r w:rsidRPr="007067EB">
        <w:rPr>
          <w:rFonts w:ascii="Arial Hebrew" w:hAnsi="Arial Hebrew" w:cs="Arial Hebrew" w:hint="cs"/>
          <w:b/>
          <w:bCs/>
          <w:sz w:val="20"/>
          <w:szCs w:val="20"/>
        </w:rPr>
        <w:t>Fiscal Health</w:t>
      </w:r>
      <w:r w:rsidRPr="007067EB">
        <w:rPr>
          <w:rFonts w:ascii="Arial Hebrew" w:hAnsi="Arial Hebrew" w:cs="Arial Hebrew" w:hint="cs"/>
          <w:sz w:val="20"/>
          <w:szCs w:val="20"/>
        </w:rPr>
        <w:t xml:space="preserve"> for less wealthy sovereigns. </w:t>
      </w:r>
      <w:r w:rsidRPr="007067EB">
        <w:rPr>
          <w:rFonts w:ascii="Arial Hebrew" w:hAnsi="Arial Hebrew" w:cs="Arial Hebrew" w:hint="cs"/>
          <w:b/>
          <w:bCs/>
          <w:sz w:val="20"/>
          <w:szCs w:val="20"/>
        </w:rPr>
        <w:t>Figure 3</w:t>
      </w:r>
      <w:r w:rsidRPr="007067EB">
        <w:rPr>
          <w:rFonts w:ascii="Arial Hebrew" w:hAnsi="Arial Hebrew" w:cs="Arial Hebrew" w:hint="cs"/>
          <w:sz w:val="20"/>
          <w:szCs w:val="20"/>
        </w:rPr>
        <w:t xml:space="preserve"> shows weights typical for the wealthiest sovereigns (only one-quarter assigned to the </w:t>
      </w:r>
      <w:r w:rsidRPr="007067EB">
        <w:rPr>
          <w:rFonts w:ascii="Arial Hebrew" w:hAnsi="Arial Hebrew" w:cs="Arial Hebrew" w:hint="cs"/>
          <w:b/>
          <w:bCs/>
          <w:sz w:val="20"/>
          <w:szCs w:val="20"/>
        </w:rPr>
        <w:t xml:space="preserve">Fiscal Health </w:t>
      </w:r>
      <w:r w:rsidRPr="007067EB">
        <w:rPr>
          <w:rFonts w:ascii="Arial Hebrew" w:hAnsi="Arial Hebrew" w:cs="Arial Hebrew" w:hint="cs"/>
          <w:sz w:val="20"/>
          <w:szCs w:val="20"/>
        </w:rPr>
        <w:t xml:space="preserve">factor).  The </w:t>
      </w:r>
      <w:r w:rsidRPr="007067EB">
        <w:rPr>
          <w:rFonts w:ascii="Arial Hebrew" w:hAnsi="Arial Hebrew" w:cs="Arial Hebrew" w:hint="cs"/>
          <w:b/>
          <w:bCs/>
          <w:sz w:val="20"/>
          <w:szCs w:val="20"/>
        </w:rPr>
        <w:t>Government Financial Strength</w:t>
      </w:r>
      <w:r w:rsidRPr="007067EB">
        <w:rPr>
          <w:rFonts w:ascii="Arial Hebrew" w:hAnsi="Arial Hebrew" w:cs="Arial Hebrew" w:hint="cs"/>
          <w:sz w:val="20"/>
          <w:szCs w:val="20"/>
        </w:rPr>
        <w:t xml:space="preserve"> assessment can then be adjusted (</w:t>
      </w:r>
      <w:r w:rsidRPr="007067EB">
        <w:rPr>
          <w:rFonts w:ascii="Arial Hebrew" w:hAnsi="Arial Hebrew" w:cs="Arial Hebrew" w:hint="cs"/>
          <w:i/>
          <w:iCs/>
          <w:sz w:val="20"/>
          <w:szCs w:val="20"/>
        </w:rPr>
        <w:t>downward only</w:t>
      </w:r>
      <w:r w:rsidRPr="007067EB">
        <w:rPr>
          <w:rFonts w:ascii="Arial Hebrew" w:hAnsi="Arial Hebrew" w:cs="Arial Hebrew" w:hint="cs"/>
          <w:sz w:val="20"/>
          <w:szCs w:val="20"/>
        </w:rPr>
        <w:t xml:space="preserve">) according to the </w:t>
      </w:r>
      <w:r w:rsidRPr="007067EB">
        <w:rPr>
          <w:rFonts w:ascii="Arial Hebrew" w:hAnsi="Arial Hebrew" w:cs="Arial Hebrew" w:hint="cs"/>
          <w:b/>
          <w:bCs/>
          <w:sz w:val="20"/>
          <w:szCs w:val="20"/>
        </w:rPr>
        <w:t xml:space="preserve">Susceptibility to Event Risk </w:t>
      </w:r>
      <w:r w:rsidRPr="007067EB">
        <w:rPr>
          <w:rFonts w:ascii="Arial Hebrew" w:hAnsi="Arial Hebrew" w:cs="Arial Hebrew" w:hint="cs"/>
          <w:sz w:val="20"/>
          <w:szCs w:val="20"/>
        </w:rPr>
        <w:t xml:space="preserve">assessment, which uses a </w:t>
      </w:r>
      <w:r w:rsidRPr="007067EB">
        <w:rPr>
          <w:rFonts w:ascii="Arial Hebrew" w:hAnsi="Arial Hebrew" w:cs="Arial Hebrew" w:hint="cs"/>
          <w:b/>
          <w:bCs/>
          <w:sz w:val="20"/>
          <w:szCs w:val="20"/>
        </w:rPr>
        <w:t>minimum function</w:t>
      </w:r>
      <w:r w:rsidRPr="007067EB">
        <w:rPr>
          <w:rFonts w:ascii="Arial Hebrew" w:hAnsi="Arial Hebrew" w:cs="Arial Hebrew" w:hint="cs"/>
          <w:sz w:val="20"/>
          <w:szCs w:val="20"/>
        </w:rPr>
        <w:t xml:space="preserve"> for aggregation that lets the weakest of its sub-factors determine its overall score. The final ratings decision is determined by the qualitative judgement of a </w:t>
      </w:r>
      <w:r w:rsidRPr="007067EB">
        <w:rPr>
          <w:rFonts w:ascii="Arial Hebrew" w:hAnsi="Arial Hebrew" w:cs="Arial Hebrew" w:hint="cs"/>
          <w:b/>
          <w:bCs/>
          <w:sz w:val="20"/>
          <w:szCs w:val="20"/>
        </w:rPr>
        <w:t>ratings committee</w:t>
      </w:r>
      <w:r w:rsidRPr="007067EB">
        <w:rPr>
          <w:rFonts w:ascii="Arial Hebrew" w:hAnsi="Arial Hebrew" w:cs="Arial Hebrew" w:hint="cs"/>
          <w:sz w:val="20"/>
          <w:szCs w:val="20"/>
        </w:rPr>
        <w:t>, which may consider various factors idiosyncratic to the sovereign.</w:t>
      </w:r>
    </w:p>
    <w:p w14:paraId="084DD2CD" w14:textId="77777777" w:rsidR="00F23319" w:rsidRPr="007067EB" w:rsidRDefault="00F23319" w:rsidP="00F23319">
      <w:pPr>
        <w:spacing w:before="240" w:after="0"/>
        <w:ind w:left="720"/>
        <w:jc w:val="center"/>
        <w:rPr>
          <w:rFonts w:ascii="Arial Hebrew" w:hAnsi="Arial Hebrew" w:cs="Arial Hebrew" w:hint="cs"/>
          <w:b/>
          <w:bCs/>
          <w:i/>
          <w:iCs/>
          <w:sz w:val="16"/>
          <w:szCs w:val="16"/>
        </w:rPr>
      </w:pPr>
      <w:r w:rsidRPr="007067EB">
        <w:rPr>
          <w:rFonts w:ascii="Arial Hebrew" w:hAnsi="Arial Hebrew" w:cs="Arial Hebrew" w:hint="cs"/>
          <w:b/>
          <w:bCs/>
          <w:i/>
          <w:iCs/>
          <w:sz w:val="16"/>
          <w:szCs w:val="16"/>
        </w:rPr>
        <w:t>Figure 3.</w:t>
      </w:r>
    </w:p>
    <w:p w14:paraId="2C9CBB7F" w14:textId="77777777" w:rsidR="00F23319" w:rsidRPr="007067EB" w:rsidRDefault="00F23319" w:rsidP="00F23319">
      <w:pPr>
        <w:ind w:left="720"/>
        <w:jc w:val="center"/>
        <w:rPr>
          <w:rFonts w:ascii="Arial Hebrew" w:hAnsi="Arial Hebrew" w:cs="Arial Hebrew" w:hint="cs"/>
          <w:b/>
          <w:bCs/>
          <w:sz w:val="28"/>
          <w:szCs w:val="28"/>
        </w:rPr>
      </w:pPr>
      <w:r w:rsidRPr="007067EB">
        <w:rPr>
          <w:rFonts w:ascii="Arial Hebrew" w:hAnsi="Arial Hebrew" w:cs="Arial Hebrew" w:hint="cs"/>
          <w:b/>
          <w:bCs/>
          <w:sz w:val="28"/>
          <w:szCs w:val="28"/>
        </w:rPr>
        <w:t>Moody’s Sovereign Assessment Framework</w:t>
      </w:r>
    </w:p>
    <w:p w14:paraId="13D1B362" w14:textId="77777777" w:rsidR="00F23319" w:rsidRPr="007067EB" w:rsidRDefault="00F23319" w:rsidP="00F23319">
      <w:pPr>
        <w:spacing w:after="0" w:line="240" w:lineRule="auto"/>
        <w:ind w:firstLine="720"/>
        <w:rPr>
          <w:rFonts w:ascii="Arial Hebrew" w:hAnsi="Arial Hebrew" w:cs="Arial Hebrew" w:hint="cs"/>
          <w:b/>
          <w:bCs/>
          <w:sz w:val="18"/>
          <w:szCs w:val="18"/>
        </w:rPr>
      </w:pPr>
      <w:r w:rsidRPr="007067EB">
        <w:rPr>
          <w:rFonts w:ascii="Arial Hebrew" w:hAnsi="Arial Hebrew" w:cs="Arial Hebrew" w:hint="cs"/>
          <w:noProof/>
        </w:rPr>
        <mc:AlternateContent>
          <mc:Choice Requires="wps">
            <w:drawing>
              <wp:anchor distT="0" distB="0" distL="114300" distR="114300" simplePos="0" relativeHeight="251669504" behindDoc="0" locked="0" layoutInCell="1" allowOverlap="1" wp14:anchorId="0DB6DDBB" wp14:editId="3B650E19">
                <wp:simplePos x="0" y="0"/>
                <wp:positionH relativeFrom="column">
                  <wp:posOffset>41097</wp:posOffset>
                </wp:positionH>
                <wp:positionV relativeFrom="paragraph">
                  <wp:posOffset>37593</wp:posOffset>
                </wp:positionV>
                <wp:extent cx="1079272" cy="1236039"/>
                <wp:effectExtent l="0" t="0" r="13335" b="8890"/>
                <wp:wrapNone/>
                <wp:docPr id="1104759787" name="Text Box 4"/>
                <wp:cNvGraphicFramePr/>
                <a:graphic xmlns:a="http://schemas.openxmlformats.org/drawingml/2006/main">
                  <a:graphicData uri="http://schemas.microsoft.com/office/word/2010/wordprocessingShape">
                    <wps:wsp>
                      <wps:cNvSpPr txBox="1"/>
                      <wps:spPr>
                        <a:xfrm>
                          <a:off x="0" y="0"/>
                          <a:ext cx="1079272" cy="1236039"/>
                        </a:xfrm>
                        <a:prstGeom prst="rect">
                          <a:avLst/>
                        </a:prstGeom>
                        <a:solidFill>
                          <a:schemeClr val="bg1">
                            <a:lumMod val="95000"/>
                          </a:schemeClr>
                        </a:solidFill>
                        <a:ln w="12700">
                          <a:solidFill>
                            <a:schemeClr val="tx1"/>
                          </a:solidFill>
                        </a:ln>
                      </wps:spPr>
                      <wps:txbx>
                        <w:txbxContent>
                          <w:p w14:paraId="4155D990" w14:textId="77777777" w:rsidR="00F23319" w:rsidRPr="006C7AF9" w:rsidRDefault="00F23319" w:rsidP="00F23319">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15883106" w14:textId="77777777" w:rsidR="00F23319" w:rsidRPr="006C7AF9" w:rsidRDefault="00F23319" w:rsidP="00F23319">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 xml:space="preserve">Negative adjustment </w:t>
                            </w:r>
                          </w:p>
                          <w:p w14:paraId="24CD6023" w14:textId="77777777" w:rsidR="00F23319" w:rsidRPr="006C7AF9" w:rsidRDefault="00F23319" w:rsidP="00F23319">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75EDF7F4" w14:textId="77777777" w:rsidR="00F23319" w:rsidRPr="006C7AF9" w:rsidRDefault="00F23319" w:rsidP="00F23319">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454E324B" w14:textId="77777777" w:rsidR="00F23319" w:rsidRPr="006C7AF9"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political risk</w:t>
                            </w:r>
                          </w:p>
                          <w:p w14:paraId="63EC3B3D" w14:textId="77777777" w:rsidR="00F23319" w:rsidRPr="006C7AF9"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liquidity risk</w:t>
                            </w:r>
                          </w:p>
                          <w:p w14:paraId="78A984C0" w14:textId="77777777" w:rsidR="00F23319" w:rsidRPr="006C7AF9"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banking risk</w:t>
                            </w:r>
                          </w:p>
                          <w:p w14:paraId="1A56A1AE" w14:textId="77777777" w:rsidR="00F23319" w:rsidRPr="00F5665D"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external vulnerability risk</w:t>
                            </w:r>
                          </w:p>
                          <w:p w14:paraId="0885414B" w14:textId="77777777" w:rsidR="00F23319" w:rsidRPr="00E779CC" w:rsidRDefault="00F23319" w:rsidP="00F23319">
                            <w:pPr>
                              <w:spacing w:after="0" w:line="240" w:lineRule="auto"/>
                              <w:rPr>
                                <w:rFonts w:ascii="Arial" w:hAnsi="Arial" w:cs="Arial"/>
                                <w:b/>
                                <w:bCs/>
                                <w:color w:val="D86DCB" w:themeColor="accent5" w:themeTint="99"/>
                                <w:sz w:val="16"/>
                                <w:szCs w:val="16"/>
                                <w:lang w:val="en-US"/>
                              </w:rPr>
                            </w:pPr>
                          </w:p>
                          <w:p w14:paraId="7B268CBF"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10F26590"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3E2F07A0" w14:textId="77777777" w:rsidR="00F23319" w:rsidRPr="00DB187D" w:rsidRDefault="00F23319" w:rsidP="00F23319">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6DDBB" id="_x0000_t202" coordsize="21600,21600" o:spt="202" path="m,l,21600r21600,l21600,xe">
                <v:stroke joinstyle="miter"/>
                <v:path gradientshapeok="t" o:connecttype="rect"/>
              </v:shapetype>
              <v:shape id="Text Box 4" o:spid="_x0000_s1026" type="#_x0000_t202" style="position:absolute;left:0;text-align:left;margin-left:3.25pt;margin-top:2.95pt;width:85pt;height:9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" fillcolor="#f2f2f2 [3052]" strokecolor="black [3213]" strokeweight="1pt">
                <v:textbox>
                  <w:txbxContent>
                    <w:p w14:paraId="4155D990" w14:textId="77777777" w:rsidR="00F23319" w:rsidRPr="006C7AF9" w:rsidRDefault="00F23319" w:rsidP="00F23319">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15883106" w14:textId="77777777" w:rsidR="00F23319" w:rsidRPr="006C7AF9" w:rsidRDefault="00F23319" w:rsidP="00F23319">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 xml:space="preserve">Negative adjustment </w:t>
                      </w:r>
                    </w:p>
                    <w:p w14:paraId="24CD6023" w14:textId="77777777" w:rsidR="00F23319" w:rsidRPr="006C7AF9" w:rsidRDefault="00F23319" w:rsidP="00F23319">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75EDF7F4" w14:textId="77777777" w:rsidR="00F23319" w:rsidRPr="006C7AF9" w:rsidRDefault="00F23319" w:rsidP="00F23319">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454E324B" w14:textId="77777777" w:rsidR="00F23319" w:rsidRPr="006C7AF9"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political risk</w:t>
                      </w:r>
                    </w:p>
                    <w:p w14:paraId="63EC3B3D" w14:textId="77777777" w:rsidR="00F23319" w:rsidRPr="006C7AF9"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liquidity risk</w:t>
                      </w:r>
                    </w:p>
                    <w:p w14:paraId="78A984C0" w14:textId="77777777" w:rsidR="00F23319" w:rsidRPr="006C7AF9"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banking risk</w:t>
                      </w:r>
                    </w:p>
                    <w:p w14:paraId="1A56A1AE" w14:textId="77777777" w:rsidR="00F23319" w:rsidRPr="00F5665D" w:rsidRDefault="00F23319" w:rsidP="00F23319">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 external vulnerability risk</w:t>
                      </w:r>
                    </w:p>
                    <w:p w14:paraId="0885414B" w14:textId="77777777" w:rsidR="00F23319" w:rsidRPr="00E779CC" w:rsidRDefault="00F23319" w:rsidP="00F23319">
                      <w:pPr>
                        <w:spacing w:after="0" w:line="240" w:lineRule="auto"/>
                        <w:rPr>
                          <w:rFonts w:ascii="Arial" w:hAnsi="Arial" w:cs="Arial"/>
                          <w:b/>
                          <w:bCs/>
                          <w:color w:val="D86DCB" w:themeColor="accent5" w:themeTint="99"/>
                          <w:sz w:val="16"/>
                          <w:szCs w:val="16"/>
                          <w:lang w:val="en-US"/>
                        </w:rPr>
                      </w:pPr>
                    </w:p>
                    <w:p w14:paraId="7B268CBF"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10F26590"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3E2F07A0" w14:textId="77777777" w:rsidR="00F23319" w:rsidRPr="00DB187D" w:rsidRDefault="00F23319" w:rsidP="00F23319">
                      <w:pPr>
                        <w:spacing w:after="0" w:line="240" w:lineRule="auto"/>
                        <w:rPr>
                          <w:rFonts w:ascii="Arial" w:hAnsi="Arial" w:cs="Arial"/>
                          <w:b/>
                          <w:bCs/>
                          <w:sz w:val="16"/>
                          <w:szCs w:val="16"/>
                          <w:lang w:val="en-US"/>
                        </w:rPr>
                      </w:pPr>
                    </w:p>
                  </w:txbxContent>
                </v:textbox>
              </v:shape>
            </w:pict>
          </mc:Fallback>
        </mc:AlternateContent>
      </w:r>
      <w:r w:rsidRPr="007067EB">
        <w:rPr>
          <w:rFonts w:ascii="Arial Hebrew" w:hAnsi="Arial Hebrew" w:cs="Arial Hebrew" w:hint="cs"/>
          <w:noProof/>
        </w:rPr>
        <w:drawing>
          <wp:anchor distT="0" distB="0" distL="114300" distR="114300" simplePos="0" relativeHeight="251664384" behindDoc="0" locked="0" layoutInCell="1" allowOverlap="1" wp14:anchorId="2EDAB3A5" wp14:editId="172A7D43">
            <wp:simplePos x="0" y="0"/>
            <wp:positionH relativeFrom="column">
              <wp:posOffset>2007235</wp:posOffset>
            </wp:positionH>
            <wp:positionV relativeFrom="paragraph">
              <wp:posOffset>82405</wp:posOffset>
            </wp:positionV>
            <wp:extent cx="2345055" cy="1845310"/>
            <wp:effectExtent l="0" t="0" r="4445"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7067EB">
        <w:rPr>
          <w:rFonts w:ascii="Arial Hebrew" w:hAnsi="Arial Hebrew" w:cs="Arial Hebrew" w:hint="cs"/>
          <w:noProof/>
        </w:rPr>
        <mc:AlternateContent>
          <mc:Choice Requires="wps">
            <w:drawing>
              <wp:anchor distT="0" distB="0" distL="114300" distR="114300" simplePos="0" relativeHeight="251666432" behindDoc="0" locked="0" layoutInCell="1" allowOverlap="1" wp14:anchorId="54142F48" wp14:editId="2566C2FC">
                <wp:simplePos x="0" y="0"/>
                <wp:positionH relativeFrom="column">
                  <wp:posOffset>1380490</wp:posOffset>
                </wp:positionH>
                <wp:positionV relativeFrom="paragraph">
                  <wp:posOffset>93200</wp:posOffset>
                </wp:positionV>
                <wp:extent cx="1129030" cy="711200"/>
                <wp:effectExtent l="0" t="0" r="13970" b="12700"/>
                <wp:wrapNone/>
                <wp:docPr id="213641860" name="Text Box 4"/>
                <wp:cNvGraphicFramePr/>
                <a:graphic xmlns:a="http://schemas.openxmlformats.org/drawingml/2006/main">
                  <a:graphicData uri="http://schemas.microsoft.com/office/word/2010/wordprocessingShape">
                    <wps:wsp>
                      <wps:cNvSpPr txBox="1"/>
                      <wps:spPr>
                        <a:xfrm>
                          <a:off x="0" y="0"/>
                          <a:ext cx="1129030" cy="711200"/>
                        </a:xfrm>
                        <a:prstGeom prst="rect">
                          <a:avLst/>
                        </a:prstGeom>
                        <a:solidFill>
                          <a:schemeClr val="lt1"/>
                        </a:solidFill>
                        <a:ln w="9525">
                          <a:solidFill>
                            <a:schemeClr val="tx1"/>
                          </a:solidFill>
                        </a:ln>
                      </wps:spPr>
                      <wps:txbx>
                        <w:txbxContent>
                          <w:p w14:paraId="318EEBD4" w14:textId="77777777" w:rsidR="00F23319" w:rsidRPr="0021681E" w:rsidRDefault="00F23319" w:rsidP="00F23319">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 xml:space="preserve">Fiscal Health        </w:t>
                            </w:r>
                          </w:p>
                          <w:p w14:paraId="52F9EFB1" w14:textId="77777777" w:rsidR="00F23319" w:rsidRPr="0021681E" w:rsidRDefault="00F23319" w:rsidP="00F23319">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interest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revenue</w:t>
                            </w:r>
                          </w:p>
                          <w:p w14:paraId="596D44AC" w14:textId="77777777" w:rsidR="00F23319" w:rsidRPr="0021681E" w:rsidRDefault="00F23319" w:rsidP="00F2331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interest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gdp</w:t>
                            </w:r>
                          </w:p>
                          <w:p w14:paraId="4FF05F7D" w14:textId="77777777" w:rsidR="00F23319" w:rsidRPr="0021681E" w:rsidRDefault="00F23319" w:rsidP="00F2331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debt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revenue</w:t>
                            </w:r>
                          </w:p>
                          <w:p w14:paraId="538C128E" w14:textId="77777777" w:rsidR="00F23319" w:rsidRPr="0021681E" w:rsidRDefault="00F23319" w:rsidP="00F2331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debt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gdp</w:t>
                            </w:r>
                          </w:p>
                          <w:p w14:paraId="3FB0AAC0" w14:textId="77777777" w:rsidR="00F23319" w:rsidRPr="0021681E" w:rsidRDefault="00F23319" w:rsidP="00F23319">
                            <w:pPr>
                              <w:spacing w:after="0" w:line="240" w:lineRule="auto"/>
                              <w:rPr>
                                <w:rFonts w:ascii="Arial" w:hAnsi="Arial" w:cs="Arial"/>
                                <w:b/>
                                <w:bCs/>
                                <w:color w:val="E97132" w:themeColor="accent2"/>
                                <w:sz w:val="16"/>
                                <w:szCs w:val="16"/>
                                <w:lang w:val="en-US"/>
                              </w:rPr>
                            </w:pPr>
                          </w:p>
                          <w:p w14:paraId="7793676E"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6CF3E570"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63B5EAE7" w14:textId="77777777" w:rsidR="00F23319" w:rsidRPr="00DB187D" w:rsidRDefault="00F23319" w:rsidP="00F23319">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42F48" id="_x0000_s1027" type="#_x0000_t202" style="position:absolute;left:0;text-align:left;margin-left:108.7pt;margin-top:7.35pt;width:88.9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" fillcolor="white [3201]" strokecolor="black [3213]">
                <v:textbox>
                  <w:txbxContent>
                    <w:p w14:paraId="318EEBD4" w14:textId="77777777" w:rsidR="00F23319" w:rsidRPr="0021681E" w:rsidRDefault="00F23319" w:rsidP="00F23319">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 xml:space="preserve">Fiscal Health        </w:t>
                      </w:r>
                    </w:p>
                    <w:p w14:paraId="52F9EFB1" w14:textId="77777777" w:rsidR="00F23319" w:rsidRPr="0021681E" w:rsidRDefault="00F23319" w:rsidP="00F23319">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interest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revenue</w:t>
                      </w:r>
                    </w:p>
                    <w:p w14:paraId="596D44AC" w14:textId="77777777" w:rsidR="00F23319" w:rsidRPr="0021681E" w:rsidRDefault="00F23319" w:rsidP="00F2331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interest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gdp</w:t>
                      </w:r>
                    </w:p>
                    <w:p w14:paraId="4FF05F7D" w14:textId="77777777" w:rsidR="00F23319" w:rsidRPr="0021681E" w:rsidRDefault="00F23319" w:rsidP="00F2331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debt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revenue</w:t>
                      </w:r>
                    </w:p>
                    <w:p w14:paraId="538C128E" w14:textId="77777777" w:rsidR="00F23319" w:rsidRPr="0021681E" w:rsidRDefault="00F23319" w:rsidP="00F2331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debt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w:t>
                      </w:r>
                      <w:r>
                        <w:rPr>
                          <w:rFonts w:ascii="Arial" w:hAnsi="Arial" w:cs="Arial"/>
                          <w:b/>
                          <w:bCs/>
                          <w:color w:val="E97132" w:themeColor="accent2"/>
                          <w:sz w:val="15"/>
                          <w:szCs w:val="15"/>
                          <w:lang w:val="en-US"/>
                        </w:rPr>
                        <w:t xml:space="preserve"> </w:t>
                      </w:r>
                      <w:r w:rsidRPr="0021681E">
                        <w:rPr>
                          <w:rFonts w:ascii="Arial" w:hAnsi="Arial" w:cs="Arial"/>
                          <w:b/>
                          <w:bCs/>
                          <w:color w:val="E97132" w:themeColor="accent2"/>
                          <w:sz w:val="15"/>
                          <w:szCs w:val="15"/>
                          <w:lang w:val="en-US"/>
                        </w:rPr>
                        <w:t>gdp</w:t>
                      </w:r>
                    </w:p>
                    <w:p w14:paraId="3FB0AAC0" w14:textId="77777777" w:rsidR="00F23319" w:rsidRPr="0021681E" w:rsidRDefault="00F23319" w:rsidP="00F23319">
                      <w:pPr>
                        <w:spacing w:after="0" w:line="240" w:lineRule="auto"/>
                        <w:rPr>
                          <w:rFonts w:ascii="Arial" w:hAnsi="Arial" w:cs="Arial"/>
                          <w:b/>
                          <w:bCs/>
                          <w:color w:val="E97132" w:themeColor="accent2"/>
                          <w:sz w:val="16"/>
                          <w:szCs w:val="16"/>
                          <w:lang w:val="en-US"/>
                        </w:rPr>
                      </w:pPr>
                    </w:p>
                    <w:p w14:paraId="7793676E"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6CF3E570" w14:textId="77777777" w:rsidR="00F23319" w:rsidRPr="00DB187D" w:rsidRDefault="00F23319" w:rsidP="00F2331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63B5EAE7" w14:textId="77777777" w:rsidR="00F23319" w:rsidRPr="00DB187D" w:rsidRDefault="00F23319" w:rsidP="00F23319">
                      <w:pPr>
                        <w:spacing w:after="0" w:line="240" w:lineRule="auto"/>
                        <w:rPr>
                          <w:rFonts w:ascii="Arial" w:hAnsi="Arial" w:cs="Arial"/>
                          <w:b/>
                          <w:bCs/>
                          <w:sz w:val="16"/>
                          <w:szCs w:val="16"/>
                          <w:lang w:val="en-US"/>
                        </w:rPr>
                      </w:pP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63360" behindDoc="0" locked="0" layoutInCell="1" allowOverlap="1" wp14:anchorId="7253119D" wp14:editId="77D7AC97">
                <wp:simplePos x="0" y="0"/>
                <wp:positionH relativeFrom="column">
                  <wp:posOffset>1316990</wp:posOffset>
                </wp:positionH>
                <wp:positionV relativeFrom="paragraph">
                  <wp:posOffset>35560</wp:posOffset>
                </wp:positionV>
                <wp:extent cx="4415155" cy="2421255"/>
                <wp:effectExtent l="0" t="0" r="17145" b="17145"/>
                <wp:wrapNone/>
                <wp:docPr id="324667743" name="Text Box 4"/>
                <wp:cNvGraphicFramePr/>
                <a:graphic xmlns:a="http://schemas.openxmlformats.org/drawingml/2006/main">
                  <a:graphicData uri="http://schemas.microsoft.com/office/word/2010/wordprocessingShape">
                    <wps:wsp>
                      <wps:cNvSpPr txBox="1"/>
                      <wps:spPr>
                        <a:xfrm>
                          <a:off x="0" y="0"/>
                          <a:ext cx="4415155" cy="2421255"/>
                        </a:xfrm>
                        <a:prstGeom prst="rect">
                          <a:avLst/>
                        </a:prstGeom>
                        <a:solidFill>
                          <a:schemeClr val="bg1">
                            <a:lumMod val="95000"/>
                          </a:schemeClr>
                        </a:solidFill>
                        <a:ln w="12700">
                          <a:solidFill>
                            <a:schemeClr val="tx1"/>
                          </a:solidFill>
                        </a:ln>
                      </wps:spPr>
                      <wps:txbx>
                        <w:txbxContent>
                          <w:p w14:paraId="374F3AA1" w14:textId="77777777" w:rsidR="00F23319" w:rsidRDefault="00F23319" w:rsidP="00F23319">
                            <w:pPr>
                              <w:spacing w:after="0" w:line="240" w:lineRule="auto"/>
                              <w:rPr>
                                <w:rFonts w:ascii="Arial" w:hAnsi="Arial" w:cs="Arial"/>
                                <w:b/>
                                <w:bCs/>
                                <w:color w:val="000000" w:themeColor="text1"/>
                                <w:sz w:val="18"/>
                                <w:szCs w:val="18"/>
                                <w:lang w:val="en-US"/>
                              </w:rPr>
                            </w:pPr>
                          </w:p>
                          <w:p w14:paraId="7588FE63" w14:textId="77777777" w:rsidR="00F23319" w:rsidRDefault="00F23319" w:rsidP="00F23319">
                            <w:pPr>
                              <w:spacing w:after="0" w:line="240" w:lineRule="auto"/>
                              <w:rPr>
                                <w:rFonts w:ascii="Arial" w:hAnsi="Arial" w:cs="Arial"/>
                                <w:b/>
                                <w:bCs/>
                                <w:color w:val="000000" w:themeColor="text1"/>
                                <w:sz w:val="18"/>
                                <w:szCs w:val="18"/>
                                <w:lang w:val="en-US"/>
                              </w:rPr>
                            </w:pPr>
                          </w:p>
                          <w:p w14:paraId="23941C3E" w14:textId="77777777" w:rsidR="00F23319" w:rsidRDefault="00F23319" w:rsidP="00F23319">
                            <w:pPr>
                              <w:spacing w:after="0" w:line="240" w:lineRule="auto"/>
                              <w:rPr>
                                <w:rFonts w:ascii="Arial" w:hAnsi="Arial" w:cs="Arial"/>
                                <w:b/>
                                <w:bCs/>
                                <w:color w:val="000000" w:themeColor="text1"/>
                                <w:sz w:val="18"/>
                                <w:szCs w:val="18"/>
                                <w:lang w:val="en-US"/>
                              </w:rPr>
                            </w:pPr>
                          </w:p>
                          <w:p w14:paraId="040C4F2B" w14:textId="77777777" w:rsidR="00F23319" w:rsidRDefault="00F23319" w:rsidP="00F23319">
                            <w:pPr>
                              <w:spacing w:after="0" w:line="240" w:lineRule="auto"/>
                              <w:rPr>
                                <w:rFonts w:ascii="Arial" w:hAnsi="Arial" w:cs="Arial"/>
                                <w:b/>
                                <w:bCs/>
                                <w:color w:val="000000" w:themeColor="text1"/>
                                <w:sz w:val="18"/>
                                <w:szCs w:val="18"/>
                                <w:lang w:val="en-US"/>
                              </w:rPr>
                            </w:pPr>
                          </w:p>
                          <w:p w14:paraId="6745D386" w14:textId="77777777" w:rsidR="00F23319" w:rsidRDefault="00F23319" w:rsidP="00F23319">
                            <w:pPr>
                              <w:spacing w:after="0" w:line="240" w:lineRule="auto"/>
                              <w:rPr>
                                <w:rFonts w:ascii="Arial" w:hAnsi="Arial" w:cs="Arial"/>
                                <w:b/>
                                <w:bCs/>
                                <w:color w:val="000000" w:themeColor="text1"/>
                                <w:sz w:val="18"/>
                                <w:szCs w:val="18"/>
                                <w:lang w:val="en-US"/>
                              </w:rPr>
                            </w:pPr>
                          </w:p>
                          <w:p w14:paraId="7CD0B0A4" w14:textId="77777777" w:rsidR="00F23319" w:rsidRDefault="00F23319" w:rsidP="00F23319">
                            <w:pPr>
                              <w:spacing w:after="0" w:line="240" w:lineRule="auto"/>
                              <w:rPr>
                                <w:rFonts w:ascii="Arial" w:hAnsi="Arial" w:cs="Arial"/>
                                <w:b/>
                                <w:bCs/>
                                <w:color w:val="000000" w:themeColor="text1"/>
                                <w:sz w:val="18"/>
                                <w:szCs w:val="18"/>
                                <w:lang w:val="en-US"/>
                              </w:rPr>
                            </w:pPr>
                          </w:p>
                          <w:p w14:paraId="6D15722B" w14:textId="77777777" w:rsidR="00F23319" w:rsidRDefault="00F23319" w:rsidP="00F23319">
                            <w:pPr>
                              <w:spacing w:after="0" w:line="240" w:lineRule="auto"/>
                              <w:rPr>
                                <w:rFonts w:ascii="Arial" w:hAnsi="Arial" w:cs="Arial"/>
                                <w:b/>
                                <w:bCs/>
                                <w:color w:val="000000" w:themeColor="text1"/>
                                <w:sz w:val="18"/>
                                <w:szCs w:val="18"/>
                                <w:lang w:val="en-US"/>
                              </w:rPr>
                            </w:pPr>
                          </w:p>
                          <w:p w14:paraId="6AC9DFB8" w14:textId="77777777" w:rsidR="00F23319" w:rsidRDefault="00F23319" w:rsidP="00F23319">
                            <w:pPr>
                              <w:spacing w:after="0" w:line="240" w:lineRule="auto"/>
                              <w:rPr>
                                <w:rFonts w:ascii="Arial" w:hAnsi="Arial" w:cs="Arial"/>
                                <w:b/>
                                <w:bCs/>
                                <w:color w:val="000000" w:themeColor="text1"/>
                                <w:sz w:val="18"/>
                                <w:szCs w:val="18"/>
                                <w:lang w:val="en-US"/>
                              </w:rPr>
                            </w:pPr>
                          </w:p>
                          <w:p w14:paraId="5D9878AC" w14:textId="77777777" w:rsidR="00F23319" w:rsidRDefault="00F23319" w:rsidP="00F23319">
                            <w:pPr>
                              <w:spacing w:after="0" w:line="240" w:lineRule="auto"/>
                              <w:rPr>
                                <w:rFonts w:ascii="Arial" w:hAnsi="Arial" w:cs="Arial"/>
                                <w:b/>
                                <w:bCs/>
                                <w:color w:val="000000" w:themeColor="text1"/>
                                <w:sz w:val="18"/>
                                <w:szCs w:val="18"/>
                                <w:lang w:val="en-US"/>
                              </w:rPr>
                            </w:pPr>
                          </w:p>
                          <w:p w14:paraId="3D5A4ECD" w14:textId="77777777" w:rsidR="00F23319" w:rsidRDefault="00F23319" w:rsidP="00F23319">
                            <w:pPr>
                              <w:spacing w:after="0" w:line="240" w:lineRule="auto"/>
                              <w:rPr>
                                <w:rFonts w:ascii="Arial" w:hAnsi="Arial" w:cs="Arial"/>
                                <w:b/>
                                <w:bCs/>
                                <w:color w:val="000000" w:themeColor="text1"/>
                                <w:sz w:val="18"/>
                                <w:szCs w:val="18"/>
                                <w:lang w:val="en-US"/>
                              </w:rPr>
                            </w:pPr>
                          </w:p>
                          <w:p w14:paraId="4C8DF307" w14:textId="77777777" w:rsidR="00F23319" w:rsidRDefault="00F23319" w:rsidP="00F23319">
                            <w:pPr>
                              <w:spacing w:after="0" w:line="240" w:lineRule="auto"/>
                              <w:rPr>
                                <w:rFonts w:ascii="Arial" w:hAnsi="Arial" w:cs="Arial"/>
                                <w:b/>
                                <w:bCs/>
                                <w:color w:val="000000" w:themeColor="text1"/>
                                <w:sz w:val="18"/>
                                <w:szCs w:val="18"/>
                                <w:lang w:val="en-US"/>
                              </w:rPr>
                            </w:pPr>
                          </w:p>
                          <w:p w14:paraId="7CB1243D" w14:textId="77777777" w:rsidR="00F23319" w:rsidRDefault="00F23319" w:rsidP="00F23319">
                            <w:pPr>
                              <w:spacing w:after="0" w:line="240" w:lineRule="auto"/>
                              <w:rPr>
                                <w:rFonts w:ascii="Arial" w:hAnsi="Arial" w:cs="Arial"/>
                                <w:b/>
                                <w:bCs/>
                                <w:color w:val="000000" w:themeColor="text1"/>
                                <w:sz w:val="18"/>
                                <w:szCs w:val="18"/>
                                <w:lang w:val="en-US"/>
                              </w:rPr>
                            </w:pPr>
                          </w:p>
                          <w:p w14:paraId="32C82A0D" w14:textId="77777777" w:rsidR="00F23319" w:rsidRDefault="00F23319" w:rsidP="00F23319">
                            <w:pPr>
                              <w:spacing w:after="0" w:line="240" w:lineRule="auto"/>
                              <w:rPr>
                                <w:rFonts w:ascii="Arial" w:hAnsi="Arial" w:cs="Arial"/>
                                <w:b/>
                                <w:bCs/>
                                <w:color w:val="000000" w:themeColor="text1"/>
                                <w:sz w:val="18"/>
                                <w:szCs w:val="18"/>
                                <w:lang w:val="en-US"/>
                              </w:rPr>
                            </w:pPr>
                          </w:p>
                          <w:p w14:paraId="44021229" w14:textId="77777777" w:rsidR="00F23319" w:rsidRDefault="00F23319" w:rsidP="00F23319">
                            <w:pPr>
                              <w:spacing w:after="0"/>
                              <w:rPr>
                                <w:rFonts w:ascii="Arial" w:hAnsi="Arial" w:cs="Arial"/>
                                <w:b/>
                                <w:bCs/>
                                <w:color w:val="000000" w:themeColor="text1"/>
                                <w:sz w:val="18"/>
                                <w:szCs w:val="18"/>
                                <w:lang w:val="en-US"/>
                              </w:rPr>
                            </w:pPr>
                          </w:p>
                          <w:p w14:paraId="1E7F75C7" w14:textId="77777777" w:rsidR="00F23319" w:rsidRPr="00DB187D" w:rsidRDefault="00F23319" w:rsidP="00F23319">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1AD626B1" w14:textId="77777777" w:rsidR="00F23319" w:rsidRDefault="00F23319" w:rsidP="00F23319">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24970E26" w14:textId="77777777" w:rsidR="00F23319" w:rsidRPr="00982C36" w:rsidRDefault="00F23319" w:rsidP="00F23319">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Fiscal Health : Economic Resiliency</w:t>
                            </w:r>
                          </w:p>
                          <w:p w14:paraId="520683F9" w14:textId="77777777" w:rsidR="00F23319" w:rsidRPr="00DB187D" w:rsidRDefault="00F23319" w:rsidP="00F23319">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119D" id="_x0000_s1028" type="#_x0000_t202" style="position:absolute;left:0;text-align:left;margin-left:103.7pt;margin-top:2.8pt;width:347.65pt;height:19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" fillcolor="#f2f2f2 [3052]" strokecolor="black [3213]" strokeweight="1pt">
                <v:textbox>
                  <w:txbxContent>
                    <w:p w14:paraId="374F3AA1" w14:textId="77777777" w:rsidR="00F23319" w:rsidRDefault="00F23319" w:rsidP="00F23319">
                      <w:pPr>
                        <w:spacing w:after="0" w:line="240" w:lineRule="auto"/>
                        <w:rPr>
                          <w:rFonts w:ascii="Arial" w:hAnsi="Arial" w:cs="Arial"/>
                          <w:b/>
                          <w:bCs/>
                          <w:color w:val="000000" w:themeColor="text1"/>
                          <w:sz w:val="18"/>
                          <w:szCs w:val="18"/>
                          <w:lang w:val="en-US"/>
                        </w:rPr>
                      </w:pPr>
                    </w:p>
                    <w:p w14:paraId="7588FE63" w14:textId="77777777" w:rsidR="00F23319" w:rsidRDefault="00F23319" w:rsidP="00F23319">
                      <w:pPr>
                        <w:spacing w:after="0" w:line="240" w:lineRule="auto"/>
                        <w:rPr>
                          <w:rFonts w:ascii="Arial" w:hAnsi="Arial" w:cs="Arial"/>
                          <w:b/>
                          <w:bCs/>
                          <w:color w:val="000000" w:themeColor="text1"/>
                          <w:sz w:val="18"/>
                          <w:szCs w:val="18"/>
                          <w:lang w:val="en-US"/>
                        </w:rPr>
                      </w:pPr>
                    </w:p>
                    <w:p w14:paraId="23941C3E" w14:textId="77777777" w:rsidR="00F23319" w:rsidRDefault="00F23319" w:rsidP="00F23319">
                      <w:pPr>
                        <w:spacing w:after="0" w:line="240" w:lineRule="auto"/>
                        <w:rPr>
                          <w:rFonts w:ascii="Arial" w:hAnsi="Arial" w:cs="Arial"/>
                          <w:b/>
                          <w:bCs/>
                          <w:color w:val="000000" w:themeColor="text1"/>
                          <w:sz w:val="18"/>
                          <w:szCs w:val="18"/>
                          <w:lang w:val="en-US"/>
                        </w:rPr>
                      </w:pPr>
                    </w:p>
                    <w:p w14:paraId="040C4F2B" w14:textId="77777777" w:rsidR="00F23319" w:rsidRDefault="00F23319" w:rsidP="00F23319">
                      <w:pPr>
                        <w:spacing w:after="0" w:line="240" w:lineRule="auto"/>
                        <w:rPr>
                          <w:rFonts w:ascii="Arial" w:hAnsi="Arial" w:cs="Arial"/>
                          <w:b/>
                          <w:bCs/>
                          <w:color w:val="000000" w:themeColor="text1"/>
                          <w:sz w:val="18"/>
                          <w:szCs w:val="18"/>
                          <w:lang w:val="en-US"/>
                        </w:rPr>
                      </w:pPr>
                    </w:p>
                    <w:p w14:paraId="6745D386" w14:textId="77777777" w:rsidR="00F23319" w:rsidRDefault="00F23319" w:rsidP="00F23319">
                      <w:pPr>
                        <w:spacing w:after="0" w:line="240" w:lineRule="auto"/>
                        <w:rPr>
                          <w:rFonts w:ascii="Arial" w:hAnsi="Arial" w:cs="Arial"/>
                          <w:b/>
                          <w:bCs/>
                          <w:color w:val="000000" w:themeColor="text1"/>
                          <w:sz w:val="18"/>
                          <w:szCs w:val="18"/>
                          <w:lang w:val="en-US"/>
                        </w:rPr>
                      </w:pPr>
                    </w:p>
                    <w:p w14:paraId="7CD0B0A4" w14:textId="77777777" w:rsidR="00F23319" w:rsidRDefault="00F23319" w:rsidP="00F23319">
                      <w:pPr>
                        <w:spacing w:after="0" w:line="240" w:lineRule="auto"/>
                        <w:rPr>
                          <w:rFonts w:ascii="Arial" w:hAnsi="Arial" w:cs="Arial"/>
                          <w:b/>
                          <w:bCs/>
                          <w:color w:val="000000" w:themeColor="text1"/>
                          <w:sz w:val="18"/>
                          <w:szCs w:val="18"/>
                          <w:lang w:val="en-US"/>
                        </w:rPr>
                      </w:pPr>
                    </w:p>
                    <w:p w14:paraId="6D15722B" w14:textId="77777777" w:rsidR="00F23319" w:rsidRDefault="00F23319" w:rsidP="00F23319">
                      <w:pPr>
                        <w:spacing w:after="0" w:line="240" w:lineRule="auto"/>
                        <w:rPr>
                          <w:rFonts w:ascii="Arial" w:hAnsi="Arial" w:cs="Arial"/>
                          <w:b/>
                          <w:bCs/>
                          <w:color w:val="000000" w:themeColor="text1"/>
                          <w:sz w:val="18"/>
                          <w:szCs w:val="18"/>
                          <w:lang w:val="en-US"/>
                        </w:rPr>
                      </w:pPr>
                    </w:p>
                    <w:p w14:paraId="6AC9DFB8" w14:textId="77777777" w:rsidR="00F23319" w:rsidRDefault="00F23319" w:rsidP="00F23319">
                      <w:pPr>
                        <w:spacing w:after="0" w:line="240" w:lineRule="auto"/>
                        <w:rPr>
                          <w:rFonts w:ascii="Arial" w:hAnsi="Arial" w:cs="Arial"/>
                          <w:b/>
                          <w:bCs/>
                          <w:color w:val="000000" w:themeColor="text1"/>
                          <w:sz w:val="18"/>
                          <w:szCs w:val="18"/>
                          <w:lang w:val="en-US"/>
                        </w:rPr>
                      </w:pPr>
                    </w:p>
                    <w:p w14:paraId="5D9878AC" w14:textId="77777777" w:rsidR="00F23319" w:rsidRDefault="00F23319" w:rsidP="00F23319">
                      <w:pPr>
                        <w:spacing w:after="0" w:line="240" w:lineRule="auto"/>
                        <w:rPr>
                          <w:rFonts w:ascii="Arial" w:hAnsi="Arial" w:cs="Arial"/>
                          <w:b/>
                          <w:bCs/>
                          <w:color w:val="000000" w:themeColor="text1"/>
                          <w:sz w:val="18"/>
                          <w:szCs w:val="18"/>
                          <w:lang w:val="en-US"/>
                        </w:rPr>
                      </w:pPr>
                    </w:p>
                    <w:p w14:paraId="3D5A4ECD" w14:textId="77777777" w:rsidR="00F23319" w:rsidRDefault="00F23319" w:rsidP="00F23319">
                      <w:pPr>
                        <w:spacing w:after="0" w:line="240" w:lineRule="auto"/>
                        <w:rPr>
                          <w:rFonts w:ascii="Arial" w:hAnsi="Arial" w:cs="Arial"/>
                          <w:b/>
                          <w:bCs/>
                          <w:color w:val="000000" w:themeColor="text1"/>
                          <w:sz w:val="18"/>
                          <w:szCs w:val="18"/>
                          <w:lang w:val="en-US"/>
                        </w:rPr>
                      </w:pPr>
                    </w:p>
                    <w:p w14:paraId="4C8DF307" w14:textId="77777777" w:rsidR="00F23319" w:rsidRDefault="00F23319" w:rsidP="00F23319">
                      <w:pPr>
                        <w:spacing w:after="0" w:line="240" w:lineRule="auto"/>
                        <w:rPr>
                          <w:rFonts w:ascii="Arial" w:hAnsi="Arial" w:cs="Arial"/>
                          <w:b/>
                          <w:bCs/>
                          <w:color w:val="000000" w:themeColor="text1"/>
                          <w:sz w:val="18"/>
                          <w:szCs w:val="18"/>
                          <w:lang w:val="en-US"/>
                        </w:rPr>
                      </w:pPr>
                    </w:p>
                    <w:p w14:paraId="7CB1243D" w14:textId="77777777" w:rsidR="00F23319" w:rsidRDefault="00F23319" w:rsidP="00F23319">
                      <w:pPr>
                        <w:spacing w:after="0" w:line="240" w:lineRule="auto"/>
                        <w:rPr>
                          <w:rFonts w:ascii="Arial" w:hAnsi="Arial" w:cs="Arial"/>
                          <w:b/>
                          <w:bCs/>
                          <w:color w:val="000000" w:themeColor="text1"/>
                          <w:sz w:val="18"/>
                          <w:szCs w:val="18"/>
                          <w:lang w:val="en-US"/>
                        </w:rPr>
                      </w:pPr>
                    </w:p>
                    <w:p w14:paraId="32C82A0D" w14:textId="77777777" w:rsidR="00F23319" w:rsidRDefault="00F23319" w:rsidP="00F23319">
                      <w:pPr>
                        <w:spacing w:after="0" w:line="240" w:lineRule="auto"/>
                        <w:rPr>
                          <w:rFonts w:ascii="Arial" w:hAnsi="Arial" w:cs="Arial"/>
                          <w:b/>
                          <w:bCs/>
                          <w:color w:val="000000" w:themeColor="text1"/>
                          <w:sz w:val="18"/>
                          <w:szCs w:val="18"/>
                          <w:lang w:val="en-US"/>
                        </w:rPr>
                      </w:pPr>
                    </w:p>
                    <w:p w14:paraId="44021229" w14:textId="77777777" w:rsidR="00F23319" w:rsidRDefault="00F23319" w:rsidP="00F23319">
                      <w:pPr>
                        <w:spacing w:after="0"/>
                        <w:rPr>
                          <w:rFonts w:ascii="Arial" w:hAnsi="Arial" w:cs="Arial"/>
                          <w:b/>
                          <w:bCs/>
                          <w:color w:val="000000" w:themeColor="text1"/>
                          <w:sz w:val="18"/>
                          <w:szCs w:val="18"/>
                          <w:lang w:val="en-US"/>
                        </w:rPr>
                      </w:pPr>
                    </w:p>
                    <w:p w14:paraId="1E7F75C7" w14:textId="77777777" w:rsidR="00F23319" w:rsidRPr="00DB187D" w:rsidRDefault="00F23319" w:rsidP="00F23319">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1AD626B1" w14:textId="77777777" w:rsidR="00F23319" w:rsidRDefault="00F23319" w:rsidP="00F23319">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24970E26" w14:textId="77777777" w:rsidR="00F23319" w:rsidRPr="00982C36" w:rsidRDefault="00F23319" w:rsidP="00F23319">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Fiscal Health : Economic Resiliency</w:t>
                      </w:r>
                    </w:p>
                    <w:p w14:paraId="520683F9" w14:textId="77777777" w:rsidR="00F23319" w:rsidRPr="00DB187D" w:rsidRDefault="00F23319" w:rsidP="00F23319">
                      <w:pPr>
                        <w:spacing w:after="0" w:line="240" w:lineRule="auto"/>
                        <w:rPr>
                          <w:rFonts w:ascii="Arial" w:hAnsi="Arial" w:cs="Arial"/>
                          <w:b/>
                          <w:bCs/>
                          <w:color w:val="4EA72E" w:themeColor="accent6"/>
                          <w:sz w:val="16"/>
                          <w:szCs w:val="16"/>
                          <w:lang w:val="en-US"/>
                        </w:rPr>
                      </w:pP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65408" behindDoc="0" locked="0" layoutInCell="1" allowOverlap="1" wp14:anchorId="2805271A" wp14:editId="68B9C8DD">
                <wp:simplePos x="0" y="0"/>
                <wp:positionH relativeFrom="column">
                  <wp:posOffset>4074160</wp:posOffset>
                </wp:positionH>
                <wp:positionV relativeFrom="paragraph">
                  <wp:posOffset>92075</wp:posOffset>
                </wp:positionV>
                <wp:extent cx="1607820" cy="2311400"/>
                <wp:effectExtent l="0" t="0" r="17780" b="12700"/>
                <wp:wrapNone/>
                <wp:docPr id="700571501" name="Text Box 4"/>
                <wp:cNvGraphicFramePr/>
                <a:graphic xmlns:a="http://schemas.openxmlformats.org/drawingml/2006/main">
                  <a:graphicData uri="http://schemas.microsoft.com/office/word/2010/wordprocessingShape">
                    <wps:wsp>
                      <wps:cNvSpPr txBox="1"/>
                      <wps:spPr>
                        <a:xfrm>
                          <a:off x="0" y="0"/>
                          <a:ext cx="1607820" cy="2311400"/>
                        </a:xfrm>
                        <a:prstGeom prst="rect">
                          <a:avLst/>
                        </a:prstGeom>
                        <a:solidFill>
                          <a:schemeClr val="lt1"/>
                        </a:solidFill>
                        <a:ln w="9525">
                          <a:solidFill>
                            <a:schemeClr val="tx1"/>
                          </a:solidFill>
                        </a:ln>
                      </wps:spPr>
                      <wps:txbx>
                        <w:txbxContent>
                          <w:p w14:paraId="608F7BB8" w14:textId="77777777" w:rsidR="00F23319" w:rsidRPr="0021681E" w:rsidRDefault="00F23319" w:rsidP="00F23319">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7B8A3B86" w14:textId="77777777" w:rsidR="00F23319" w:rsidRPr="00DB187D" w:rsidRDefault="00F23319" w:rsidP="00F23319">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271A" id="_x0000_s1029" type="#_x0000_t202" style="position:absolute;left:0;text-align:left;margin-left:320.8pt;margin-top:7.25pt;width:126.6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" fillcolor="white [3201]" strokecolor="black [3213]">
                <v:textbox>
                  <w:txbxContent>
                    <w:p w14:paraId="608F7BB8" w14:textId="77777777" w:rsidR="00F23319" w:rsidRPr="0021681E" w:rsidRDefault="00F23319" w:rsidP="00F23319">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7B8A3B86" w14:textId="77777777" w:rsidR="00F23319" w:rsidRPr="00DB187D" w:rsidRDefault="00F23319" w:rsidP="00F23319">
                      <w:pPr>
                        <w:spacing w:after="0" w:line="240" w:lineRule="auto"/>
                        <w:rPr>
                          <w:rFonts w:ascii="Arial" w:hAnsi="Arial" w:cs="Arial"/>
                          <w:b/>
                          <w:bCs/>
                          <w:color w:val="4EA72E" w:themeColor="accent6"/>
                          <w:sz w:val="16"/>
                          <w:szCs w:val="16"/>
                          <w:lang w:val="en-US"/>
                        </w:rPr>
                      </w:pP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68480" behindDoc="0" locked="0" layoutInCell="1" allowOverlap="1" wp14:anchorId="3A5BBDDF" wp14:editId="6C8FE9F4">
                <wp:simplePos x="0" y="0"/>
                <wp:positionH relativeFrom="column">
                  <wp:posOffset>4124325</wp:posOffset>
                </wp:positionH>
                <wp:positionV relativeFrom="paragraph">
                  <wp:posOffset>1151890</wp:posOffset>
                </wp:positionV>
                <wp:extent cx="1506855" cy="1193800"/>
                <wp:effectExtent l="0" t="0" r="17145" b="12700"/>
                <wp:wrapNone/>
                <wp:docPr id="1888815151" name="Text Box 4"/>
                <wp:cNvGraphicFramePr/>
                <a:graphic xmlns:a="http://schemas.openxmlformats.org/drawingml/2006/main">
                  <a:graphicData uri="http://schemas.microsoft.com/office/word/2010/wordprocessingShape">
                    <wps:wsp>
                      <wps:cNvSpPr txBox="1"/>
                      <wps:spPr>
                        <a:xfrm>
                          <a:off x="0" y="0"/>
                          <a:ext cx="1506855" cy="1193800"/>
                        </a:xfrm>
                        <a:prstGeom prst="rect">
                          <a:avLst/>
                        </a:prstGeom>
                        <a:solidFill>
                          <a:schemeClr val="lt1"/>
                        </a:solidFill>
                        <a:ln w="3175">
                          <a:solidFill>
                            <a:schemeClr val="tx1"/>
                          </a:solidFill>
                        </a:ln>
                      </wps:spPr>
                      <wps:txbx>
                        <w:txbxContent>
                          <w:p w14:paraId="712B47E1" w14:textId="77777777" w:rsidR="00F23319" w:rsidRPr="00DB187D" w:rsidRDefault="00F23319" w:rsidP="00F23319">
                            <w:pPr>
                              <w:spacing w:after="0"/>
                              <w:rPr>
                                <w:rFonts w:ascii="Arial" w:hAnsi="Arial" w:cs="Arial"/>
                                <w:b/>
                                <w:bCs/>
                                <w:sz w:val="16"/>
                                <w:szCs w:val="16"/>
                                <w:lang w:val="en-US"/>
                              </w:rPr>
                            </w:pPr>
                            <w:r w:rsidRPr="00DB187D">
                              <w:rPr>
                                <w:rFonts w:ascii="Arial" w:hAnsi="Arial" w:cs="Arial"/>
                                <w:b/>
                                <w:bCs/>
                                <w:sz w:val="16"/>
                                <w:szCs w:val="16"/>
                                <w:lang w:val="en-US"/>
                              </w:rPr>
                              <w:t>Institutions &amp; Governance Strength</w:t>
                            </w:r>
                          </w:p>
                          <w:p w14:paraId="24718411"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legislative &amp; executive institutions</w:t>
                            </w:r>
                          </w:p>
                          <w:p w14:paraId="31E452D3"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civil society &amp; judiciary</w:t>
                            </w:r>
                          </w:p>
                          <w:p w14:paraId="1F4A298B"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fiscal policy effectiveness</w:t>
                            </w:r>
                          </w:p>
                          <w:p w14:paraId="7B287882"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monetary &amp; macroeconomic policy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BDDF" id="_x0000_s1030" type="#_x0000_t202" style="position:absolute;left:0;text-align:left;margin-left:324.75pt;margin-top:90.7pt;width:118.65pt;height: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" fillcolor="white [3201]" strokecolor="black [3213]" strokeweight=".25pt">
                <v:textbox>
                  <w:txbxContent>
                    <w:p w14:paraId="712B47E1" w14:textId="77777777" w:rsidR="00F23319" w:rsidRPr="00DB187D" w:rsidRDefault="00F23319" w:rsidP="00F23319">
                      <w:pPr>
                        <w:spacing w:after="0"/>
                        <w:rPr>
                          <w:rFonts w:ascii="Arial" w:hAnsi="Arial" w:cs="Arial"/>
                          <w:b/>
                          <w:bCs/>
                          <w:sz w:val="16"/>
                          <w:szCs w:val="16"/>
                          <w:lang w:val="en-US"/>
                        </w:rPr>
                      </w:pPr>
                      <w:r w:rsidRPr="00DB187D">
                        <w:rPr>
                          <w:rFonts w:ascii="Arial" w:hAnsi="Arial" w:cs="Arial"/>
                          <w:b/>
                          <w:bCs/>
                          <w:sz w:val="16"/>
                          <w:szCs w:val="16"/>
                          <w:lang w:val="en-US"/>
                        </w:rPr>
                        <w:t>Institutions &amp; Governance Strength</w:t>
                      </w:r>
                    </w:p>
                    <w:p w14:paraId="24718411"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legislative &amp; executive institutions</w:t>
                      </w:r>
                    </w:p>
                    <w:p w14:paraId="31E452D3"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civil society &amp; judiciary</w:t>
                      </w:r>
                    </w:p>
                    <w:p w14:paraId="1F4A298B"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fiscal policy effectiveness</w:t>
                      </w:r>
                    </w:p>
                    <w:p w14:paraId="7B287882" w14:textId="77777777" w:rsidR="00F23319" w:rsidRPr="0021681E" w:rsidRDefault="00F23319" w:rsidP="00F23319">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monetary &amp; macroeconomic policy effectiveness</w:t>
                      </w:r>
                    </w:p>
                  </w:txbxContent>
                </v:textbox>
              </v:shape>
            </w:pict>
          </mc:Fallback>
        </mc:AlternateContent>
      </w:r>
    </w:p>
    <w:p w14:paraId="6EDB6B93" w14:textId="77777777" w:rsidR="00F23319" w:rsidRPr="007067EB" w:rsidRDefault="00F23319" w:rsidP="00F23319">
      <w:pPr>
        <w:spacing w:line="360" w:lineRule="auto"/>
        <w:ind w:firstLine="720"/>
        <w:jc w:val="center"/>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67456" behindDoc="0" locked="0" layoutInCell="1" allowOverlap="1" wp14:anchorId="680F1C97" wp14:editId="26C8BCBA">
                <wp:simplePos x="0" y="0"/>
                <wp:positionH relativeFrom="column">
                  <wp:posOffset>4123200</wp:posOffset>
                </wp:positionH>
                <wp:positionV relativeFrom="paragraph">
                  <wp:posOffset>244475</wp:posOffset>
                </wp:positionV>
                <wp:extent cx="1506855" cy="736600"/>
                <wp:effectExtent l="0" t="0" r="17145" b="12700"/>
                <wp:wrapNone/>
                <wp:docPr id="802055665" name="Text Box 4"/>
                <wp:cNvGraphicFramePr/>
                <a:graphic xmlns:a="http://schemas.openxmlformats.org/drawingml/2006/main">
                  <a:graphicData uri="http://schemas.microsoft.com/office/word/2010/wordprocessingShape">
                    <wps:wsp>
                      <wps:cNvSpPr txBox="1"/>
                      <wps:spPr>
                        <a:xfrm>
                          <a:off x="0" y="0"/>
                          <a:ext cx="1506855" cy="736600"/>
                        </a:xfrm>
                        <a:prstGeom prst="rect">
                          <a:avLst/>
                        </a:prstGeom>
                        <a:solidFill>
                          <a:schemeClr val="lt1"/>
                        </a:solidFill>
                        <a:ln w="3175">
                          <a:solidFill>
                            <a:schemeClr val="tx1"/>
                          </a:solidFill>
                        </a:ln>
                      </wps:spPr>
                      <wps:txbx>
                        <w:txbxContent>
                          <w:p w14:paraId="6228A48A" w14:textId="77777777" w:rsidR="00F23319" w:rsidRDefault="00F23319" w:rsidP="00F23319">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4C3D23B0"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scale</w:t>
                            </w:r>
                          </w:p>
                          <w:p w14:paraId="608F03CF"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 income level</w:t>
                            </w:r>
                          </w:p>
                          <w:p w14:paraId="6991F31D"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 growth rate</w:t>
                            </w:r>
                          </w:p>
                          <w:p w14:paraId="1F28945A"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 volatility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F1C97" id="_x0000_s1031" type="#_x0000_t202" style="position:absolute;left:0;text-align:left;margin-left:324.65pt;margin-top:19.25pt;width:118.65pt;height: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" fillcolor="white [3201]" strokecolor="black [3213]" strokeweight=".25pt">
                <v:textbox>
                  <w:txbxContent>
                    <w:p w14:paraId="6228A48A" w14:textId="77777777" w:rsidR="00F23319" w:rsidRDefault="00F23319" w:rsidP="00F23319">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4C3D23B0"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scale</w:t>
                      </w:r>
                    </w:p>
                    <w:p w14:paraId="608F03CF"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 income level</w:t>
                      </w:r>
                    </w:p>
                    <w:p w14:paraId="6991F31D"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 growth rate</w:t>
                      </w:r>
                    </w:p>
                    <w:p w14:paraId="1F28945A" w14:textId="77777777" w:rsidR="00F23319" w:rsidRPr="00341FA9" w:rsidRDefault="00F23319" w:rsidP="00F23319">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 volatility</w:t>
                      </w:r>
                    </w:p>
                  </w:txbxContent>
                </v:textbox>
              </v:shape>
            </w:pict>
          </mc:Fallback>
        </mc:AlternateContent>
      </w:r>
      <w:r w:rsidRPr="007067EB">
        <w:rPr>
          <w:rFonts w:ascii="Arial Hebrew" w:hAnsi="Arial Hebrew" w:cs="Arial Hebrew" w:hint="cs"/>
          <w:noProof/>
        </w:rPr>
        <w:t xml:space="preserve"> </w:t>
      </w:r>
    </w:p>
    <w:p w14:paraId="72BAD059"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71552" behindDoc="0" locked="0" layoutInCell="1" allowOverlap="1" wp14:anchorId="7DFCE650" wp14:editId="6A1C747C">
                <wp:simplePos x="0" y="0"/>
                <wp:positionH relativeFrom="column">
                  <wp:posOffset>1135282</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94BECB" id="_x0000_t32" coordsize="21600,21600" o:spt="32" o:oned="t" path="m,l21600,21600e" filled="f">
                <v:path arrowok="t" fillok="f" o:connecttype="none"/>
                <o:lock v:ext="edit" shapetype="t"/>
              </v:shapetype>
              <v:shape id="Straight Arrow Connector 5" o:spid="_x0000_s1026" type="#_x0000_t32" style="position:absolute;margin-left:89.4pt;margin-top:5.1pt;width:14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" strokecolor="black [3213]" strokeweight="1.25pt">
                <v:stroke endarrow="block" joinstyle="miter"/>
              </v:shape>
            </w:pict>
          </mc:Fallback>
        </mc:AlternateContent>
      </w:r>
    </w:p>
    <w:p w14:paraId="03D7E065" w14:textId="77777777" w:rsidR="00F23319" w:rsidRPr="007067EB" w:rsidRDefault="00F23319" w:rsidP="00F23319">
      <w:pPr>
        <w:spacing w:after="0" w:line="360" w:lineRule="auto"/>
        <w:ind w:firstLine="360"/>
        <w:jc w:val="both"/>
        <w:rPr>
          <w:rFonts w:ascii="Arial Hebrew" w:hAnsi="Arial Hebrew" w:cs="Arial Hebrew" w:hint="cs"/>
          <w:sz w:val="20"/>
          <w:szCs w:val="20"/>
        </w:rPr>
      </w:pPr>
    </w:p>
    <w:p w14:paraId="0BC83220" w14:textId="77777777" w:rsidR="00F23319" w:rsidRPr="007067EB" w:rsidRDefault="00F23319" w:rsidP="00F23319">
      <w:pPr>
        <w:spacing w:after="0" w:line="360" w:lineRule="auto"/>
        <w:ind w:firstLine="360"/>
        <w:jc w:val="both"/>
        <w:rPr>
          <w:rFonts w:ascii="Arial Hebrew" w:hAnsi="Arial Hebrew" w:cs="Arial Hebrew" w:hint="cs"/>
          <w:sz w:val="20"/>
          <w:szCs w:val="20"/>
        </w:rPr>
      </w:pPr>
    </w:p>
    <w:p w14:paraId="1A37A847" w14:textId="77777777" w:rsidR="00F23319" w:rsidRPr="007067EB" w:rsidRDefault="00F23319" w:rsidP="00F23319">
      <w:pPr>
        <w:spacing w:after="0" w:line="360" w:lineRule="auto"/>
        <w:ind w:firstLine="360"/>
        <w:jc w:val="both"/>
        <w:rPr>
          <w:rFonts w:ascii="Arial Hebrew" w:hAnsi="Arial Hebrew" w:cs="Arial Hebrew" w:hint="cs"/>
          <w:sz w:val="20"/>
          <w:szCs w:val="20"/>
        </w:rPr>
      </w:pPr>
    </w:p>
    <w:p w14:paraId="643F7D8A"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70528" behindDoc="0" locked="0" layoutInCell="1" allowOverlap="1" wp14:anchorId="60ADA8C3" wp14:editId="01303A61">
                <wp:simplePos x="0" y="0"/>
                <wp:positionH relativeFrom="column">
                  <wp:posOffset>41910</wp:posOffset>
                </wp:positionH>
                <wp:positionV relativeFrom="paragraph">
                  <wp:posOffset>199390</wp:posOffset>
                </wp:positionV>
                <wp:extent cx="1083310" cy="405130"/>
                <wp:effectExtent l="0" t="0" r="8890" b="13970"/>
                <wp:wrapNone/>
                <wp:docPr id="1340534470" name="Text Box 4"/>
                <wp:cNvGraphicFramePr/>
                <a:graphic xmlns:a="http://schemas.openxmlformats.org/drawingml/2006/main">
                  <a:graphicData uri="http://schemas.microsoft.com/office/word/2010/wordprocessingShape">
                    <wps:wsp>
                      <wps:cNvSpPr txBox="1"/>
                      <wps:spPr>
                        <a:xfrm>
                          <a:off x="0" y="0"/>
                          <a:ext cx="1083310" cy="405130"/>
                        </a:xfrm>
                        <a:prstGeom prst="rect">
                          <a:avLst/>
                        </a:prstGeom>
                        <a:solidFill>
                          <a:srgbClr val="FFFFC7"/>
                        </a:solidFill>
                        <a:ln w="12700">
                          <a:solidFill>
                            <a:schemeClr val="tx1"/>
                          </a:solidFill>
                        </a:ln>
                      </wps:spPr>
                      <wps:txbx>
                        <w:txbxContent>
                          <w:p w14:paraId="2FDCA1E4" w14:textId="77777777" w:rsidR="00F23319" w:rsidRPr="00AF32D8" w:rsidRDefault="00F23319" w:rsidP="00F23319">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3E3B638C" w14:textId="77777777" w:rsidR="00F23319" w:rsidRPr="00AF32D8" w:rsidRDefault="00F23319" w:rsidP="00F23319">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DA8C3" id="_x0000_s1032" type="#_x0000_t202" style="position:absolute;left:0;text-align:left;margin-left:3.3pt;margin-top:15.7pt;width:85.3pt;height:3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" fillcolor="#ffffc7" strokecolor="black [3213]" strokeweight="1pt">
                <v:textbox>
                  <w:txbxContent>
                    <w:p w14:paraId="2FDCA1E4" w14:textId="77777777" w:rsidR="00F23319" w:rsidRPr="00AF32D8" w:rsidRDefault="00F23319" w:rsidP="00F23319">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3E3B638C" w14:textId="77777777" w:rsidR="00F23319" w:rsidRPr="00AF32D8" w:rsidRDefault="00F23319" w:rsidP="00F23319">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72576" behindDoc="0" locked="0" layoutInCell="1" allowOverlap="1" wp14:anchorId="323C402E" wp14:editId="4C76ED3E">
                <wp:simplePos x="0" y="0"/>
                <wp:positionH relativeFrom="column">
                  <wp:posOffset>563880</wp:posOffset>
                </wp:positionH>
                <wp:positionV relativeFrom="paragraph">
                  <wp:posOffset>10795</wp:posOffset>
                </wp:positionV>
                <wp:extent cx="0" cy="177800"/>
                <wp:effectExtent l="508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C24E0" id="Straight Arrow Connector 6" o:spid="_x0000_s1026" type="#_x0000_t32" style="position:absolute;margin-left:44.4pt;margin-top:.85pt;width:0;height: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" strokecolor="black [3213]" strokeweight="1.25pt">
                <v:stroke endarrow="block" joinstyle="miter"/>
              </v:shape>
            </w:pict>
          </mc:Fallback>
        </mc:AlternateContent>
      </w:r>
    </w:p>
    <w:p w14:paraId="72BFF77D" w14:textId="77777777" w:rsidR="00F23319" w:rsidRPr="007067EB" w:rsidRDefault="00F23319" w:rsidP="00F23319">
      <w:pPr>
        <w:spacing w:after="0" w:line="360" w:lineRule="auto"/>
        <w:ind w:firstLine="360"/>
        <w:jc w:val="both"/>
        <w:rPr>
          <w:rFonts w:ascii="Arial Hebrew" w:hAnsi="Arial Hebrew" w:cs="Arial Hebrew" w:hint="cs"/>
          <w:sz w:val="20"/>
          <w:szCs w:val="20"/>
        </w:rPr>
      </w:pPr>
    </w:p>
    <w:p w14:paraId="498666E1"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73600" behindDoc="0" locked="0" layoutInCell="1" allowOverlap="1" wp14:anchorId="09784246" wp14:editId="65933206">
                <wp:simplePos x="0" y="0"/>
                <wp:positionH relativeFrom="column">
                  <wp:posOffset>562610</wp:posOffset>
                </wp:positionH>
                <wp:positionV relativeFrom="paragraph">
                  <wp:posOffset>205105</wp:posOffset>
                </wp:positionV>
                <wp:extent cx="0" cy="194310"/>
                <wp:effectExtent l="63500" t="0" r="38100" b="34290"/>
                <wp:wrapNone/>
                <wp:docPr id="689759162" name="Straight Arrow Connector 6"/>
                <wp:cNvGraphicFramePr/>
                <a:graphic xmlns:a="http://schemas.openxmlformats.org/drawingml/2006/main">
                  <a:graphicData uri="http://schemas.microsoft.com/office/word/2010/wordprocessingShape">
                    <wps:wsp>
                      <wps:cNvCnPr/>
                      <wps:spPr>
                        <a:xfrm>
                          <a:off x="0" y="0"/>
                          <a:ext cx="0" cy="19431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B1B0D" id="Straight Arrow Connector 6" o:spid="_x0000_s1026" type="#_x0000_t32" style="position:absolute;margin-left:44.3pt;margin-top:16.15pt;width:0;height:1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" strokecolor="#c00000" strokeweight="1.25pt">
                <v:stroke endarrow="block" joinstyle="miter"/>
              </v:shape>
            </w:pict>
          </mc:Fallback>
        </mc:AlternateContent>
      </w:r>
    </w:p>
    <w:p w14:paraId="442591F1" w14:textId="77777777" w:rsidR="00F23319" w:rsidRPr="007067EB" w:rsidRDefault="00F23319" w:rsidP="00F23319">
      <w:pPr>
        <w:spacing w:after="0" w:line="360" w:lineRule="auto"/>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82816" behindDoc="0" locked="0" layoutInCell="1" allowOverlap="1" wp14:anchorId="5AF2EBAA" wp14:editId="3447D0A5">
                <wp:simplePos x="0" y="0"/>
                <wp:positionH relativeFrom="column">
                  <wp:posOffset>45085</wp:posOffset>
                </wp:positionH>
                <wp:positionV relativeFrom="paragraph">
                  <wp:posOffset>155673</wp:posOffset>
                </wp:positionV>
                <wp:extent cx="1099820" cy="480060"/>
                <wp:effectExtent l="0" t="0" r="0" b="0"/>
                <wp:wrapNone/>
                <wp:docPr id="184783642" name="Text Box 4"/>
                <wp:cNvGraphicFramePr/>
                <a:graphic xmlns:a="http://schemas.openxmlformats.org/drawingml/2006/main">
                  <a:graphicData uri="http://schemas.microsoft.com/office/word/2010/wordprocessingShape">
                    <wps:wsp>
                      <wps:cNvSpPr txBox="1"/>
                      <wps:spPr>
                        <a:xfrm>
                          <a:off x="0" y="0"/>
                          <a:ext cx="1099820" cy="480060"/>
                        </a:xfrm>
                        <a:prstGeom prst="rect">
                          <a:avLst/>
                        </a:prstGeom>
                        <a:noFill/>
                        <a:ln w="3175">
                          <a:noFill/>
                        </a:ln>
                      </wps:spPr>
                      <wps:txbx>
                        <w:txbxContent>
                          <w:p w14:paraId="0C4B5318" w14:textId="77777777" w:rsidR="00F23319" w:rsidRPr="00B66290" w:rsidRDefault="00F23319" w:rsidP="00F23319">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0BF6A6E" w14:textId="77777777" w:rsidR="00F23319" w:rsidRPr="00B66290" w:rsidRDefault="00F23319" w:rsidP="00F23319">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0A62C5F8" w14:textId="77777777" w:rsidR="00F23319" w:rsidRPr="00B66290" w:rsidRDefault="00F23319" w:rsidP="00F23319">
                            <w:pPr>
                              <w:spacing w:after="0" w:line="240" w:lineRule="auto"/>
                              <w:rPr>
                                <w:rFonts w:ascii="Arial" w:hAnsi="Arial" w:cs="Arial"/>
                                <w:color w:val="C00000"/>
                                <w:sz w:val="21"/>
                                <w:szCs w:val="21"/>
                                <w:lang w:val="en-US"/>
                              </w:rPr>
                            </w:pPr>
                          </w:p>
                          <w:p w14:paraId="0A5183ED" w14:textId="77777777" w:rsidR="00F23319" w:rsidRPr="00B66290" w:rsidRDefault="00F23319" w:rsidP="00F23319">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743EE3DA" w14:textId="77777777" w:rsidR="00F23319" w:rsidRPr="00B66290" w:rsidRDefault="00F23319" w:rsidP="00F23319">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2BB80A59" w14:textId="77777777" w:rsidR="00F23319" w:rsidRPr="00B66290" w:rsidRDefault="00F23319" w:rsidP="00F23319">
                            <w:pPr>
                              <w:spacing w:after="0" w:line="240" w:lineRule="auto"/>
                              <w:rPr>
                                <w:rFonts w:ascii="Arial" w:hAnsi="Arial" w:cs="Arial"/>
                                <w:color w:val="C00000"/>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2EBAA" id="_x0000_s1033" type="#_x0000_t202" style="position:absolute;left:0;text-align:left;margin-left:3.55pt;margin-top:12.25pt;width:86.6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" filled="f" stroked="f" strokeweight=".25pt">
                <v:textbox>
                  <w:txbxContent>
                    <w:p w14:paraId="0C4B5318" w14:textId="77777777" w:rsidR="00F23319" w:rsidRPr="00B66290" w:rsidRDefault="00F23319" w:rsidP="00F23319">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0BF6A6E" w14:textId="77777777" w:rsidR="00F23319" w:rsidRPr="00B66290" w:rsidRDefault="00F23319" w:rsidP="00F23319">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0A62C5F8" w14:textId="77777777" w:rsidR="00F23319" w:rsidRPr="00B66290" w:rsidRDefault="00F23319" w:rsidP="00F23319">
                      <w:pPr>
                        <w:spacing w:after="0" w:line="240" w:lineRule="auto"/>
                        <w:rPr>
                          <w:rFonts w:ascii="Arial" w:hAnsi="Arial" w:cs="Arial"/>
                          <w:color w:val="C00000"/>
                          <w:sz w:val="21"/>
                          <w:szCs w:val="21"/>
                          <w:lang w:val="en-US"/>
                        </w:rPr>
                      </w:pPr>
                    </w:p>
                    <w:p w14:paraId="0A5183ED" w14:textId="77777777" w:rsidR="00F23319" w:rsidRPr="00B66290" w:rsidRDefault="00F23319" w:rsidP="00F23319">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743EE3DA" w14:textId="77777777" w:rsidR="00F23319" w:rsidRPr="00B66290" w:rsidRDefault="00F23319" w:rsidP="00F23319">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2BB80A59" w14:textId="77777777" w:rsidR="00F23319" w:rsidRPr="00B66290" w:rsidRDefault="00F23319" w:rsidP="00F23319">
                      <w:pPr>
                        <w:spacing w:after="0" w:line="240" w:lineRule="auto"/>
                        <w:rPr>
                          <w:rFonts w:ascii="Arial" w:hAnsi="Arial" w:cs="Arial"/>
                          <w:color w:val="C00000"/>
                          <w:sz w:val="21"/>
                          <w:szCs w:val="21"/>
                          <w:lang w:val="en-US"/>
                        </w:rPr>
                      </w:pPr>
                    </w:p>
                  </w:txbxContent>
                </v:textbox>
              </v:shape>
            </w:pict>
          </mc:Fallback>
        </mc:AlternateContent>
      </w:r>
    </w:p>
    <w:p w14:paraId="705C99F9" w14:textId="77777777" w:rsidR="00F23319" w:rsidRPr="007067EB" w:rsidRDefault="00F23319" w:rsidP="00F23319">
      <w:pPr>
        <w:spacing w:after="0" w:line="360" w:lineRule="auto"/>
        <w:ind w:firstLine="720"/>
        <w:jc w:val="both"/>
        <w:rPr>
          <w:rFonts w:ascii="Arial Hebrew" w:hAnsi="Arial Hebrew" w:cs="Arial Hebrew" w:hint="cs"/>
          <w:sz w:val="20"/>
          <w:szCs w:val="20"/>
        </w:rPr>
      </w:pPr>
    </w:p>
    <w:p w14:paraId="2B8BD3FA" w14:textId="77777777" w:rsidR="00F23319" w:rsidRPr="007067EB" w:rsidRDefault="00F23319" w:rsidP="00F23319">
      <w:pPr>
        <w:spacing w:after="0" w:line="360" w:lineRule="auto"/>
        <w:jc w:val="both"/>
        <w:rPr>
          <w:rFonts w:ascii="Arial Hebrew" w:hAnsi="Arial Hebrew" w:cs="Arial Hebrew" w:hint="cs"/>
          <w:sz w:val="20"/>
          <w:szCs w:val="20"/>
        </w:rPr>
      </w:pPr>
    </w:p>
    <w:p w14:paraId="2E4FF4AA" w14:textId="77777777" w:rsidR="00F23319" w:rsidRPr="007067EB" w:rsidRDefault="00F23319" w:rsidP="00F23319">
      <w:pPr>
        <w:spacing w:after="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lastRenderedPageBreak/>
        <w:t xml:space="preserve">Moody's methodology for international sub-sovereign – Regional and Local Government (RLG) – ratings </w:t>
      </w:r>
      <w:proofErr w:type="gramStart"/>
      <w:r w:rsidRPr="007067EB">
        <w:rPr>
          <w:rFonts w:ascii="Arial Hebrew" w:hAnsi="Arial Hebrew" w:cs="Arial Hebrew" w:hint="cs"/>
          <w:sz w:val="20"/>
          <w:szCs w:val="20"/>
        </w:rPr>
        <w:t>begins</w:t>
      </w:r>
      <w:proofErr w:type="gramEnd"/>
      <w:r w:rsidRPr="007067EB">
        <w:rPr>
          <w:rFonts w:ascii="Arial Hebrew" w:hAnsi="Arial Hebrew" w:cs="Arial Hebrew" w:hint="cs"/>
          <w:sz w:val="20"/>
          <w:szCs w:val="20"/>
        </w:rPr>
        <w:t xml:space="preserve"> with a </w:t>
      </w:r>
      <w:r w:rsidRPr="007067EB">
        <w:rPr>
          <w:rFonts w:ascii="Arial Hebrew" w:hAnsi="Arial Hebrew" w:cs="Arial Hebrew" w:hint="cs"/>
          <w:b/>
          <w:bCs/>
          <w:sz w:val="20"/>
          <w:szCs w:val="20"/>
        </w:rPr>
        <w:t>Baseline Credit Assessment</w:t>
      </w:r>
      <w:r w:rsidRPr="007067EB">
        <w:rPr>
          <w:rFonts w:ascii="Arial Hebrew" w:hAnsi="Arial Hebrew" w:cs="Arial Hebrew" w:hint="cs"/>
          <w:sz w:val="20"/>
          <w:szCs w:val="20"/>
        </w:rPr>
        <w:t xml:space="preserve"> of the sub-sovereign’s standalone credit strength, aggregating four </w:t>
      </w:r>
      <w:r w:rsidRPr="007067EB">
        <w:rPr>
          <w:rFonts w:ascii="Arial Hebrew" w:hAnsi="Arial Hebrew" w:cs="Arial Hebrew" w:hint="cs"/>
          <w:b/>
          <w:bCs/>
          <w:sz w:val="20"/>
          <w:szCs w:val="20"/>
        </w:rPr>
        <w:t>Weighted Factors</w:t>
      </w:r>
      <w:r w:rsidRPr="007067EB">
        <w:rPr>
          <w:rFonts w:ascii="Arial Hebrew" w:hAnsi="Arial Hebrew" w:cs="Arial Hebrew" w:hint="cs"/>
          <w:sz w:val="20"/>
          <w:szCs w:val="20"/>
        </w:rPr>
        <w:t>:</w:t>
      </w:r>
    </w:p>
    <w:p w14:paraId="4C69E53D" w14:textId="77777777" w:rsidR="00F23319" w:rsidRPr="007067EB" w:rsidRDefault="00F23319" w:rsidP="00F23319">
      <w:pPr>
        <w:pStyle w:val="ListParagraph"/>
        <w:numPr>
          <w:ilvl w:val="0"/>
          <w:numId w:val="10"/>
        </w:numPr>
        <w:spacing w:after="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Economy (25%):</w:t>
      </w:r>
      <w:r w:rsidRPr="007067EB">
        <w:rPr>
          <w:rFonts w:ascii="Arial Hebrew" w:hAnsi="Arial Hebrew" w:cs="Arial Hebrew" w:hint="cs"/>
          <w:sz w:val="20"/>
          <w:szCs w:val="20"/>
        </w:rPr>
        <w:t xml:space="preserve"> </w:t>
      </w:r>
      <w:r w:rsidRPr="007067EB">
        <w:rPr>
          <w:rFonts w:ascii="Arial Hebrew" w:hAnsi="Arial Hebrew" w:cs="Arial Hebrew" w:hint="cs"/>
          <w:i/>
          <w:iCs/>
          <w:sz w:val="20"/>
          <w:szCs w:val="20"/>
        </w:rPr>
        <w:t xml:space="preserve">Regional Income </w:t>
      </w:r>
      <w:r w:rsidRPr="007067EB">
        <w:rPr>
          <w:rFonts w:ascii="Arial Hebrew" w:hAnsi="Arial Hebrew" w:cs="Arial Hebrew" w:hint="cs"/>
          <w:sz w:val="20"/>
          <w:szCs w:val="20"/>
        </w:rPr>
        <w:t xml:space="preserve">(15%, per capita GDP PPP), </w:t>
      </w:r>
      <w:r w:rsidRPr="007067EB">
        <w:rPr>
          <w:rFonts w:ascii="Arial Hebrew" w:hAnsi="Arial Hebrew" w:cs="Arial Hebrew" w:hint="cs"/>
          <w:i/>
          <w:iCs/>
          <w:sz w:val="20"/>
          <w:szCs w:val="20"/>
        </w:rPr>
        <w:t xml:space="preserve">Economic Growth </w:t>
      </w:r>
      <w:r w:rsidRPr="007067EB">
        <w:rPr>
          <w:rFonts w:ascii="Arial Hebrew" w:hAnsi="Arial Hebrew" w:cs="Arial Hebrew" w:hint="cs"/>
          <w:sz w:val="20"/>
          <w:szCs w:val="20"/>
        </w:rPr>
        <w:t xml:space="preserve">(5%), and </w:t>
      </w:r>
      <w:r w:rsidRPr="007067EB">
        <w:rPr>
          <w:rFonts w:ascii="Arial Hebrew" w:hAnsi="Arial Hebrew" w:cs="Arial Hebrew" w:hint="cs"/>
          <w:i/>
          <w:iCs/>
          <w:sz w:val="20"/>
          <w:szCs w:val="20"/>
        </w:rPr>
        <w:t>Economic Diversification</w:t>
      </w:r>
      <w:r w:rsidRPr="007067EB">
        <w:rPr>
          <w:rFonts w:ascii="Arial Hebrew" w:hAnsi="Arial Hebrew" w:cs="Arial Hebrew" w:hint="cs"/>
          <w:sz w:val="20"/>
          <w:szCs w:val="20"/>
        </w:rPr>
        <w:t xml:space="preserve"> (5%, balance of local / regional economic activity across economic sectors). </w:t>
      </w:r>
    </w:p>
    <w:p w14:paraId="158C39F1" w14:textId="77777777" w:rsidR="00F23319" w:rsidRPr="007067EB" w:rsidRDefault="00F23319" w:rsidP="00F23319">
      <w:pPr>
        <w:pStyle w:val="ListParagraph"/>
        <w:numPr>
          <w:ilvl w:val="0"/>
          <w:numId w:val="10"/>
        </w:numPr>
        <w:spacing w:after="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Institutional Framework and Governance (30%):</w:t>
      </w:r>
      <w:r w:rsidRPr="007067EB">
        <w:rPr>
          <w:rFonts w:ascii="Arial Hebrew" w:hAnsi="Arial Hebrew" w:cs="Arial Hebrew" w:hint="cs"/>
          <w:sz w:val="20"/>
          <w:szCs w:val="20"/>
        </w:rPr>
        <w:t xml:space="preserve"> </w:t>
      </w:r>
    </w:p>
    <w:p w14:paraId="3F9791CA" w14:textId="77777777" w:rsidR="00F23319" w:rsidRPr="007067EB" w:rsidRDefault="00F23319" w:rsidP="00F23319">
      <w:pPr>
        <w:pStyle w:val="ListParagraph"/>
        <w:numPr>
          <w:ilvl w:val="0"/>
          <w:numId w:val="35"/>
        </w:numPr>
        <w:spacing w:after="0" w:line="360" w:lineRule="auto"/>
        <w:jc w:val="both"/>
        <w:rPr>
          <w:rFonts w:ascii="Arial Hebrew" w:hAnsi="Arial Hebrew" w:cs="Arial Hebrew" w:hint="cs"/>
          <w:sz w:val="20"/>
          <w:szCs w:val="20"/>
        </w:rPr>
      </w:pPr>
      <w:r w:rsidRPr="007067EB">
        <w:rPr>
          <w:rFonts w:ascii="Arial Hebrew" w:hAnsi="Arial Hebrew" w:cs="Arial Hebrew" w:hint="cs"/>
          <w:i/>
          <w:iCs/>
          <w:sz w:val="20"/>
          <w:szCs w:val="20"/>
        </w:rPr>
        <w:t>Institutional Framework (15%):</w:t>
      </w:r>
      <w:r w:rsidRPr="007067EB">
        <w:rPr>
          <w:rFonts w:ascii="Arial Hebrew" w:hAnsi="Arial Hebrew" w:cs="Arial Hebrew" w:hint="cs"/>
          <w:sz w:val="20"/>
          <w:szCs w:val="20"/>
        </w:rPr>
        <w:t xml:space="preserve"> the extent to which the prevailing framework for government powers and responsibilities is mature, robust, stable, and clearly defined in law; the process to change the framework is transparent and deliberate; and the framework provides for strong revenue-generating and expenditure flexibility.</w:t>
      </w:r>
    </w:p>
    <w:p w14:paraId="34C0D7E9" w14:textId="77777777" w:rsidR="00F23319" w:rsidRPr="007067EB" w:rsidRDefault="00F23319" w:rsidP="00F23319">
      <w:pPr>
        <w:pStyle w:val="ListParagraph"/>
        <w:numPr>
          <w:ilvl w:val="0"/>
          <w:numId w:val="35"/>
        </w:numPr>
        <w:spacing w:after="0" w:line="360" w:lineRule="auto"/>
        <w:jc w:val="both"/>
        <w:rPr>
          <w:rFonts w:ascii="Arial Hebrew" w:hAnsi="Arial Hebrew" w:cs="Arial Hebrew" w:hint="cs"/>
          <w:sz w:val="20"/>
          <w:szCs w:val="20"/>
        </w:rPr>
      </w:pPr>
      <w:r w:rsidRPr="007067EB">
        <w:rPr>
          <w:rFonts w:ascii="Arial Hebrew" w:hAnsi="Arial Hebrew" w:cs="Arial Hebrew" w:hint="cs"/>
          <w:i/>
          <w:iCs/>
          <w:sz w:val="20"/>
          <w:szCs w:val="20"/>
        </w:rPr>
        <w:t>Governance (15%):</w:t>
      </w:r>
      <w:r w:rsidRPr="007067EB">
        <w:rPr>
          <w:rFonts w:ascii="Arial Hebrew" w:hAnsi="Arial Hebrew" w:cs="Arial Hebrew" w:hint="cs"/>
          <w:sz w:val="20"/>
          <w:szCs w:val="20"/>
        </w:rPr>
        <w:t xml:space="preserve"> the strength and transparency of fiscal planning and budget management. </w:t>
      </w:r>
    </w:p>
    <w:p w14:paraId="6527E434" w14:textId="77777777" w:rsidR="00F23319" w:rsidRPr="007067EB" w:rsidRDefault="00F23319" w:rsidP="00F23319">
      <w:pPr>
        <w:pStyle w:val="ListParagraph"/>
        <w:numPr>
          <w:ilvl w:val="0"/>
          <w:numId w:val="10"/>
        </w:numPr>
        <w:spacing w:after="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Financial Performance (20%):</w:t>
      </w:r>
      <w:r w:rsidRPr="007067EB">
        <w:rPr>
          <w:rFonts w:ascii="Arial Hebrew" w:hAnsi="Arial Hebrew" w:cs="Arial Hebrew" w:hint="cs"/>
          <w:sz w:val="20"/>
          <w:szCs w:val="20"/>
        </w:rPr>
        <w:t xml:space="preserve"> </w:t>
      </w:r>
      <w:r w:rsidRPr="007067EB">
        <w:rPr>
          <w:rFonts w:ascii="Arial Hebrew" w:hAnsi="Arial Hebrew" w:cs="Arial Hebrew" w:hint="cs"/>
          <w:i/>
          <w:iCs/>
          <w:sz w:val="20"/>
          <w:szCs w:val="20"/>
        </w:rPr>
        <w:t>Operating margin</w:t>
      </w:r>
      <w:r w:rsidRPr="007067EB">
        <w:rPr>
          <w:rFonts w:ascii="Arial Hebrew" w:hAnsi="Arial Hebrew" w:cs="Arial Hebrew" w:hint="cs"/>
          <w:sz w:val="20"/>
          <w:szCs w:val="20"/>
        </w:rPr>
        <w:t xml:space="preserve"> (10%), </w:t>
      </w:r>
      <w:r w:rsidRPr="007067EB">
        <w:rPr>
          <w:rFonts w:ascii="Arial Hebrew" w:hAnsi="Arial Hebrew" w:cs="Arial Hebrew" w:hint="cs"/>
          <w:i/>
          <w:iCs/>
          <w:sz w:val="20"/>
          <w:szCs w:val="20"/>
        </w:rPr>
        <w:t>liquidity ratio (5%), ease of access to funding (5%).</w:t>
      </w:r>
      <w:r w:rsidRPr="007067EB">
        <w:rPr>
          <w:rFonts w:ascii="Arial Hebrew" w:hAnsi="Arial Hebrew" w:cs="Arial Hebrew" w:hint="cs"/>
          <w:sz w:val="20"/>
          <w:szCs w:val="20"/>
        </w:rPr>
        <w:t xml:space="preserve"> </w:t>
      </w:r>
    </w:p>
    <w:p w14:paraId="466A8192" w14:textId="77777777" w:rsidR="00F23319" w:rsidRPr="007067EB" w:rsidRDefault="00F23319" w:rsidP="00F23319">
      <w:pPr>
        <w:pStyle w:val="ListParagraph"/>
        <w:numPr>
          <w:ilvl w:val="0"/>
          <w:numId w:val="10"/>
        </w:numPr>
        <w:spacing w:after="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Leverage (25%):</w:t>
      </w:r>
      <w:r w:rsidRPr="007067EB">
        <w:rPr>
          <w:rFonts w:ascii="Arial Hebrew" w:hAnsi="Arial Hebrew" w:cs="Arial Hebrew" w:hint="cs"/>
          <w:sz w:val="20"/>
          <w:szCs w:val="20"/>
        </w:rPr>
        <w:t xml:space="preserve"> </w:t>
      </w:r>
      <w:r w:rsidRPr="007067EB">
        <w:rPr>
          <w:rFonts w:ascii="Arial Hebrew" w:hAnsi="Arial Hebrew" w:cs="Arial Hebrew" w:hint="cs"/>
          <w:i/>
          <w:iCs/>
          <w:sz w:val="20"/>
          <w:szCs w:val="20"/>
        </w:rPr>
        <w:t>Debt burden</w:t>
      </w:r>
      <w:r w:rsidRPr="007067EB">
        <w:rPr>
          <w:rFonts w:ascii="Arial Hebrew" w:hAnsi="Arial Hebrew" w:cs="Arial Hebrew" w:hint="cs"/>
          <w:sz w:val="20"/>
          <w:szCs w:val="20"/>
        </w:rPr>
        <w:t xml:space="preserve"> (15%) and </w:t>
      </w:r>
      <w:r w:rsidRPr="007067EB">
        <w:rPr>
          <w:rFonts w:ascii="Arial Hebrew" w:hAnsi="Arial Hebrew" w:cs="Arial Hebrew" w:hint="cs"/>
          <w:i/>
          <w:iCs/>
          <w:sz w:val="20"/>
          <w:szCs w:val="20"/>
        </w:rPr>
        <w:t>interest burden</w:t>
      </w:r>
      <w:r w:rsidRPr="007067EB">
        <w:rPr>
          <w:rFonts w:ascii="Arial Hebrew" w:hAnsi="Arial Hebrew" w:cs="Arial Hebrew" w:hint="cs"/>
          <w:sz w:val="20"/>
          <w:szCs w:val="20"/>
        </w:rPr>
        <w:t xml:space="preserve"> (10%), as ratios to operating revenue. </w:t>
      </w:r>
    </w:p>
    <w:p w14:paraId="7EF9A057" w14:textId="77777777" w:rsidR="00F23319" w:rsidRPr="007067EB" w:rsidRDefault="00F23319" w:rsidP="00F23319">
      <w:pPr>
        <w:spacing w:after="0"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The preliminary </w:t>
      </w:r>
      <w:r w:rsidRPr="007067EB">
        <w:rPr>
          <w:rFonts w:ascii="Arial Hebrew" w:hAnsi="Arial Hebrew" w:cs="Arial Hebrew" w:hint="cs"/>
          <w:b/>
          <w:bCs/>
          <w:sz w:val="20"/>
          <w:szCs w:val="20"/>
        </w:rPr>
        <w:t>Baseline Credit Assessment</w:t>
      </w:r>
      <w:r w:rsidRPr="007067EB">
        <w:rPr>
          <w:rFonts w:ascii="Arial Hebrew" w:hAnsi="Arial Hebrew" w:cs="Arial Hebrew" w:hint="cs"/>
          <w:sz w:val="20"/>
          <w:szCs w:val="20"/>
        </w:rPr>
        <w:t xml:space="preserve"> is then adjusted according to:</w:t>
      </w:r>
    </w:p>
    <w:p w14:paraId="498935CC" w14:textId="77777777" w:rsidR="00F23319" w:rsidRPr="007067EB" w:rsidRDefault="00F23319" w:rsidP="00F23319">
      <w:pPr>
        <w:pStyle w:val="ListParagraph"/>
        <w:numPr>
          <w:ilvl w:val="0"/>
          <w:numId w:val="19"/>
        </w:numPr>
        <w:spacing w:after="0"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three </w:t>
      </w:r>
      <w:r w:rsidRPr="007067EB">
        <w:rPr>
          <w:rFonts w:ascii="Arial Hebrew" w:hAnsi="Arial Hebrew" w:cs="Arial Hebrew" w:hint="cs"/>
          <w:b/>
          <w:bCs/>
          <w:i/>
          <w:iCs/>
          <w:sz w:val="20"/>
          <w:szCs w:val="20"/>
        </w:rPr>
        <w:t>Idiosyncratic Notching Factors:</w:t>
      </w:r>
      <w:r w:rsidRPr="007067EB">
        <w:rPr>
          <w:rFonts w:ascii="Arial Hebrew" w:hAnsi="Arial Hebrew" w:cs="Arial Hebrew" w:hint="cs"/>
          <w:b/>
          <w:bCs/>
          <w:sz w:val="20"/>
          <w:szCs w:val="20"/>
        </w:rPr>
        <w:t xml:space="preserve"> </w:t>
      </w:r>
      <w:r w:rsidRPr="007067EB">
        <w:rPr>
          <w:rFonts w:ascii="Arial Hebrew" w:hAnsi="Arial Hebrew" w:cs="Arial Hebrew" w:hint="cs"/>
          <w:i/>
          <w:iCs/>
          <w:sz w:val="20"/>
          <w:szCs w:val="20"/>
        </w:rPr>
        <w:t>Significant Pressures from Material Pension Obligations or Contingent Liabilities</w:t>
      </w:r>
      <w:r w:rsidRPr="007067EB">
        <w:rPr>
          <w:rFonts w:ascii="Arial Hebrew" w:hAnsi="Arial Hebrew" w:cs="Arial Hebrew" w:hint="cs"/>
          <w:sz w:val="20"/>
          <w:szCs w:val="20"/>
        </w:rPr>
        <w:t xml:space="preserve"> (negative); </w:t>
      </w:r>
      <w:r w:rsidRPr="007067EB">
        <w:rPr>
          <w:rFonts w:ascii="Arial Hebrew" w:hAnsi="Arial Hebrew" w:cs="Arial Hebrew" w:hint="cs"/>
          <w:i/>
          <w:iCs/>
          <w:sz w:val="20"/>
          <w:szCs w:val="20"/>
        </w:rPr>
        <w:t>Ample Liquidity that Minimizes Borrowing Needs</w:t>
      </w:r>
      <w:r w:rsidRPr="007067EB">
        <w:rPr>
          <w:rFonts w:ascii="Arial Hebrew" w:hAnsi="Arial Hebrew" w:cs="Arial Hebrew" w:hint="cs"/>
          <w:sz w:val="20"/>
          <w:szCs w:val="20"/>
        </w:rPr>
        <w:t xml:space="preserve"> (positive) and </w:t>
      </w:r>
      <w:r w:rsidRPr="007067EB">
        <w:rPr>
          <w:rFonts w:ascii="Arial Hebrew" w:hAnsi="Arial Hebrew" w:cs="Arial Hebrew" w:hint="cs"/>
          <w:i/>
          <w:iCs/>
          <w:sz w:val="20"/>
          <w:szCs w:val="20"/>
        </w:rPr>
        <w:t>Expected Trend in Fiscal Performance</w:t>
      </w:r>
      <w:r w:rsidRPr="007067EB">
        <w:rPr>
          <w:rFonts w:ascii="Arial Hebrew" w:hAnsi="Arial Hebrew" w:cs="Arial Hebrew" w:hint="cs"/>
          <w:sz w:val="20"/>
          <w:szCs w:val="20"/>
        </w:rPr>
        <w:t xml:space="preserve"> (negative or positive); and</w:t>
      </w:r>
    </w:p>
    <w:p w14:paraId="2FE1A741" w14:textId="77777777" w:rsidR="00F23319" w:rsidRPr="007067EB" w:rsidRDefault="00F23319" w:rsidP="00F23319">
      <w:pPr>
        <w:pStyle w:val="ListParagraph"/>
        <w:numPr>
          <w:ilvl w:val="0"/>
          <w:numId w:val="19"/>
        </w:numPr>
        <w:spacing w:after="0"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a </w:t>
      </w:r>
      <w:r w:rsidRPr="007067EB">
        <w:rPr>
          <w:rFonts w:ascii="Arial Hebrew" w:hAnsi="Arial Hebrew" w:cs="Arial Hebrew" w:hint="cs"/>
          <w:b/>
          <w:bCs/>
          <w:i/>
          <w:iCs/>
          <w:sz w:val="20"/>
          <w:szCs w:val="20"/>
        </w:rPr>
        <w:t>Macro Operating Assessment</w:t>
      </w:r>
      <w:r w:rsidRPr="007067EB">
        <w:rPr>
          <w:rFonts w:ascii="Arial Hebrew" w:hAnsi="Arial Hebrew" w:cs="Arial Hebrew" w:hint="cs"/>
          <w:sz w:val="20"/>
          <w:szCs w:val="20"/>
        </w:rPr>
        <w:t xml:space="preserve"> incorporating two factors: one for the influence of the Sovereign Rating on the Sub-sovereign; and an </w:t>
      </w:r>
      <w:r w:rsidRPr="007067EB">
        <w:rPr>
          <w:rFonts w:ascii="Arial Hebrew" w:hAnsi="Arial Hebrew" w:cs="Arial Hebrew" w:hint="cs"/>
          <w:i/>
          <w:iCs/>
          <w:sz w:val="20"/>
          <w:szCs w:val="20"/>
        </w:rPr>
        <w:t>Operating Environment</w:t>
      </w:r>
      <w:r w:rsidRPr="007067EB">
        <w:rPr>
          <w:rFonts w:ascii="Arial Hebrew" w:hAnsi="Arial Hebrew" w:cs="Arial Hebrew" w:hint="cs"/>
          <w:sz w:val="20"/>
          <w:szCs w:val="20"/>
        </w:rPr>
        <w:t xml:space="preserve"> factor that considers the broader macroeconomic environment and institutional framework along with the extent of ordinary support from higher tiers of government.</w:t>
      </w:r>
    </w:p>
    <w:p w14:paraId="7EDA41C6" w14:textId="77777777" w:rsidR="00F23319" w:rsidRPr="007067EB" w:rsidRDefault="00F23319" w:rsidP="00F23319">
      <w:pPr>
        <w:spacing w:after="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 xml:space="preserve">The resulting </w:t>
      </w:r>
      <w:r w:rsidRPr="007067EB">
        <w:rPr>
          <w:rFonts w:ascii="Arial Hebrew" w:hAnsi="Arial Hebrew" w:cs="Arial Hebrew" w:hint="cs"/>
          <w:b/>
          <w:bCs/>
          <w:sz w:val="20"/>
          <w:szCs w:val="20"/>
        </w:rPr>
        <w:t>Baseline Credit Assessment</w:t>
      </w:r>
      <w:r w:rsidRPr="007067EB">
        <w:rPr>
          <w:rFonts w:ascii="Arial Hebrew" w:hAnsi="Arial Hebrew" w:cs="Arial Hebrew" w:hint="cs"/>
          <w:sz w:val="20"/>
          <w:szCs w:val="20"/>
        </w:rPr>
        <w:t xml:space="preserve"> is evaluated together with an assessment of </w:t>
      </w:r>
      <w:r w:rsidRPr="007067EB">
        <w:rPr>
          <w:rFonts w:ascii="Arial Hebrew" w:hAnsi="Arial Hebrew" w:cs="Arial Hebrew" w:hint="cs"/>
          <w:b/>
          <w:bCs/>
          <w:sz w:val="20"/>
          <w:szCs w:val="20"/>
        </w:rPr>
        <w:t>Extraordinary Support</w:t>
      </w:r>
      <w:r w:rsidRPr="007067EB">
        <w:rPr>
          <w:rFonts w:ascii="Arial Hebrew" w:hAnsi="Arial Hebrew" w:cs="Arial Hebrew" w:hint="cs"/>
          <w:sz w:val="20"/>
          <w:szCs w:val="20"/>
        </w:rPr>
        <w:t>; the willingness and ability of a higher-tier government to support an RLG in financial stress beyond ordinary levels. The latter assessment is primarily based on five factors:</w:t>
      </w:r>
      <w:r w:rsidRPr="007067EB">
        <w:rPr>
          <w:rStyle w:val="FootnoteReference"/>
          <w:rFonts w:ascii="Arial Hebrew" w:hAnsi="Arial Hebrew" w:cs="Arial Hebrew" w:hint="cs"/>
          <w:sz w:val="20"/>
          <w:szCs w:val="20"/>
        </w:rPr>
        <w:footnoteReference w:id="3"/>
      </w:r>
      <w:r w:rsidRPr="007067EB">
        <w:rPr>
          <w:rFonts w:ascii="Arial Hebrew" w:hAnsi="Arial Hebrew" w:cs="Arial Hebrew" w:hint="cs"/>
          <w:sz w:val="20"/>
          <w:szCs w:val="20"/>
        </w:rPr>
        <w:t xml:space="preserve"> </w:t>
      </w:r>
    </w:p>
    <w:p w14:paraId="161A4EFB" w14:textId="77777777" w:rsidR="00F23319" w:rsidRPr="007067EB" w:rsidRDefault="00F23319" w:rsidP="00F23319">
      <w:pPr>
        <w:pStyle w:val="ListParagraph"/>
        <w:numPr>
          <w:ilvl w:val="0"/>
          <w:numId w:val="34"/>
        </w:numPr>
        <w:spacing w:line="360" w:lineRule="auto"/>
        <w:jc w:val="both"/>
        <w:rPr>
          <w:rFonts w:ascii="Arial Hebrew" w:hAnsi="Arial Hebrew" w:cs="Arial Hebrew" w:hint="cs"/>
          <w:sz w:val="20"/>
          <w:szCs w:val="20"/>
        </w:rPr>
      </w:pPr>
      <w:r w:rsidRPr="007067EB">
        <w:rPr>
          <w:rFonts w:ascii="Arial Hebrew" w:hAnsi="Arial Hebrew" w:cs="Arial Hebrew" w:hint="cs"/>
          <w:i/>
          <w:iCs/>
          <w:sz w:val="20"/>
          <w:szCs w:val="20"/>
        </w:rPr>
        <w:t>Legal Framework / Policy</w:t>
      </w:r>
      <w:r w:rsidRPr="007067EB">
        <w:rPr>
          <w:rFonts w:ascii="Arial Hebrew" w:hAnsi="Arial Hebrew" w:cs="Arial Hebrew" w:hint="cs"/>
          <w:sz w:val="20"/>
          <w:szCs w:val="20"/>
        </w:rPr>
        <w:t>:</w:t>
      </w:r>
      <w:r w:rsidRPr="007067EB">
        <w:rPr>
          <w:rFonts w:ascii="Arial Hebrew" w:hAnsi="Arial Hebrew" w:cs="Arial Hebrew" w:hint="cs"/>
          <w:b/>
          <w:bCs/>
          <w:sz w:val="20"/>
          <w:szCs w:val="20"/>
        </w:rPr>
        <w:t xml:space="preserve"> </w:t>
      </w:r>
      <w:r w:rsidRPr="007067EB">
        <w:rPr>
          <w:rFonts w:ascii="Arial Hebrew" w:hAnsi="Arial Hebrew" w:cs="Arial Hebrew" w:hint="cs"/>
          <w:sz w:val="20"/>
          <w:szCs w:val="20"/>
        </w:rPr>
        <w:t xml:space="preserve">the institutional requirements for (or barriers to) a higher-tier government providing support. </w:t>
      </w:r>
    </w:p>
    <w:p w14:paraId="0A54A504" w14:textId="77777777" w:rsidR="00F23319" w:rsidRPr="007067EB" w:rsidRDefault="00F23319" w:rsidP="00F23319">
      <w:pPr>
        <w:pStyle w:val="ListParagraph"/>
        <w:numPr>
          <w:ilvl w:val="0"/>
          <w:numId w:val="34"/>
        </w:numPr>
        <w:spacing w:line="360" w:lineRule="auto"/>
        <w:jc w:val="both"/>
        <w:rPr>
          <w:rFonts w:ascii="Arial Hebrew" w:hAnsi="Arial Hebrew" w:cs="Arial Hebrew" w:hint="cs"/>
          <w:sz w:val="20"/>
          <w:szCs w:val="20"/>
        </w:rPr>
      </w:pPr>
      <w:r w:rsidRPr="007067EB">
        <w:rPr>
          <w:rFonts w:ascii="Arial Hebrew" w:hAnsi="Arial Hebrew" w:cs="Arial Hebrew" w:hint="cs"/>
          <w:i/>
          <w:iCs/>
          <w:sz w:val="20"/>
          <w:szCs w:val="20"/>
        </w:rPr>
        <w:t>Reputational Risk:</w:t>
      </w:r>
      <w:r w:rsidRPr="007067EB">
        <w:rPr>
          <w:rFonts w:ascii="Arial Hebrew" w:hAnsi="Arial Hebrew" w:cs="Arial Hebrew" w:hint="cs"/>
          <w:sz w:val="20"/>
          <w:szCs w:val="20"/>
        </w:rPr>
        <w:t xml:space="preserve"> incentives for higher-tier government to mitigate the damage caused by the LRG default. </w:t>
      </w:r>
    </w:p>
    <w:p w14:paraId="6C4B35E9" w14:textId="77777777" w:rsidR="00F23319" w:rsidRPr="007067EB" w:rsidRDefault="00F23319" w:rsidP="00F23319">
      <w:pPr>
        <w:pStyle w:val="ListParagraph"/>
        <w:numPr>
          <w:ilvl w:val="0"/>
          <w:numId w:val="34"/>
        </w:numPr>
        <w:spacing w:line="360" w:lineRule="auto"/>
        <w:jc w:val="both"/>
        <w:rPr>
          <w:rFonts w:ascii="Arial Hebrew" w:hAnsi="Arial Hebrew" w:cs="Arial Hebrew" w:hint="cs"/>
          <w:sz w:val="20"/>
          <w:szCs w:val="20"/>
        </w:rPr>
      </w:pPr>
      <w:r w:rsidRPr="007067EB">
        <w:rPr>
          <w:rFonts w:ascii="Arial Hebrew" w:hAnsi="Arial Hebrew" w:cs="Arial Hebrew" w:hint="cs"/>
          <w:i/>
          <w:iCs/>
          <w:sz w:val="20"/>
          <w:szCs w:val="20"/>
        </w:rPr>
        <w:t>Moral Hazard</w:t>
      </w:r>
      <w:r w:rsidRPr="007067EB">
        <w:rPr>
          <w:rFonts w:ascii="Arial Hebrew" w:hAnsi="Arial Hebrew" w:cs="Arial Hebrew" w:hint="cs"/>
          <w:sz w:val="20"/>
          <w:szCs w:val="20"/>
        </w:rPr>
        <w:t>: incentives for higher-tier government to avoid setting bailout precedents that may foster imprudent budgetary practices.</w:t>
      </w:r>
    </w:p>
    <w:p w14:paraId="1C6012F9" w14:textId="77777777" w:rsidR="00F23319" w:rsidRPr="007067EB" w:rsidRDefault="00F23319" w:rsidP="00F23319">
      <w:pPr>
        <w:pStyle w:val="ListParagraph"/>
        <w:numPr>
          <w:ilvl w:val="0"/>
          <w:numId w:val="34"/>
        </w:numPr>
        <w:spacing w:after="0" w:line="360" w:lineRule="auto"/>
        <w:jc w:val="both"/>
        <w:rPr>
          <w:rFonts w:ascii="Arial Hebrew" w:hAnsi="Arial Hebrew" w:cs="Arial Hebrew" w:hint="cs"/>
          <w:sz w:val="20"/>
          <w:szCs w:val="20"/>
        </w:rPr>
      </w:pPr>
      <w:r w:rsidRPr="007067EB">
        <w:rPr>
          <w:rFonts w:ascii="Arial Hebrew" w:hAnsi="Arial Hebrew" w:cs="Arial Hebrew" w:hint="cs"/>
          <w:i/>
          <w:iCs/>
          <w:sz w:val="20"/>
          <w:szCs w:val="20"/>
        </w:rPr>
        <w:t>Strategic Role:</w:t>
      </w:r>
      <w:r w:rsidRPr="007067EB">
        <w:rPr>
          <w:rFonts w:ascii="Arial Hebrew" w:hAnsi="Arial Hebrew" w:cs="Arial Hebrew" w:hint="cs"/>
          <w:sz w:val="20"/>
          <w:szCs w:val="20"/>
        </w:rPr>
        <w:t xml:space="preserve">  attributes of the RLG that are relevant to the support decision. </w:t>
      </w:r>
    </w:p>
    <w:p w14:paraId="2CC4A084" w14:textId="77777777" w:rsidR="00F23319" w:rsidRPr="007067EB" w:rsidRDefault="00F23319" w:rsidP="00F23319">
      <w:pPr>
        <w:pStyle w:val="ListParagraph"/>
        <w:numPr>
          <w:ilvl w:val="0"/>
          <w:numId w:val="34"/>
        </w:numPr>
        <w:spacing w:after="0" w:line="360" w:lineRule="auto"/>
        <w:jc w:val="both"/>
        <w:rPr>
          <w:rFonts w:ascii="Arial Hebrew" w:hAnsi="Arial Hebrew" w:cs="Arial Hebrew" w:hint="cs"/>
          <w:sz w:val="20"/>
          <w:szCs w:val="20"/>
        </w:rPr>
      </w:pPr>
      <w:r w:rsidRPr="007067EB">
        <w:rPr>
          <w:rFonts w:ascii="Arial Hebrew" w:hAnsi="Arial Hebrew" w:cs="Arial Hebrew" w:hint="cs"/>
          <w:i/>
          <w:iCs/>
          <w:sz w:val="20"/>
          <w:szCs w:val="20"/>
        </w:rPr>
        <w:t>Bailout History</w:t>
      </w:r>
      <w:r w:rsidRPr="007067EB">
        <w:rPr>
          <w:rFonts w:ascii="Arial Hebrew" w:hAnsi="Arial Hebrew" w:cs="Arial Hebrew" w:hint="cs"/>
          <w:sz w:val="20"/>
          <w:szCs w:val="20"/>
        </w:rPr>
        <w:t xml:space="preserve">:  the higher-tier government’s track record of providing extraordinary support. </w:t>
      </w:r>
    </w:p>
    <w:p w14:paraId="0E4EBB6D" w14:textId="77777777" w:rsidR="00F23319" w:rsidRPr="007067EB" w:rsidRDefault="00F23319" w:rsidP="00F23319">
      <w:pPr>
        <w:spacing w:after="0" w:line="360" w:lineRule="auto"/>
        <w:jc w:val="both"/>
        <w:rPr>
          <w:rFonts w:ascii="Arial Hebrew" w:hAnsi="Arial Hebrew" w:cs="Arial Hebrew" w:hint="cs"/>
          <w:sz w:val="20"/>
          <w:szCs w:val="20"/>
        </w:rPr>
      </w:pPr>
      <w:r w:rsidRPr="007067EB">
        <w:rPr>
          <w:rFonts w:ascii="Arial Hebrew" w:hAnsi="Arial Hebrew" w:cs="Arial Hebrew" w:hint="cs"/>
          <w:sz w:val="20"/>
          <w:szCs w:val="20"/>
        </w:rPr>
        <w:lastRenderedPageBreak/>
        <w:t>Other factors – environmental, social, governance, liquidity, financial control, and event risk – may be considered by committee in final adjustments to the ratings decision (</w:t>
      </w:r>
      <w:r w:rsidRPr="007067EB">
        <w:rPr>
          <w:rFonts w:ascii="Arial Hebrew" w:hAnsi="Arial Hebrew" w:cs="Arial Hebrew" w:hint="cs"/>
          <w:b/>
          <w:bCs/>
          <w:sz w:val="20"/>
          <w:szCs w:val="20"/>
        </w:rPr>
        <w:t>Figure 4</w:t>
      </w:r>
      <w:r w:rsidRPr="007067EB">
        <w:rPr>
          <w:rFonts w:ascii="Arial Hebrew" w:hAnsi="Arial Hebrew" w:cs="Arial Hebrew" w:hint="cs"/>
          <w:sz w:val="20"/>
          <w:szCs w:val="20"/>
        </w:rPr>
        <w:t>). Unlike for sovereign assessments, Moody’s does not report on the use of external indicators for sub-sovereign assessments.</w:t>
      </w:r>
    </w:p>
    <w:p w14:paraId="7D790568" w14:textId="77777777" w:rsidR="00F23319" w:rsidRPr="007067EB" w:rsidRDefault="00F23319" w:rsidP="00F23319">
      <w:pPr>
        <w:spacing w:before="240" w:after="0" w:line="360" w:lineRule="auto"/>
        <w:jc w:val="center"/>
        <w:rPr>
          <w:rFonts w:ascii="Arial Hebrew" w:hAnsi="Arial Hebrew" w:cs="Arial Hebrew" w:hint="cs"/>
          <w:sz w:val="20"/>
          <w:szCs w:val="20"/>
        </w:rPr>
      </w:pPr>
      <w:r w:rsidRPr="007067EB">
        <w:rPr>
          <w:rFonts w:ascii="Arial Hebrew" w:hAnsi="Arial Hebrew" w:cs="Arial Hebrew" w:hint="cs"/>
          <w:b/>
          <w:bCs/>
          <w:i/>
          <w:iCs/>
          <w:sz w:val="16"/>
          <w:szCs w:val="16"/>
        </w:rPr>
        <w:t>Figure 4.</w:t>
      </w:r>
    </w:p>
    <w:p w14:paraId="26D16B8E" w14:textId="77777777" w:rsidR="00F23319" w:rsidRPr="007067EB" w:rsidRDefault="00F23319" w:rsidP="00F23319">
      <w:pPr>
        <w:spacing w:after="0"/>
        <w:ind w:left="720"/>
        <w:jc w:val="center"/>
        <w:rPr>
          <w:rFonts w:ascii="Arial Hebrew" w:hAnsi="Arial Hebrew" w:cs="Arial Hebrew" w:hint="cs"/>
          <w:b/>
          <w:bCs/>
          <w:sz w:val="28"/>
          <w:szCs w:val="28"/>
        </w:rPr>
      </w:pPr>
      <w:r w:rsidRPr="007067EB">
        <w:rPr>
          <w:rFonts w:ascii="Arial Hebrew" w:hAnsi="Arial Hebrew" w:cs="Arial Hebrew" w:hint="cs"/>
          <w:b/>
          <w:bCs/>
          <w:sz w:val="28"/>
          <w:szCs w:val="28"/>
        </w:rPr>
        <w:t xml:space="preserve">Moody’s Sub-Sovereign Assessment Framework </w:t>
      </w:r>
    </w:p>
    <w:p w14:paraId="4B17FB54" w14:textId="77777777" w:rsidR="00F23319" w:rsidRPr="007067EB" w:rsidRDefault="00F23319" w:rsidP="00F23319">
      <w:pPr>
        <w:spacing w:after="0" w:line="360" w:lineRule="auto"/>
        <w:ind w:left="720"/>
        <w:jc w:val="center"/>
        <w:rPr>
          <w:rFonts w:ascii="Arial Hebrew" w:hAnsi="Arial Hebrew" w:cs="Arial Hebrew" w:hint="cs"/>
        </w:rPr>
      </w:pPr>
      <w:r w:rsidRPr="007067EB">
        <w:rPr>
          <w:rFonts w:ascii="Arial Hebrew" w:hAnsi="Arial Hebrew" w:cs="Arial Hebrew" w:hint="cs"/>
        </w:rPr>
        <w:t>International LGRs</w:t>
      </w:r>
    </w:p>
    <w:p w14:paraId="7211B010" w14:textId="77777777" w:rsidR="00F23319" w:rsidRPr="007067EB" w:rsidRDefault="00F23319" w:rsidP="00F23319">
      <w:pPr>
        <w:ind w:left="720"/>
        <w:jc w:val="center"/>
        <w:rPr>
          <w:rFonts w:ascii="Arial Hebrew" w:hAnsi="Arial Hebrew" w:cs="Arial Hebrew" w:hint="cs"/>
          <w:b/>
          <w:bCs/>
        </w:rPr>
      </w:pPr>
      <w:r w:rsidRPr="007067EB">
        <w:rPr>
          <w:rFonts w:ascii="Arial Hebrew" w:hAnsi="Arial Hebrew" w:cs="Arial Hebrew" w:hint="cs"/>
          <w:noProof/>
        </w:rPr>
        <mc:AlternateContent>
          <mc:Choice Requires="wps">
            <w:drawing>
              <wp:anchor distT="0" distB="0" distL="114300" distR="114300" simplePos="0" relativeHeight="251683840" behindDoc="0" locked="0" layoutInCell="1" allowOverlap="1" wp14:anchorId="421C1565" wp14:editId="4A6D9A29">
                <wp:simplePos x="0" y="0"/>
                <wp:positionH relativeFrom="column">
                  <wp:posOffset>3084732</wp:posOffset>
                </wp:positionH>
                <wp:positionV relativeFrom="paragraph">
                  <wp:posOffset>254000</wp:posOffset>
                </wp:positionV>
                <wp:extent cx="2612390" cy="2470150"/>
                <wp:effectExtent l="0" t="0" r="16510" b="19050"/>
                <wp:wrapNone/>
                <wp:docPr id="309302374" name="Text Box 4"/>
                <wp:cNvGraphicFramePr/>
                <a:graphic xmlns:a="http://schemas.openxmlformats.org/drawingml/2006/main">
                  <a:graphicData uri="http://schemas.microsoft.com/office/word/2010/wordprocessingShape">
                    <wps:wsp>
                      <wps:cNvSpPr txBox="1"/>
                      <wps:spPr>
                        <a:xfrm>
                          <a:off x="0" y="0"/>
                          <a:ext cx="2612390" cy="2470150"/>
                        </a:xfrm>
                        <a:prstGeom prst="rect">
                          <a:avLst/>
                        </a:prstGeom>
                        <a:solidFill>
                          <a:schemeClr val="bg1">
                            <a:lumMod val="95000"/>
                          </a:schemeClr>
                        </a:solidFill>
                        <a:ln w="12700">
                          <a:solidFill>
                            <a:schemeClr val="tx1"/>
                          </a:solidFill>
                        </a:ln>
                      </wps:spPr>
                      <wps:txbx>
                        <w:txbxContent>
                          <w:p w14:paraId="7C9C160E" w14:textId="77777777" w:rsidR="00F23319" w:rsidRPr="008877C2" w:rsidRDefault="00F23319" w:rsidP="00F23319">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 xml:space="preserve">Weighted Factors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C1565" id="_x0000_s1034" type="#_x0000_t202" style="position:absolute;left:0;text-align:left;margin-left:242.9pt;margin-top:20pt;width:205.7pt;height:1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" fillcolor="#f2f2f2 [3052]" strokecolor="black [3213]" strokeweight="1pt">
                <v:textbox>
                  <w:txbxContent>
                    <w:p w14:paraId="7C9C160E" w14:textId="77777777" w:rsidR="00F23319" w:rsidRPr="008877C2" w:rsidRDefault="00F23319" w:rsidP="00F23319">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 xml:space="preserve">Weighted Factors </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80768" behindDoc="0" locked="0" layoutInCell="1" allowOverlap="1" wp14:anchorId="69BFE1E5" wp14:editId="014A0794">
                <wp:simplePos x="0" y="0"/>
                <wp:positionH relativeFrom="column">
                  <wp:posOffset>1538654</wp:posOffset>
                </wp:positionH>
                <wp:positionV relativeFrom="paragraph">
                  <wp:posOffset>258445</wp:posOffset>
                </wp:positionV>
                <wp:extent cx="1424305" cy="835269"/>
                <wp:effectExtent l="0" t="0" r="10795" b="15875"/>
                <wp:wrapNone/>
                <wp:docPr id="1272953973" name="Text Box 4"/>
                <wp:cNvGraphicFramePr/>
                <a:graphic xmlns:a="http://schemas.openxmlformats.org/drawingml/2006/main">
                  <a:graphicData uri="http://schemas.microsoft.com/office/word/2010/wordprocessingShape">
                    <wps:wsp>
                      <wps:cNvSpPr txBox="1"/>
                      <wps:spPr>
                        <a:xfrm>
                          <a:off x="0" y="0"/>
                          <a:ext cx="1424305" cy="835269"/>
                        </a:xfrm>
                        <a:prstGeom prst="rect">
                          <a:avLst/>
                        </a:prstGeom>
                        <a:solidFill>
                          <a:schemeClr val="accent4">
                            <a:lumMod val="20000"/>
                            <a:lumOff val="80000"/>
                          </a:schemeClr>
                        </a:solidFill>
                        <a:ln w="9525">
                          <a:solidFill>
                            <a:schemeClr val="tx1"/>
                          </a:solidFill>
                        </a:ln>
                      </wps:spPr>
                      <wps:txbx>
                        <w:txbxContent>
                          <w:p w14:paraId="2791609A" w14:textId="77777777" w:rsidR="00F23319" w:rsidRDefault="00F23319" w:rsidP="00F23319">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F33B057" w14:textId="77777777" w:rsidR="00F23319" w:rsidRPr="008C6796" w:rsidRDefault="00F23319" w:rsidP="00F23319">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Pr>
                                <w:rFonts w:ascii="Arial" w:hAnsi="Arial" w:cs="Arial"/>
                                <w:sz w:val="13"/>
                                <w:szCs w:val="13"/>
                              </w:rPr>
                              <w:t xml:space="preserve"> </w:t>
                            </w:r>
                            <w:r w:rsidRPr="00D26102">
                              <w:rPr>
                                <w:rFonts w:ascii="Arial" w:hAnsi="Arial" w:cs="Arial" w:hint="cs"/>
                                <w:color w:val="FF0000"/>
                                <w:sz w:val="13"/>
                                <w:szCs w:val="13"/>
                              </w:rPr>
                              <w:t>(-2 to 0)</w:t>
                            </w:r>
                          </w:p>
                          <w:p w14:paraId="4D00BC84" w14:textId="77777777" w:rsidR="00F23319" w:rsidRPr="004D13A7" w:rsidRDefault="00F23319" w:rsidP="00F23319">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Pr>
                                <w:rFonts w:ascii="Arial" w:hAnsi="Arial" w:cs="Arial"/>
                                <w:sz w:val="13"/>
                                <w:szCs w:val="13"/>
                              </w:rPr>
                              <w:t xml:space="preserve"> </w:t>
                            </w:r>
                            <w:r w:rsidRPr="00D26102">
                              <w:rPr>
                                <w:rFonts w:ascii="Arial" w:hAnsi="Arial" w:cs="Arial"/>
                                <w:color w:val="FF0000"/>
                                <w:sz w:val="13"/>
                                <w:szCs w:val="13"/>
                              </w:rPr>
                              <w:t>(0 to +1)</w:t>
                            </w:r>
                          </w:p>
                          <w:p w14:paraId="304CF5A9" w14:textId="77777777" w:rsidR="00F23319" w:rsidRPr="008C6796" w:rsidRDefault="00F23319" w:rsidP="00F23319">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137928D7" w14:textId="77777777" w:rsidR="00F23319" w:rsidRPr="004D13A7" w:rsidRDefault="00F23319" w:rsidP="00F23319">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(-2 to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E1E5" id="_x0000_s1035" type="#_x0000_t202" style="position:absolute;left:0;text-align:left;margin-left:121.15pt;margin-top:20.35pt;width:112.15pt;height:6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" fillcolor="#caedfb [663]" strokecolor="black [3213]">
                <v:textbox>
                  <w:txbxContent>
                    <w:p w14:paraId="2791609A" w14:textId="77777777" w:rsidR="00F23319" w:rsidRDefault="00F23319" w:rsidP="00F23319">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F33B057" w14:textId="77777777" w:rsidR="00F23319" w:rsidRPr="008C6796" w:rsidRDefault="00F23319" w:rsidP="00F23319">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Pr>
                          <w:rFonts w:ascii="Arial" w:hAnsi="Arial" w:cs="Arial"/>
                          <w:sz w:val="13"/>
                          <w:szCs w:val="13"/>
                        </w:rPr>
                        <w:t xml:space="preserve"> </w:t>
                      </w:r>
                      <w:r w:rsidRPr="00D26102">
                        <w:rPr>
                          <w:rFonts w:ascii="Arial" w:hAnsi="Arial" w:cs="Arial" w:hint="cs"/>
                          <w:color w:val="FF0000"/>
                          <w:sz w:val="13"/>
                          <w:szCs w:val="13"/>
                        </w:rPr>
                        <w:t>(-2 to 0)</w:t>
                      </w:r>
                    </w:p>
                    <w:p w14:paraId="4D00BC84" w14:textId="77777777" w:rsidR="00F23319" w:rsidRPr="004D13A7" w:rsidRDefault="00F23319" w:rsidP="00F23319">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Pr>
                          <w:rFonts w:ascii="Arial" w:hAnsi="Arial" w:cs="Arial"/>
                          <w:sz w:val="13"/>
                          <w:szCs w:val="13"/>
                        </w:rPr>
                        <w:t xml:space="preserve"> </w:t>
                      </w:r>
                      <w:r w:rsidRPr="00D26102">
                        <w:rPr>
                          <w:rFonts w:ascii="Arial" w:hAnsi="Arial" w:cs="Arial"/>
                          <w:color w:val="FF0000"/>
                          <w:sz w:val="13"/>
                          <w:szCs w:val="13"/>
                        </w:rPr>
                        <w:t>(0 to +1)</w:t>
                      </w:r>
                    </w:p>
                    <w:p w14:paraId="304CF5A9" w14:textId="77777777" w:rsidR="00F23319" w:rsidRPr="008C6796" w:rsidRDefault="00F23319" w:rsidP="00F23319">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137928D7" w14:textId="77777777" w:rsidR="00F23319" w:rsidRPr="004D13A7" w:rsidRDefault="00F23319" w:rsidP="00F23319">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(-2 to + 2)</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93056" behindDoc="0" locked="0" layoutInCell="1" allowOverlap="1" wp14:anchorId="10117623" wp14:editId="08EDC721">
                <wp:simplePos x="0" y="0"/>
                <wp:positionH relativeFrom="column">
                  <wp:posOffset>1221007</wp:posOffset>
                </wp:positionH>
                <wp:positionV relativeFrom="paragraph">
                  <wp:posOffset>168275</wp:posOffset>
                </wp:positionV>
                <wp:extent cx="368935" cy="1503045"/>
                <wp:effectExtent l="0" t="0" r="24765" b="71755"/>
                <wp:wrapNone/>
                <wp:docPr id="19881495" name="Elbow Connector 28"/>
                <wp:cNvGraphicFramePr/>
                <a:graphic xmlns:a="http://schemas.openxmlformats.org/drawingml/2006/main">
                  <a:graphicData uri="http://schemas.microsoft.com/office/word/2010/wordprocessingShape">
                    <wps:wsp>
                      <wps:cNvCnPr/>
                      <wps:spPr>
                        <a:xfrm>
                          <a:off x="0" y="0"/>
                          <a:ext cx="368935" cy="1503045"/>
                        </a:xfrm>
                        <a:prstGeom prst="bentConnector3">
                          <a:avLst>
                            <a:gd name="adj1" fmla="val 36693"/>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7BF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6.15pt;margin-top:13.25pt;width:29.05pt;height:118.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" adj="7926" strokecolor="#c00000">
                <v:stroke endarrow="block"/>
              </v:shape>
            </w:pict>
          </mc:Fallback>
        </mc:AlternateContent>
      </w:r>
      <w:r w:rsidRPr="007067EB">
        <w:rPr>
          <w:rFonts w:ascii="Arial Hebrew" w:hAnsi="Arial Hebrew" w:cs="Arial Hebrew" w:hint="cs"/>
          <w:b/>
          <w:bCs/>
          <w:noProof/>
          <w:sz w:val="18"/>
          <w:szCs w:val="18"/>
        </w:rPr>
        <mc:AlternateContent>
          <mc:Choice Requires="wps">
            <w:drawing>
              <wp:anchor distT="0" distB="0" distL="114300" distR="114300" simplePos="0" relativeHeight="251678720" behindDoc="0" locked="0" layoutInCell="1" allowOverlap="1" wp14:anchorId="24FCF4A0" wp14:editId="17415FBA">
                <wp:simplePos x="0" y="0"/>
                <wp:positionH relativeFrom="column">
                  <wp:posOffset>714277</wp:posOffset>
                </wp:positionH>
                <wp:positionV relativeFrom="paragraph">
                  <wp:posOffset>265430</wp:posOffset>
                </wp:positionV>
                <wp:extent cx="0" cy="160655"/>
                <wp:effectExtent l="63500" t="0" r="38100" b="29845"/>
                <wp:wrapNone/>
                <wp:docPr id="909253001" name="Straight Arrow Connector 8"/>
                <wp:cNvGraphicFramePr/>
                <a:graphic xmlns:a="http://schemas.openxmlformats.org/drawingml/2006/main">
                  <a:graphicData uri="http://schemas.microsoft.com/office/word/2010/wordprocessingShape">
                    <wps:wsp>
                      <wps:cNvCnPr/>
                      <wps:spPr>
                        <a:xfrm>
                          <a:off x="0" y="0"/>
                          <a:ext cx="0" cy="160655"/>
                        </a:xfrm>
                        <a:prstGeom prst="straightConnector1">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EA8AE" id="Straight Arrow Connector 8" o:spid="_x0000_s1026" type="#_x0000_t32" style="position:absolute;margin-left:56.25pt;margin-top:20.9pt;width:0;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" strokecolor="#c00000">
                <v:stroke endarrow="block" joinstyle="miter"/>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94080" behindDoc="0" locked="0" layoutInCell="1" allowOverlap="1" wp14:anchorId="42022A3D" wp14:editId="681B492D">
                <wp:simplePos x="0" y="0"/>
                <wp:positionH relativeFrom="column">
                  <wp:posOffset>193431</wp:posOffset>
                </wp:positionH>
                <wp:positionV relativeFrom="paragraph">
                  <wp:posOffset>12260</wp:posOffset>
                </wp:positionV>
                <wp:extent cx="1037394" cy="245110"/>
                <wp:effectExtent l="0" t="0" r="17145" b="8890"/>
                <wp:wrapNone/>
                <wp:docPr id="58423593" name="Text Box 4"/>
                <wp:cNvGraphicFramePr/>
                <a:graphic xmlns:a="http://schemas.openxmlformats.org/drawingml/2006/main">
                  <a:graphicData uri="http://schemas.microsoft.com/office/word/2010/wordprocessingShape">
                    <wps:wsp>
                      <wps:cNvSpPr txBox="1"/>
                      <wps:spPr>
                        <a:xfrm>
                          <a:off x="0" y="0"/>
                          <a:ext cx="1037394" cy="245110"/>
                        </a:xfrm>
                        <a:prstGeom prst="rect">
                          <a:avLst/>
                        </a:prstGeom>
                        <a:solidFill>
                          <a:schemeClr val="accent2">
                            <a:lumMod val="20000"/>
                            <a:lumOff val="80000"/>
                          </a:schemeClr>
                        </a:solidFill>
                        <a:ln w="12700">
                          <a:solidFill>
                            <a:srgbClr val="C00000"/>
                          </a:solidFill>
                        </a:ln>
                      </wps:spPr>
                      <wps:txbx>
                        <w:txbxContent>
                          <w:p w14:paraId="3E125DDB" w14:textId="77777777" w:rsidR="00F23319" w:rsidRPr="00D26102" w:rsidRDefault="00F23319" w:rsidP="00F23319">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61A7742C" w14:textId="77777777" w:rsidR="00F23319" w:rsidRPr="00D26102" w:rsidRDefault="00F23319" w:rsidP="00F23319">
                            <w:pPr>
                              <w:spacing w:after="0" w:line="240" w:lineRule="auto"/>
                              <w:rPr>
                                <w:rFonts w:ascii="Arial" w:hAnsi="Arial" w:cs="Arial"/>
                                <w:color w:val="C00000"/>
                                <w:sz w:val="17"/>
                                <w:szCs w:val="17"/>
                                <w:lang w:val="en-US"/>
                              </w:rPr>
                            </w:pPr>
                          </w:p>
                          <w:p w14:paraId="70209F1D" w14:textId="77777777" w:rsidR="00F23319" w:rsidRPr="00D26102" w:rsidRDefault="00F23319" w:rsidP="00F23319">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2E85014A" w14:textId="77777777" w:rsidR="00F23319" w:rsidRPr="00D26102" w:rsidRDefault="00F23319" w:rsidP="00F23319">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F8F40FC" w14:textId="77777777" w:rsidR="00F23319" w:rsidRPr="00D26102" w:rsidRDefault="00F23319" w:rsidP="00F23319">
                            <w:pPr>
                              <w:spacing w:after="0" w:line="240" w:lineRule="auto"/>
                              <w:rPr>
                                <w:rFonts w:ascii="Arial" w:hAnsi="Arial" w:cs="Arial"/>
                                <w:color w:val="C00000"/>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22A3D" id="_x0000_s1036" type="#_x0000_t202" style="position:absolute;left:0;text-align:left;margin-left:15.25pt;margin-top:.95pt;width:81.7pt;height:19.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" fillcolor="#fae2d5 [661]" strokecolor="#c00000" strokeweight="1pt">
                <v:textbox>
                  <w:txbxContent>
                    <w:p w14:paraId="3E125DDB" w14:textId="77777777" w:rsidR="00F23319" w:rsidRPr="00D26102" w:rsidRDefault="00F23319" w:rsidP="00F23319">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61A7742C" w14:textId="77777777" w:rsidR="00F23319" w:rsidRPr="00D26102" w:rsidRDefault="00F23319" w:rsidP="00F23319">
                      <w:pPr>
                        <w:spacing w:after="0" w:line="240" w:lineRule="auto"/>
                        <w:rPr>
                          <w:rFonts w:ascii="Arial" w:hAnsi="Arial" w:cs="Arial"/>
                          <w:color w:val="C00000"/>
                          <w:sz w:val="17"/>
                          <w:szCs w:val="17"/>
                          <w:lang w:val="en-US"/>
                        </w:rPr>
                      </w:pPr>
                    </w:p>
                    <w:p w14:paraId="70209F1D" w14:textId="77777777" w:rsidR="00F23319" w:rsidRPr="00D26102" w:rsidRDefault="00F23319" w:rsidP="00F23319">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2E85014A" w14:textId="77777777" w:rsidR="00F23319" w:rsidRPr="00D26102" w:rsidRDefault="00F23319" w:rsidP="00F23319">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F8F40FC" w14:textId="77777777" w:rsidR="00F23319" w:rsidRPr="00D26102" w:rsidRDefault="00F23319" w:rsidP="00F23319">
                      <w:pPr>
                        <w:spacing w:after="0" w:line="240" w:lineRule="auto"/>
                        <w:rPr>
                          <w:rFonts w:ascii="Arial" w:hAnsi="Arial" w:cs="Arial"/>
                          <w:color w:val="C00000"/>
                          <w:sz w:val="17"/>
                          <w:szCs w:val="17"/>
                          <w:lang w:val="en-US"/>
                        </w:rPr>
                      </w:pP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62336" behindDoc="0" locked="0" layoutInCell="1" allowOverlap="1" wp14:anchorId="79D331DD" wp14:editId="362CE86B">
                <wp:simplePos x="0" y="0"/>
                <wp:positionH relativeFrom="column">
                  <wp:posOffset>1458497</wp:posOffset>
                </wp:positionH>
                <wp:positionV relativeFrom="paragraph">
                  <wp:posOffset>12065</wp:posOffset>
                </wp:positionV>
                <wp:extent cx="4281854" cy="2760345"/>
                <wp:effectExtent l="0" t="0" r="10795" b="8255"/>
                <wp:wrapNone/>
                <wp:docPr id="2086538838" name="Text Box 4"/>
                <wp:cNvGraphicFramePr/>
                <a:graphic xmlns:a="http://schemas.openxmlformats.org/drawingml/2006/main">
                  <a:graphicData uri="http://schemas.microsoft.com/office/word/2010/wordprocessingShape">
                    <wps:wsp>
                      <wps:cNvSpPr txBox="1"/>
                      <wps:spPr>
                        <a:xfrm>
                          <a:off x="0" y="0"/>
                          <a:ext cx="4281854" cy="2760345"/>
                        </a:xfrm>
                        <a:prstGeom prst="rect">
                          <a:avLst/>
                        </a:prstGeom>
                        <a:solidFill>
                          <a:schemeClr val="accent4">
                            <a:lumMod val="20000"/>
                            <a:lumOff val="80000"/>
                          </a:schemeClr>
                        </a:solidFill>
                        <a:ln w="12700">
                          <a:solidFill>
                            <a:schemeClr val="tx1"/>
                          </a:solidFill>
                        </a:ln>
                      </wps:spPr>
                      <wps:txbx>
                        <w:txbxContent>
                          <w:p w14:paraId="68FED6B6" w14:textId="77777777" w:rsidR="00F23319" w:rsidRPr="008877C2" w:rsidRDefault="00F23319" w:rsidP="00F23319">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wps:txbx>
                      <wps:bodyPr rot="0" spcFirstLastPara="0" vertOverflow="overflow" horzOverflow="overflow" vert="horz" wrap="square" lIns="91440" tIns="3600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331DD" id="_x0000_s1037" type="#_x0000_t202" style="position:absolute;left:0;text-align:left;margin-left:114.85pt;margin-top:.95pt;width:337.15pt;height:21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" fillcolor="#caedfb [663]" strokecolor="black [3213]" strokeweight="1pt">
                <v:textbox inset=",1mm,,0">
                  <w:txbxContent>
                    <w:p w14:paraId="68FED6B6" w14:textId="77777777" w:rsidR="00F23319" w:rsidRPr="008877C2" w:rsidRDefault="00F23319" w:rsidP="00F23319">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88960" behindDoc="0" locked="0" layoutInCell="1" allowOverlap="1" wp14:anchorId="73DD1162" wp14:editId="02F0C581">
                <wp:simplePos x="0" y="0"/>
                <wp:positionH relativeFrom="column">
                  <wp:posOffset>3130550</wp:posOffset>
                </wp:positionH>
                <wp:positionV relativeFrom="paragraph">
                  <wp:posOffset>680085</wp:posOffset>
                </wp:positionV>
                <wp:extent cx="991235" cy="457200"/>
                <wp:effectExtent l="0" t="0" r="12065" b="12700"/>
                <wp:wrapNone/>
                <wp:docPr id="596238214" name="Text Box 4"/>
                <wp:cNvGraphicFramePr/>
                <a:graphic xmlns:a="http://schemas.openxmlformats.org/drawingml/2006/main">
                  <a:graphicData uri="http://schemas.microsoft.com/office/word/2010/wordprocessingShape">
                    <wps:wsp>
                      <wps:cNvSpPr txBox="1"/>
                      <wps:spPr>
                        <a:xfrm>
                          <a:off x="0" y="0"/>
                          <a:ext cx="991235" cy="457200"/>
                        </a:xfrm>
                        <a:prstGeom prst="rect">
                          <a:avLst/>
                        </a:prstGeom>
                        <a:solidFill>
                          <a:schemeClr val="lt1"/>
                        </a:solidFill>
                        <a:ln w="3175">
                          <a:solidFill>
                            <a:schemeClr val="tx1"/>
                          </a:solidFill>
                        </a:ln>
                      </wps:spPr>
                      <wps:txbx>
                        <w:txbxContent>
                          <w:p w14:paraId="316C0CE0"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1936C113" w14:textId="77777777" w:rsidR="00F23319" w:rsidRPr="008877C2" w:rsidRDefault="00F23319" w:rsidP="00F23319">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6499A541" w14:textId="77777777" w:rsidR="00F23319" w:rsidRPr="008877C2" w:rsidRDefault="00F23319" w:rsidP="00F23319">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7565A705" w14:textId="77777777" w:rsidR="00F23319" w:rsidRPr="009F657C" w:rsidRDefault="00F23319" w:rsidP="00F23319">
                            <w:pPr>
                              <w:spacing w:after="0" w:line="240" w:lineRule="auto"/>
                              <w:rPr>
                                <w:rFonts w:ascii="Arial" w:hAnsi="Arial" w:cs="Arial"/>
                                <w:b/>
                                <w:bCs/>
                                <w:color w:val="0F9ED5" w:themeColor="accent4"/>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D1162" id="_x0000_s1038" type="#_x0000_t202" style="position:absolute;left:0;text-align:left;margin-left:246.5pt;margin-top:53.55pt;width:78.0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" fillcolor="white [3201]" strokecolor="black [3213]" strokeweight=".25pt">
                <v:textbox>
                  <w:txbxContent>
                    <w:p w14:paraId="316C0CE0"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1936C113" w14:textId="77777777" w:rsidR="00F23319" w:rsidRPr="008877C2" w:rsidRDefault="00F23319" w:rsidP="00F23319">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6499A541" w14:textId="77777777" w:rsidR="00F23319" w:rsidRPr="008877C2" w:rsidRDefault="00F23319" w:rsidP="00F23319">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7565A705" w14:textId="77777777" w:rsidR="00F23319" w:rsidRPr="009F657C" w:rsidRDefault="00F23319" w:rsidP="00F23319">
                      <w:pPr>
                        <w:spacing w:after="0" w:line="240" w:lineRule="auto"/>
                        <w:rPr>
                          <w:rFonts w:ascii="Arial" w:hAnsi="Arial" w:cs="Arial"/>
                          <w:b/>
                          <w:bCs/>
                          <w:color w:val="0F9ED5" w:themeColor="accent4"/>
                          <w:sz w:val="15"/>
                          <w:szCs w:val="15"/>
                          <w:lang w:val="en-US"/>
                        </w:rPr>
                      </w:pPr>
                    </w:p>
                  </w:txbxContent>
                </v:textbox>
              </v:shape>
            </w:pict>
          </mc:Fallback>
        </mc:AlternateContent>
      </w:r>
    </w:p>
    <w:p w14:paraId="2B9C3AE4" w14:textId="77777777" w:rsidR="00F23319" w:rsidRPr="007067EB" w:rsidRDefault="00F23319" w:rsidP="00F23319">
      <w:pPr>
        <w:spacing w:after="0" w:line="240" w:lineRule="auto"/>
        <w:ind w:firstLine="720"/>
        <w:rPr>
          <w:rFonts w:ascii="Arial Hebrew" w:hAnsi="Arial Hebrew" w:cs="Arial Hebrew" w:hint="cs"/>
          <w:b/>
          <w:bCs/>
          <w:sz w:val="18"/>
          <w:szCs w:val="18"/>
        </w:rPr>
      </w:pPr>
      <w:r w:rsidRPr="007067EB">
        <w:rPr>
          <w:rFonts w:ascii="Arial Hebrew" w:hAnsi="Arial Hebrew" w:cs="Arial Hebrew" w:hint="cs"/>
          <w:noProof/>
        </w:rPr>
        <mc:AlternateContent>
          <mc:Choice Requires="wps">
            <w:drawing>
              <wp:anchor distT="0" distB="0" distL="114300" distR="114300" simplePos="0" relativeHeight="251684864" behindDoc="0" locked="0" layoutInCell="1" allowOverlap="1" wp14:anchorId="69D5A4BA" wp14:editId="441D5C9F">
                <wp:simplePos x="0" y="0"/>
                <wp:positionH relativeFrom="column">
                  <wp:posOffset>4614643</wp:posOffset>
                </wp:positionH>
                <wp:positionV relativeFrom="paragraph">
                  <wp:posOffset>17780</wp:posOffset>
                </wp:positionV>
                <wp:extent cx="1016635" cy="575310"/>
                <wp:effectExtent l="0" t="0" r="12065" b="8890"/>
                <wp:wrapNone/>
                <wp:docPr id="1591247964" name="Text Box 4"/>
                <wp:cNvGraphicFramePr/>
                <a:graphic xmlns:a="http://schemas.openxmlformats.org/drawingml/2006/main">
                  <a:graphicData uri="http://schemas.microsoft.com/office/word/2010/wordprocessingShape">
                    <wps:wsp>
                      <wps:cNvSpPr txBox="1"/>
                      <wps:spPr>
                        <a:xfrm>
                          <a:off x="0" y="0"/>
                          <a:ext cx="1016635" cy="575310"/>
                        </a:xfrm>
                        <a:prstGeom prst="rect">
                          <a:avLst/>
                        </a:prstGeom>
                        <a:solidFill>
                          <a:schemeClr val="lt1"/>
                        </a:solidFill>
                        <a:ln w="3175">
                          <a:solidFill>
                            <a:schemeClr val="tx1"/>
                          </a:solidFill>
                        </a:ln>
                      </wps:spPr>
                      <wps:txbx>
                        <w:txbxContent>
                          <w:p w14:paraId="4B0F1758"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Economy 25%</w:t>
                            </w:r>
                          </w:p>
                          <w:p w14:paraId="1CFF5899" w14:textId="77777777" w:rsidR="00F23319" w:rsidRPr="00180F9C"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0AF69FF4" w14:textId="77777777" w:rsidR="00F23319" w:rsidRPr="00180F9C"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2631A39" w14:textId="77777777" w:rsidR="00F23319" w:rsidRPr="00180F9C"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A4BA" id="_x0000_s1039" type="#_x0000_t202" style="position:absolute;left:0;text-align:left;margin-left:363.35pt;margin-top:1.4pt;width:80.05pt;height:4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" fillcolor="white [3201]" strokecolor="black [3213]" strokeweight=".25pt">
                <v:textbox>
                  <w:txbxContent>
                    <w:p w14:paraId="4B0F1758"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Economy 25%</w:t>
                      </w:r>
                    </w:p>
                    <w:p w14:paraId="1CFF5899" w14:textId="77777777" w:rsidR="00F23319" w:rsidRPr="00180F9C"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0AF69FF4" w14:textId="77777777" w:rsidR="00F23319" w:rsidRPr="00180F9C"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2631A39" w14:textId="77777777" w:rsidR="00F23319" w:rsidRPr="00180F9C" w:rsidRDefault="00F23319" w:rsidP="00F23319">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v:textbox>
              </v:shape>
            </w:pict>
          </mc:Fallback>
        </mc:AlternateContent>
      </w:r>
    </w:p>
    <w:p w14:paraId="238C1805" w14:textId="77777777" w:rsidR="00F23319" w:rsidRPr="007067EB" w:rsidRDefault="00F23319" w:rsidP="00F23319">
      <w:pPr>
        <w:spacing w:line="360" w:lineRule="auto"/>
        <w:ind w:firstLine="720"/>
        <w:jc w:val="center"/>
        <w:rPr>
          <w:rFonts w:ascii="Arial Hebrew" w:hAnsi="Arial Hebrew" w:cs="Arial Hebrew" w:hint="cs"/>
          <w:sz w:val="20"/>
          <w:szCs w:val="20"/>
        </w:rPr>
      </w:pPr>
      <w:r w:rsidRPr="007067EB">
        <w:rPr>
          <w:rFonts w:ascii="Arial Hebrew" w:hAnsi="Arial Hebrew" w:cs="Arial Hebrew" w:hint="cs"/>
          <w:noProof/>
        </w:rPr>
        <w:drawing>
          <wp:anchor distT="0" distB="0" distL="114300" distR="114300" simplePos="0" relativeHeight="251689984" behindDoc="0" locked="0" layoutInCell="1" allowOverlap="1" wp14:anchorId="35772391" wp14:editId="369C496B">
            <wp:simplePos x="0" y="0"/>
            <wp:positionH relativeFrom="column">
              <wp:posOffset>3438525</wp:posOffset>
            </wp:positionH>
            <wp:positionV relativeFrom="paragraph">
              <wp:posOffset>322482</wp:posOffset>
            </wp:positionV>
            <wp:extent cx="1786255" cy="1516380"/>
            <wp:effectExtent l="0" t="0" r="4445" b="0"/>
            <wp:wrapNone/>
            <wp:docPr id="416158767" name="Chart 1">
              <a:extLst xmlns:a="http://schemas.openxmlformats.org/drawingml/2006/main">
                <a:ext uri="{FF2B5EF4-FFF2-40B4-BE49-F238E27FC236}">
                  <a16:creationId xmlns:a16="http://schemas.microsoft.com/office/drawing/2014/main" id="{410FC96F-F4E3-BE34-A0CA-0F259E1A3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7067EB">
        <w:rPr>
          <w:rFonts w:ascii="Arial Hebrew" w:hAnsi="Arial Hebrew" w:cs="Arial Hebrew" w:hint="cs"/>
          <w:noProof/>
        </w:rPr>
        <mc:AlternateContent>
          <mc:Choice Requires="wps">
            <w:drawing>
              <wp:anchor distT="0" distB="0" distL="114300" distR="114300" simplePos="0" relativeHeight="251679744" behindDoc="0" locked="0" layoutInCell="1" allowOverlap="1" wp14:anchorId="24B95C40" wp14:editId="7614B693">
                <wp:simplePos x="0" y="0"/>
                <wp:positionH relativeFrom="column">
                  <wp:posOffset>2962812</wp:posOffset>
                </wp:positionH>
                <wp:positionV relativeFrom="paragraph">
                  <wp:posOffset>98425</wp:posOffset>
                </wp:positionV>
                <wp:extent cx="186690" cy="0"/>
                <wp:effectExtent l="0" t="50800" r="0" b="76200"/>
                <wp:wrapNone/>
                <wp:docPr id="1588501669" name="Straight Arrow Connector 5"/>
                <wp:cNvGraphicFramePr/>
                <a:graphic xmlns:a="http://schemas.openxmlformats.org/drawingml/2006/main">
                  <a:graphicData uri="http://schemas.microsoft.com/office/word/2010/wordprocessingShape">
                    <wps:wsp>
                      <wps:cNvCnPr/>
                      <wps:spPr>
                        <a:xfrm flipH="1">
                          <a:off x="0" y="0"/>
                          <a:ext cx="18669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2BF0D" id="Straight Arrow Connector 5" o:spid="_x0000_s1026" type="#_x0000_t32" style="position:absolute;margin-left:233.3pt;margin-top:7.75pt;width:14.7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" strokecolor="black [3213]" strokeweight="1.25pt">
                <v:stroke endarrow="block" joinstyle="miter"/>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74624" behindDoc="0" locked="0" layoutInCell="1" allowOverlap="1" wp14:anchorId="13AD0F81" wp14:editId="71388321">
                <wp:simplePos x="0" y="0"/>
                <wp:positionH relativeFrom="column">
                  <wp:posOffset>193040</wp:posOffset>
                </wp:positionH>
                <wp:positionV relativeFrom="paragraph">
                  <wp:posOffset>16608</wp:posOffset>
                </wp:positionV>
                <wp:extent cx="1028504" cy="1372577"/>
                <wp:effectExtent l="0" t="0" r="13335" b="12065"/>
                <wp:wrapNone/>
                <wp:docPr id="699075714" name="Text Box 4"/>
                <wp:cNvGraphicFramePr/>
                <a:graphic xmlns:a="http://schemas.openxmlformats.org/drawingml/2006/main">
                  <a:graphicData uri="http://schemas.microsoft.com/office/word/2010/wordprocessingShape">
                    <wps:wsp>
                      <wps:cNvSpPr txBox="1"/>
                      <wps:spPr>
                        <a:xfrm>
                          <a:off x="0" y="0"/>
                          <a:ext cx="1028504" cy="1372577"/>
                        </a:xfrm>
                        <a:prstGeom prst="rect">
                          <a:avLst/>
                        </a:prstGeom>
                        <a:solidFill>
                          <a:schemeClr val="accent6">
                            <a:lumMod val="20000"/>
                            <a:lumOff val="80000"/>
                          </a:schemeClr>
                        </a:solidFill>
                        <a:ln w="12700">
                          <a:solidFill>
                            <a:schemeClr val="tx1"/>
                          </a:solidFill>
                        </a:ln>
                      </wps:spPr>
                      <wps:txbx>
                        <w:txbxContent>
                          <w:p w14:paraId="3F5BC38C" w14:textId="77777777" w:rsidR="00F23319" w:rsidRPr="008F114A" w:rsidRDefault="00F23319" w:rsidP="00F23319">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E69B2E4" w14:textId="77777777" w:rsidR="00F23319" w:rsidRDefault="00F23319" w:rsidP="00F23319">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7800B748" w14:textId="77777777" w:rsidR="00F23319" w:rsidRPr="00AF32D8" w:rsidRDefault="00F23319" w:rsidP="00F23319">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4E8438EB" w14:textId="77777777" w:rsidR="00F23319" w:rsidRPr="00AF32D8"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418881A3" w14:textId="77777777" w:rsidR="00F23319" w:rsidRPr="00AF32D8"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2CE22421" w14:textId="77777777" w:rsidR="00F23319" w:rsidRPr="00AF32D8"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7A90DEA0" w14:textId="77777777" w:rsidR="00F23319"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22B99BC2" w14:textId="77777777" w:rsidR="00F23319" w:rsidRDefault="00F23319" w:rsidP="00F23319">
                            <w:pPr>
                              <w:shd w:val="clear" w:color="auto" w:fill="D9F2D0" w:themeFill="accent6" w:themeFillTint="33"/>
                              <w:spacing w:after="0" w:line="240" w:lineRule="auto"/>
                              <w:rPr>
                                <w:rFonts w:ascii="Arial" w:hAnsi="Arial" w:cs="Arial"/>
                                <w:b/>
                                <w:bCs/>
                                <w:color w:val="000000" w:themeColor="text1"/>
                                <w:sz w:val="14"/>
                                <w:szCs w:val="14"/>
                                <w:lang w:val="en-US"/>
                              </w:rPr>
                            </w:pPr>
                          </w:p>
                          <w:p w14:paraId="45993014" w14:textId="77777777" w:rsidR="00F23319" w:rsidRPr="00AF32D8" w:rsidRDefault="00F23319" w:rsidP="00F23319">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D0F81" id="_x0000_s1040" type="#_x0000_t202" style="position:absolute;left:0;text-align:left;margin-left:15.2pt;margin-top:1.3pt;width:81pt;height:10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" fillcolor="#d9f2d0 [665]" strokecolor="black [3213]" strokeweight="1pt">
                <v:textbox>
                  <w:txbxContent>
                    <w:p w14:paraId="3F5BC38C" w14:textId="77777777" w:rsidR="00F23319" w:rsidRPr="008F114A" w:rsidRDefault="00F23319" w:rsidP="00F23319">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E69B2E4" w14:textId="77777777" w:rsidR="00F23319" w:rsidRDefault="00F23319" w:rsidP="00F23319">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7800B748" w14:textId="77777777" w:rsidR="00F23319" w:rsidRPr="00AF32D8" w:rsidRDefault="00F23319" w:rsidP="00F23319">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4E8438EB" w14:textId="77777777" w:rsidR="00F23319" w:rsidRPr="00AF32D8"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418881A3" w14:textId="77777777" w:rsidR="00F23319" w:rsidRPr="00AF32D8"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2CE22421" w14:textId="77777777" w:rsidR="00F23319" w:rsidRPr="00AF32D8"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7A90DEA0" w14:textId="77777777" w:rsidR="00F23319" w:rsidRDefault="00F23319" w:rsidP="00F23319">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22B99BC2" w14:textId="77777777" w:rsidR="00F23319" w:rsidRDefault="00F23319" w:rsidP="00F23319">
                      <w:pPr>
                        <w:shd w:val="clear" w:color="auto" w:fill="D9F2D0" w:themeFill="accent6" w:themeFillTint="33"/>
                        <w:spacing w:after="0" w:line="240" w:lineRule="auto"/>
                        <w:rPr>
                          <w:rFonts w:ascii="Arial" w:hAnsi="Arial" w:cs="Arial"/>
                          <w:b/>
                          <w:bCs/>
                          <w:color w:val="000000" w:themeColor="text1"/>
                          <w:sz w:val="14"/>
                          <w:szCs w:val="14"/>
                          <w:lang w:val="en-US"/>
                        </w:rPr>
                      </w:pPr>
                    </w:p>
                    <w:p w14:paraId="45993014" w14:textId="77777777" w:rsidR="00F23319" w:rsidRPr="00AF32D8" w:rsidRDefault="00F23319" w:rsidP="00F23319">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v:textbox>
              </v:shape>
            </w:pict>
          </mc:Fallback>
        </mc:AlternateContent>
      </w:r>
      <w:r w:rsidRPr="007067EB">
        <w:rPr>
          <w:rFonts w:ascii="Arial Hebrew" w:hAnsi="Arial Hebrew" w:cs="Arial Hebrew" w:hint="cs"/>
          <w:noProof/>
        </w:rPr>
        <w:t xml:space="preserve"> </w:t>
      </w:r>
    </w:p>
    <w:p w14:paraId="50822D77" w14:textId="77777777" w:rsidR="00F23319" w:rsidRPr="007067EB" w:rsidRDefault="00F23319" w:rsidP="00F23319">
      <w:pPr>
        <w:spacing w:after="0" w:line="360" w:lineRule="auto"/>
        <w:ind w:firstLine="360"/>
        <w:jc w:val="both"/>
        <w:rPr>
          <w:rFonts w:ascii="Arial Hebrew" w:hAnsi="Arial Hebrew" w:cs="Arial Hebrew" w:hint="cs"/>
          <w:sz w:val="20"/>
          <w:szCs w:val="20"/>
        </w:rPr>
      </w:pPr>
    </w:p>
    <w:p w14:paraId="2D170A2B"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75648" behindDoc="0" locked="0" layoutInCell="1" allowOverlap="1" wp14:anchorId="200B7CD4" wp14:editId="73C0A3CF">
                <wp:simplePos x="0" y="0"/>
                <wp:positionH relativeFrom="column">
                  <wp:posOffset>2259965</wp:posOffset>
                </wp:positionH>
                <wp:positionV relativeFrom="paragraph">
                  <wp:posOffset>138967</wp:posOffset>
                </wp:positionV>
                <wp:extent cx="0" cy="153670"/>
                <wp:effectExtent l="50800" t="0" r="38100" b="36830"/>
                <wp:wrapNone/>
                <wp:docPr id="902167984" name="Straight Arrow Connector 6"/>
                <wp:cNvGraphicFramePr/>
                <a:graphic xmlns:a="http://schemas.openxmlformats.org/drawingml/2006/main">
                  <a:graphicData uri="http://schemas.microsoft.com/office/word/2010/wordprocessingShape">
                    <wps:wsp>
                      <wps:cNvCnPr/>
                      <wps:spPr>
                        <a:xfrm>
                          <a:off x="0" y="0"/>
                          <a:ext cx="0" cy="15367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51394" id="Straight Arrow Connector 6" o:spid="_x0000_s1026" type="#_x0000_t32" style="position:absolute;margin-left:177.95pt;margin-top:10.95pt;width:0;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" strokecolor="black [3213]" strokeweight="1.25pt">
                <v:stroke endarrow="block" joinstyle="miter"/>
              </v:shape>
            </w:pict>
          </mc:Fallback>
        </mc:AlternateContent>
      </w:r>
    </w:p>
    <w:p w14:paraId="67EDE896"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86912" behindDoc="0" locked="0" layoutInCell="1" allowOverlap="1" wp14:anchorId="40593163" wp14:editId="38C8801A">
                <wp:simplePos x="0" y="0"/>
                <wp:positionH relativeFrom="column">
                  <wp:posOffset>1537872</wp:posOffset>
                </wp:positionH>
                <wp:positionV relativeFrom="paragraph">
                  <wp:posOffset>105410</wp:posOffset>
                </wp:positionV>
                <wp:extent cx="1424305" cy="1466801"/>
                <wp:effectExtent l="0" t="0" r="10795" b="6985"/>
                <wp:wrapNone/>
                <wp:docPr id="1313999626" name="Text Box 4"/>
                <wp:cNvGraphicFramePr/>
                <a:graphic xmlns:a="http://schemas.openxmlformats.org/drawingml/2006/main">
                  <a:graphicData uri="http://schemas.microsoft.com/office/word/2010/wordprocessingShape">
                    <wps:wsp>
                      <wps:cNvSpPr txBox="1"/>
                      <wps:spPr>
                        <a:xfrm>
                          <a:off x="0" y="0"/>
                          <a:ext cx="1424305" cy="1466801"/>
                        </a:xfrm>
                        <a:prstGeom prst="rect">
                          <a:avLst/>
                        </a:prstGeom>
                        <a:solidFill>
                          <a:schemeClr val="accent4">
                            <a:lumMod val="20000"/>
                            <a:lumOff val="80000"/>
                          </a:schemeClr>
                        </a:solidFill>
                        <a:ln w="9525">
                          <a:solidFill>
                            <a:schemeClr val="tx1"/>
                          </a:solidFill>
                        </a:ln>
                      </wps:spPr>
                      <wps:txbx>
                        <w:txbxContent>
                          <w:p w14:paraId="551BE0DF" w14:textId="77777777" w:rsidR="00F23319" w:rsidRPr="008877C2" w:rsidRDefault="00F23319" w:rsidP="00F23319">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93163" id="_x0000_s1041" type="#_x0000_t202" style="position:absolute;left:0;text-align:left;margin-left:121.1pt;margin-top:8.3pt;width:112.15pt;height:1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" fillcolor="#caedfb [663]" strokecolor="black [3213]">
                <v:textbox>
                  <w:txbxContent>
                    <w:p w14:paraId="551BE0DF" w14:textId="77777777" w:rsidR="00F23319" w:rsidRPr="008877C2" w:rsidRDefault="00F23319" w:rsidP="00F23319">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v:textbox>
              </v:shape>
            </w:pict>
          </mc:Fallback>
        </mc:AlternateContent>
      </w:r>
    </w:p>
    <w:p w14:paraId="2D00C1F2" w14:textId="77777777" w:rsidR="00F23319" w:rsidRPr="007067EB" w:rsidRDefault="00F23319" w:rsidP="00F23319">
      <w:pPr>
        <w:spacing w:after="0" w:line="360" w:lineRule="auto"/>
        <w:ind w:firstLine="360"/>
        <w:jc w:val="both"/>
        <w:rPr>
          <w:rFonts w:ascii="Arial Hebrew" w:hAnsi="Arial Hebrew" w:cs="Arial Hebrew" w:hint="cs"/>
          <w:sz w:val="20"/>
          <w:szCs w:val="20"/>
        </w:rPr>
      </w:pPr>
    </w:p>
    <w:p w14:paraId="111D39A2"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61312" behindDoc="0" locked="0" layoutInCell="1" allowOverlap="1" wp14:anchorId="7EE736D0" wp14:editId="072ED3CF">
                <wp:simplePos x="0" y="0"/>
                <wp:positionH relativeFrom="column">
                  <wp:posOffset>1218565</wp:posOffset>
                </wp:positionH>
                <wp:positionV relativeFrom="paragraph">
                  <wp:posOffset>163195</wp:posOffset>
                </wp:positionV>
                <wp:extent cx="287655" cy="0"/>
                <wp:effectExtent l="0" t="50800" r="0" b="76200"/>
                <wp:wrapNone/>
                <wp:docPr id="2124956206" name="Straight Arrow Connector 5"/>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4639E" id="Straight Arrow Connector 5" o:spid="_x0000_s1026" type="#_x0000_t32" style="position:absolute;margin-left:95.95pt;margin-top:12.85pt;width:22.6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" strokecolor="black [3213]" strokeweight="1.25pt">
                <v:stroke endarrow="block" joinstyle="miter"/>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87936" behindDoc="0" locked="0" layoutInCell="1" allowOverlap="1" wp14:anchorId="2A80649F" wp14:editId="1AA0F8FD">
                <wp:simplePos x="0" y="0"/>
                <wp:positionH relativeFrom="column">
                  <wp:posOffset>3130550</wp:posOffset>
                </wp:positionH>
                <wp:positionV relativeFrom="paragraph">
                  <wp:posOffset>146587</wp:posOffset>
                </wp:positionV>
                <wp:extent cx="1054735" cy="948690"/>
                <wp:effectExtent l="0" t="0" r="12065" b="16510"/>
                <wp:wrapNone/>
                <wp:docPr id="1197758989" name="Text Box 4"/>
                <wp:cNvGraphicFramePr/>
                <a:graphic xmlns:a="http://schemas.openxmlformats.org/drawingml/2006/main">
                  <a:graphicData uri="http://schemas.microsoft.com/office/word/2010/wordprocessingShape">
                    <wps:wsp>
                      <wps:cNvSpPr txBox="1"/>
                      <wps:spPr>
                        <a:xfrm>
                          <a:off x="0" y="0"/>
                          <a:ext cx="1054735" cy="948690"/>
                        </a:xfrm>
                        <a:prstGeom prst="rect">
                          <a:avLst/>
                        </a:prstGeom>
                        <a:solidFill>
                          <a:schemeClr val="lt1"/>
                        </a:solidFill>
                        <a:ln w="3175">
                          <a:solidFill>
                            <a:schemeClr val="tx1"/>
                          </a:solidFill>
                        </a:ln>
                      </wps:spPr>
                      <wps:txbx>
                        <w:txbxContent>
                          <w:p w14:paraId="61AD217A"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Financial Performance 20%</w:t>
                            </w:r>
                          </w:p>
                          <w:p w14:paraId="49EA2707" w14:textId="77777777" w:rsidR="00F23319" w:rsidRPr="009F657C" w:rsidRDefault="00F23319" w:rsidP="00F23319">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36E80BFD" w14:textId="77777777" w:rsidR="00F23319" w:rsidRPr="009F657C" w:rsidRDefault="00F23319" w:rsidP="00F23319">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F20B795" w14:textId="77777777" w:rsidR="00F23319" w:rsidRPr="009F657C" w:rsidRDefault="00F23319" w:rsidP="00F23319">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252FC4B2" w14:textId="77777777" w:rsidR="00F23319" w:rsidRPr="009F657C" w:rsidRDefault="00F23319" w:rsidP="00F23319">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0649F" id="_x0000_s1042" type="#_x0000_t202" style="position:absolute;left:0;text-align:left;margin-left:246.5pt;margin-top:11.55pt;width:83.05pt;height:7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" fillcolor="white [3201]" strokecolor="black [3213]" strokeweight=".25pt">
                <v:textbox>
                  <w:txbxContent>
                    <w:p w14:paraId="61AD217A"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Financial Performance 20%</w:t>
                      </w:r>
                    </w:p>
                    <w:p w14:paraId="49EA2707" w14:textId="77777777" w:rsidR="00F23319" w:rsidRPr="009F657C" w:rsidRDefault="00F23319" w:rsidP="00F23319">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36E80BFD" w14:textId="77777777" w:rsidR="00F23319" w:rsidRPr="009F657C" w:rsidRDefault="00F23319" w:rsidP="00F23319">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F20B795" w14:textId="77777777" w:rsidR="00F23319" w:rsidRPr="009F657C" w:rsidRDefault="00F23319" w:rsidP="00F23319">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252FC4B2" w14:textId="77777777" w:rsidR="00F23319" w:rsidRPr="009F657C" w:rsidRDefault="00F23319" w:rsidP="00F23319">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91008" behindDoc="0" locked="0" layoutInCell="1" allowOverlap="1" wp14:anchorId="2C7CB17E" wp14:editId="46B1EF5D">
                <wp:simplePos x="0" y="0"/>
                <wp:positionH relativeFrom="column">
                  <wp:posOffset>1590577</wp:posOffset>
                </wp:positionH>
                <wp:positionV relativeFrom="paragraph">
                  <wp:posOffset>41910</wp:posOffset>
                </wp:positionV>
                <wp:extent cx="1318358" cy="346710"/>
                <wp:effectExtent l="0" t="0" r="15240" b="8890"/>
                <wp:wrapNone/>
                <wp:docPr id="765311756" name="Text Box 4"/>
                <wp:cNvGraphicFramePr/>
                <a:graphic xmlns:a="http://schemas.openxmlformats.org/drawingml/2006/main">
                  <a:graphicData uri="http://schemas.microsoft.com/office/word/2010/wordprocessingShape">
                    <wps:wsp>
                      <wps:cNvSpPr txBox="1"/>
                      <wps:spPr>
                        <a:xfrm>
                          <a:off x="0" y="0"/>
                          <a:ext cx="1318358" cy="346710"/>
                        </a:xfrm>
                        <a:prstGeom prst="rect">
                          <a:avLst/>
                        </a:prstGeom>
                        <a:solidFill>
                          <a:schemeClr val="accent4">
                            <a:lumMod val="40000"/>
                            <a:lumOff val="60000"/>
                          </a:schemeClr>
                        </a:solidFill>
                        <a:ln w="6350">
                          <a:solidFill>
                            <a:schemeClr val="tx1"/>
                          </a:solidFill>
                        </a:ln>
                      </wps:spPr>
                      <wps:txbx>
                        <w:txbxContent>
                          <w:p w14:paraId="02CF3B03" w14:textId="77777777" w:rsidR="00F23319" w:rsidRPr="008877C2" w:rsidRDefault="00F23319" w:rsidP="00F23319">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 xml:space="preserve">Sovereign Rating Threshold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CB17E" id="_x0000_s1043" type="#_x0000_t202" style="position:absolute;left:0;text-align:left;margin-left:125.25pt;margin-top:3.3pt;width:103.8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" fillcolor="#95dcf7 [1303]" strokecolor="black [3213]" strokeweight=".5pt">
                <v:textbox>
                  <w:txbxContent>
                    <w:p w14:paraId="02CF3B03" w14:textId="77777777" w:rsidR="00F23319" w:rsidRPr="008877C2" w:rsidRDefault="00F23319" w:rsidP="00F23319">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 xml:space="preserve">Sovereign Rating Threshold </w:t>
                      </w:r>
                    </w:p>
                  </w:txbxContent>
                </v:textbox>
              </v:shape>
            </w:pict>
          </mc:Fallback>
        </mc:AlternateContent>
      </w:r>
    </w:p>
    <w:p w14:paraId="2938B1BA"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81792" behindDoc="0" locked="0" layoutInCell="1" allowOverlap="1" wp14:anchorId="33388C4A" wp14:editId="1B6AD3FE">
                <wp:simplePos x="0" y="0"/>
                <wp:positionH relativeFrom="column">
                  <wp:posOffset>193431</wp:posOffset>
                </wp:positionH>
                <wp:positionV relativeFrom="paragraph">
                  <wp:posOffset>200123</wp:posOffset>
                </wp:positionV>
                <wp:extent cx="1036320" cy="342900"/>
                <wp:effectExtent l="0" t="0" r="17780" b="12700"/>
                <wp:wrapNone/>
                <wp:docPr id="852470691"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FFFFC7"/>
                        </a:solidFill>
                        <a:ln w="12700">
                          <a:solidFill>
                            <a:schemeClr val="tx1"/>
                          </a:solidFill>
                        </a:ln>
                      </wps:spPr>
                      <wps:txbx>
                        <w:txbxContent>
                          <w:p w14:paraId="1BFC9FE7" w14:textId="77777777" w:rsidR="00F23319" w:rsidRPr="003E1325" w:rsidRDefault="00F23319" w:rsidP="00F23319">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458F245A" w14:textId="77777777" w:rsidR="00F23319" w:rsidRPr="003E1325" w:rsidRDefault="00F23319" w:rsidP="00F23319">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88C4A" id="_x0000_s1044" type="#_x0000_t202" style="position:absolute;left:0;text-align:left;margin-left:15.25pt;margin-top:15.75pt;width:81.6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" fillcolor="#ffffc7" strokecolor="black [3213]" strokeweight="1pt">
                <v:textbox>
                  <w:txbxContent>
                    <w:p w14:paraId="1BFC9FE7" w14:textId="77777777" w:rsidR="00F23319" w:rsidRPr="003E1325" w:rsidRDefault="00F23319" w:rsidP="00F23319">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458F245A" w14:textId="77777777" w:rsidR="00F23319" w:rsidRPr="003E1325" w:rsidRDefault="00F23319" w:rsidP="00F23319">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59264" behindDoc="0" locked="0" layoutInCell="1" allowOverlap="1" wp14:anchorId="6C537A55" wp14:editId="5988FE85">
                <wp:simplePos x="0" y="0"/>
                <wp:positionH relativeFrom="column">
                  <wp:posOffset>698500</wp:posOffset>
                </wp:positionH>
                <wp:positionV relativeFrom="paragraph">
                  <wp:posOffset>24863</wp:posOffset>
                </wp:positionV>
                <wp:extent cx="0" cy="156845"/>
                <wp:effectExtent l="63500" t="0" r="38100" b="33655"/>
                <wp:wrapNone/>
                <wp:docPr id="2046882166" name="Straight Arrow Connector 6"/>
                <wp:cNvGraphicFramePr/>
                <a:graphic xmlns:a="http://schemas.openxmlformats.org/drawingml/2006/main">
                  <a:graphicData uri="http://schemas.microsoft.com/office/word/2010/wordprocessingShape">
                    <wps:wsp>
                      <wps:cNvCnPr/>
                      <wps:spPr>
                        <a:xfrm>
                          <a:off x="0" y="0"/>
                          <a:ext cx="0" cy="15684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B81A2" id="Straight Arrow Connector 6" o:spid="_x0000_s1026" type="#_x0000_t32" style="position:absolute;margin-left:55pt;margin-top:1.95pt;width:0;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" strokecolor="black [3213]" strokeweight="1.25pt">
                <v:stroke endarrow="block" joinstyle="miter"/>
              </v:shape>
            </w:pict>
          </mc:Fallback>
        </mc:AlternateContent>
      </w:r>
    </w:p>
    <w:p w14:paraId="7F06F70C" w14:textId="77777777" w:rsidR="00F23319" w:rsidRPr="007067EB" w:rsidRDefault="00F23319" w:rsidP="00F23319">
      <w:pPr>
        <w:spacing w:after="0" w:line="360" w:lineRule="auto"/>
        <w:ind w:firstLine="360"/>
        <w:jc w:val="both"/>
        <w:rPr>
          <w:rFonts w:ascii="Arial Hebrew" w:hAnsi="Arial Hebrew" w:cs="Arial Hebrew" w:hint="cs"/>
          <w:sz w:val="20"/>
          <w:szCs w:val="20"/>
        </w:rPr>
      </w:pPr>
      <w:r w:rsidRPr="007067EB">
        <w:rPr>
          <w:rFonts w:ascii="Arial Hebrew" w:hAnsi="Arial Hebrew" w:cs="Arial Hebrew" w:hint="cs"/>
          <w:noProof/>
        </w:rPr>
        <mc:AlternateContent>
          <mc:Choice Requires="wps">
            <w:drawing>
              <wp:anchor distT="0" distB="0" distL="114300" distR="114300" simplePos="0" relativeHeight="251685888" behindDoc="0" locked="0" layoutInCell="1" allowOverlap="1" wp14:anchorId="779926E1" wp14:editId="49757B86">
                <wp:simplePos x="0" y="0"/>
                <wp:positionH relativeFrom="column">
                  <wp:posOffset>4243070</wp:posOffset>
                </wp:positionH>
                <wp:positionV relativeFrom="paragraph">
                  <wp:posOffset>78007</wp:posOffset>
                </wp:positionV>
                <wp:extent cx="1381760" cy="611505"/>
                <wp:effectExtent l="0" t="0" r="15240" b="10795"/>
                <wp:wrapNone/>
                <wp:docPr id="1471277748" name="Text Box 4"/>
                <wp:cNvGraphicFramePr/>
                <a:graphic xmlns:a="http://schemas.openxmlformats.org/drawingml/2006/main">
                  <a:graphicData uri="http://schemas.microsoft.com/office/word/2010/wordprocessingShape">
                    <wps:wsp>
                      <wps:cNvSpPr txBox="1"/>
                      <wps:spPr>
                        <a:xfrm>
                          <a:off x="0" y="0"/>
                          <a:ext cx="1381760" cy="611505"/>
                        </a:xfrm>
                        <a:prstGeom prst="rect">
                          <a:avLst/>
                        </a:prstGeom>
                        <a:solidFill>
                          <a:schemeClr val="lt1"/>
                        </a:solidFill>
                        <a:ln w="3175">
                          <a:solidFill>
                            <a:schemeClr val="tx1"/>
                          </a:solidFill>
                        </a:ln>
                      </wps:spPr>
                      <wps:txbx>
                        <w:txbxContent>
                          <w:p w14:paraId="062B3BE4"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43A544C3" w14:textId="77777777" w:rsidR="00F23319" w:rsidRPr="009F657C" w:rsidRDefault="00F23319" w:rsidP="00F23319">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64BC9C0" w14:textId="77777777" w:rsidR="00F23319" w:rsidRPr="009F657C" w:rsidRDefault="00F23319" w:rsidP="00F23319">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926E1" id="_x0000_s1045" type="#_x0000_t202" style="position:absolute;left:0;text-align:left;margin-left:334.1pt;margin-top:6.15pt;width:108.8pt;height:4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" fillcolor="white [3201]" strokecolor="black [3213]" strokeweight=".25pt">
                <v:textbox>
                  <w:txbxContent>
                    <w:p w14:paraId="062B3BE4" w14:textId="77777777" w:rsidR="00F23319" w:rsidRDefault="00F23319" w:rsidP="00F23319">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43A544C3" w14:textId="77777777" w:rsidR="00F23319" w:rsidRPr="009F657C" w:rsidRDefault="00F23319" w:rsidP="00F23319">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64BC9C0" w14:textId="77777777" w:rsidR="00F23319" w:rsidRPr="009F657C" w:rsidRDefault="00F23319" w:rsidP="00F23319">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92032" behindDoc="0" locked="0" layoutInCell="1" allowOverlap="1" wp14:anchorId="3B10B233" wp14:editId="0A91254C">
                <wp:simplePos x="0" y="0"/>
                <wp:positionH relativeFrom="column">
                  <wp:posOffset>1590577</wp:posOffset>
                </wp:positionH>
                <wp:positionV relativeFrom="paragraph">
                  <wp:posOffset>14605</wp:posOffset>
                </wp:positionV>
                <wp:extent cx="1318358" cy="700405"/>
                <wp:effectExtent l="0" t="0" r="15240" b="10795"/>
                <wp:wrapNone/>
                <wp:docPr id="8039056" name="Text Box 4"/>
                <wp:cNvGraphicFramePr/>
                <a:graphic xmlns:a="http://schemas.openxmlformats.org/drawingml/2006/main">
                  <a:graphicData uri="http://schemas.microsoft.com/office/word/2010/wordprocessingShape">
                    <wps:wsp>
                      <wps:cNvSpPr txBox="1"/>
                      <wps:spPr>
                        <a:xfrm>
                          <a:off x="0" y="0"/>
                          <a:ext cx="1318358" cy="700405"/>
                        </a:xfrm>
                        <a:prstGeom prst="rect">
                          <a:avLst/>
                        </a:prstGeom>
                        <a:solidFill>
                          <a:schemeClr val="accent4">
                            <a:lumMod val="40000"/>
                            <a:lumOff val="60000"/>
                          </a:schemeClr>
                        </a:solidFill>
                        <a:ln w="6350">
                          <a:solidFill>
                            <a:schemeClr val="tx1"/>
                          </a:solidFill>
                        </a:ln>
                      </wps:spPr>
                      <wps:txbx>
                        <w:txbxContent>
                          <w:p w14:paraId="341AF702" w14:textId="77777777" w:rsidR="00F23319" w:rsidRDefault="00F23319" w:rsidP="00F23319">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0982E551" w14:textId="77777777" w:rsidR="00F23319" w:rsidRPr="004D13A7" w:rsidRDefault="00F23319" w:rsidP="00F23319">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7DA402E1" w14:textId="77777777" w:rsidR="00F23319" w:rsidRPr="004D13A7" w:rsidRDefault="00F23319" w:rsidP="00F23319">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80F6342" w14:textId="77777777" w:rsidR="00F23319" w:rsidRPr="004D13A7" w:rsidRDefault="00F23319" w:rsidP="00F23319">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0B233" id="_x0000_s1046" type="#_x0000_t202" style="position:absolute;left:0;text-align:left;margin-left:125.25pt;margin-top:1.15pt;width:103.8pt;height:5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" fillcolor="#95dcf7 [1303]" strokecolor="black [3213]" strokeweight=".5pt">
                <v:textbox>
                  <w:txbxContent>
                    <w:p w14:paraId="341AF702" w14:textId="77777777" w:rsidR="00F23319" w:rsidRDefault="00F23319" w:rsidP="00F23319">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0982E551" w14:textId="77777777" w:rsidR="00F23319" w:rsidRPr="004D13A7" w:rsidRDefault="00F23319" w:rsidP="00F23319">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7DA402E1" w14:textId="77777777" w:rsidR="00F23319" w:rsidRPr="004D13A7" w:rsidRDefault="00F23319" w:rsidP="00F23319">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80F6342" w14:textId="77777777" w:rsidR="00F23319" w:rsidRPr="004D13A7" w:rsidRDefault="00F23319" w:rsidP="00F23319">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v:textbox>
              </v:shape>
            </w:pict>
          </mc:Fallback>
        </mc:AlternateContent>
      </w:r>
      <w:r w:rsidRPr="007067EB">
        <w:rPr>
          <w:rFonts w:ascii="Arial Hebrew" w:hAnsi="Arial Hebrew" w:cs="Arial Hebrew" w:hint="cs"/>
          <w:noProof/>
        </w:rPr>
        <mc:AlternateContent>
          <mc:Choice Requires="wps">
            <w:drawing>
              <wp:anchor distT="0" distB="0" distL="114300" distR="114300" simplePos="0" relativeHeight="251677696" behindDoc="0" locked="0" layoutInCell="1" allowOverlap="1" wp14:anchorId="7D50951F" wp14:editId="1775AF2A">
                <wp:simplePos x="0" y="0"/>
                <wp:positionH relativeFrom="column">
                  <wp:posOffset>1740535</wp:posOffset>
                </wp:positionH>
                <wp:positionV relativeFrom="paragraph">
                  <wp:posOffset>183660</wp:posOffset>
                </wp:positionV>
                <wp:extent cx="0" cy="138897"/>
                <wp:effectExtent l="50800" t="0" r="38100" b="39370"/>
                <wp:wrapNone/>
                <wp:docPr id="1413141430" name="Straight Arrow Connector 6"/>
                <wp:cNvGraphicFramePr/>
                <a:graphic xmlns:a="http://schemas.openxmlformats.org/drawingml/2006/main">
                  <a:graphicData uri="http://schemas.microsoft.com/office/word/2010/wordprocessingShape">
                    <wps:wsp>
                      <wps:cNvCnPr/>
                      <wps:spPr>
                        <a:xfrm>
                          <a:off x="0" y="0"/>
                          <a:ext cx="0" cy="138897"/>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4318D" id="Straight Arrow Connector 6" o:spid="_x0000_s1026" type="#_x0000_t32" style="position:absolute;margin-left:137.05pt;margin-top:14.45pt;width:0;height:1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" strokecolor="#c00000" strokeweight="1.25pt">
                <v:stroke endarrow="block" joinstyle="miter"/>
              </v:shape>
            </w:pict>
          </mc:Fallback>
        </mc:AlternateContent>
      </w:r>
    </w:p>
    <w:p w14:paraId="49407654" w14:textId="77777777" w:rsidR="00F23319" w:rsidRPr="007067EB" w:rsidRDefault="00F23319" w:rsidP="00F23319">
      <w:pPr>
        <w:pStyle w:val="Heading2"/>
        <w:rPr>
          <w:rFonts w:ascii="Arial Hebrew" w:hAnsi="Arial Hebrew" w:cs="Arial Hebrew" w:hint="cs"/>
          <w:sz w:val="22"/>
          <w:szCs w:val="22"/>
        </w:rPr>
      </w:pPr>
      <w:r w:rsidRPr="007067EB">
        <w:rPr>
          <w:rFonts w:ascii="Arial Hebrew" w:hAnsi="Arial Hebrew" w:cs="Arial Hebrew" w:hint="cs"/>
          <w:noProof/>
        </w:rPr>
        <mc:AlternateContent>
          <mc:Choice Requires="wps">
            <w:drawing>
              <wp:anchor distT="0" distB="0" distL="114300" distR="114300" simplePos="0" relativeHeight="251676672" behindDoc="0" locked="0" layoutInCell="1" allowOverlap="1" wp14:anchorId="18CD9D20" wp14:editId="23119750">
                <wp:simplePos x="0" y="0"/>
                <wp:positionH relativeFrom="column">
                  <wp:posOffset>34925</wp:posOffset>
                </wp:positionH>
                <wp:positionV relativeFrom="paragraph">
                  <wp:posOffset>275492</wp:posOffset>
                </wp:positionV>
                <wp:extent cx="1379367" cy="395263"/>
                <wp:effectExtent l="0" t="0" r="0" b="0"/>
                <wp:wrapNone/>
                <wp:docPr id="749604980" name="Text Box 4"/>
                <wp:cNvGraphicFramePr/>
                <a:graphic xmlns:a="http://schemas.openxmlformats.org/drawingml/2006/main">
                  <a:graphicData uri="http://schemas.microsoft.com/office/word/2010/wordprocessingShape">
                    <wps:wsp>
                      <wps:cNvSpPr txBox="1"/>
                      <wps:spPr>
                        <a:xfrm>
                          <a:off x="0" y="0"/>
                          <a:ext cx="1379367" cy="395263"/>
                        </a:xfrm>
                        <a:prstGeom prst="rect">
                          <a:avLst/>
                        </a:prstGeom>
                        <a:noFill/>
                        <a:ln w="3175">
                          <a:noFill/>
                        </a:ln>
                      </wps:spPr>
                      <wps:txbx>
                        <w:txbxContent>
                          <w:p w14:paraId="6AFCBD65" w14:textId="77777777" w:rsidR="00F23319" w:rsidRPr="00D26102" w:rsidRDefault="00F23319" w:rsidP="00F23319">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 Rating</w:t>
                            </w:r>
                          </w:p>
                          <w:p w14:paraId="7CFABF74" w14:textId="77777777" w:rsidR="00F23319" w:rsidRPr="00D26102" w:rsidRDefault="00F23319" w:rsidP="00F23319">
                            <w:pPr>
                              <w:spacing w:after="0" w:line="240" w:lineRule="auto"/>
                              <w:rPr>
                                <w:rFonts w:ascii="Arial" w:hAnsi="Arial" w:cs="Arial"/>
                                <w:color w:val="C00000"/>
                                <w:sz w:val="19"/>
                                <w:szCs w:val="19"/>
                                <w:lang w:val="en-US"/>
                              </w:rPr>
                            </w:pPr>
                          </w:p>
                          <w:p w14:paraId="3A8FB768" w14:textId="77777777" w:rsidR="00F23319" w:rsidRPr="00D26102" w:rsidRDefault="00F23319" w:rsidP="00F23319">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367BEAC5" w14:textId="77777777" w:rsidR="00F23319" w:rsidRPr="00D26102" w:rsidRDefault="00F23319" w:rsidP="00F23319">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4AEA672D" w14:textId="77777777" w:rsidR="00F23319" w:rsidRPr="00D26102" w:rsidRDefault="00F23319" w:rsidP="00F23319">
                            <w:pPr>
                              <w:spacing w:after="0" w:line="240" w:lineRule="auto"/>
                              <w:rPr>
                                <w:rFonts w:ascii="Arial" w:hAnsi="Arial" w:cs="Arial"/>
                                <w:color w:val="C00000"/>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D9D20" id="_x0000_s1047" type="#_x0000_t202" style="position:absolute;margin-left:2.75pt;margin-top:21.7pt;width:108.6pt;height:3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" filled="f" stroked="f" strokeweight=".25pt">
                <v:textbox>
                  <w:txbxContent>
                    <w:p w14:paraId="6AFCBD65" w14:textId="77777777" w:rsidR="00F23319" w:rsidRPr="00D26102" w:rsidRDefault="00F23319" w:rsidP="00F23319">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 Rating</w:t>
                      </w:r>
                    </w:p>
                    <w:p w14:paraId="7CFABF74" w14:textId="77777777" w:rsidR="00F23319" w:rsidRPr="00D26102" w:rsidRDefault="00F23319" w:rsidP="00F23319">
                      <w:pPr>
                        <w:spacing w:after="0" w:line="240" w:lineRule="auto"/>
                        <w:rPr>
                          <w:rFonts w:ascii="Arial" w:hAnsi="Arial" w:cs="Arial"/>
                          <w:color w:val="C00000"/>
                          <w:sz w:val="19"/>
                          <w:szCs w:val="19"/>
                          <w:lang w:val="en-US"/>
                        </w:rPr>
                      </w:pPr>
                    </w:p>
                    <w:p w14:paraId="3A8FB768" w14:textId="77777777" w:rsidR="00F23319" w:rsidRPr="00D26102" w:rsidRDefault="00F23319" w:rsidP="00F23319">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367BEAC5" w14:textId="77777777" w:rsidR="00F23319" w:rsidRPr="00D26102" w:rsidRDefault="00F23319" w:rsidP="00F23319">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4AEA672D" w14:textId="77777777" w:rsidR="00F23319" w:rsidRPr="00D26102" w:rsidRDefault="00F23319" w:rsidP="00F23319">
                      <w:pPr>
                        <w:spacing w:after="0" w:line="240" w:lineRule="auto"/>
                        <w:rPr>
                          <w:rFonts w:ascii="Arial" w:hAnsi="Arial" w:cs="Arial"/>
                          <w:color w:val="C00000"/>
                          <w:sz w:val="19"/>
                          <w:szCs w:val="19"/>
                          <w:lang w:val="en-US"/>
                        </w:rPr>
                      </w:pPr>
                    </w:p>
                  </w:txbxContent>
                </v:textbox>
              </v:shape>
            </w:pict>
          </mc:Fallback>
        </mc:AlternateContent>
      </w:r>
      <w:r w:rsidRPr="007067EB">
        <w:rPr>
          <w:rFonts w:ascii="Arial Hebrew" w:hAnsi="Arial Hebrew" w:cs="Arial Hebrew" w:hint="cs"/>
          <w:b/>
          <w:bCs/>
          <w:noProof/>
          <w:sz w:val="18"/>
          <w:szCs w:val="18"/>
        </w:rPr>
        <mc:AlternateContent>
          <mc:Choice Requires="wps">
            <w:drawing>
              <wp:anchor distT="0" distB="0" distL="114300" distR="114300" simplePos="0" relativeHeight="251660288" behindDoc="0" locked="0" layoutInCell="1" allowOverlap="1" wp14:anchorId="74E6A4DC" wp14:editId="4F4F9318">
                <wp:simplePos x="0" y="0"/>
                <wp:positionH relativeFrom="column">
                  <wp:posOffset>688438</wp:posOffset>
                </wp:positionH>
                <wp:positionV relativeFrom="paragraph">
                  <wp:posOffset>135890</wp:posOffset>
                </wp:positionV>
                <wp:extent cx="3810" cy="177800"/>
                <wp:effectExtent l="50800" t="0" r="46990" b="25400"/>
                <wp:wrapNone/>
                <wp:docPr id="196743405" name="Straight Arrow Connector 8"/>
                <wp:cNvGraphicFramePr/>
                <a:graphic xmlns:a="http://schemas.openxmlformats.org/drawingml/2006/main">
                  <a:graphicData uri="http://schemas.microsoft.com/office/word/2010/wordprocessingShape">
                    <wps:wsp>
                      <wps:cNvCnPr/>
                      <wps:spPr>
                        <a:xfrm>
                          <a:off x="0" y="0"/>
                          <a:ext cx="3810" cy="17780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A6A3B" id="Straight Arrow Connector 8" o:spid="_x0000_s1026" type="#_x0000_t32" style="position:absolute;margin-left:54.2pt;margin-top:10.7pt;width:.3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" strokecolor="#c00000" strokeweight="1.25pt">
                <v:stroke endarrow="block" joinstyle="miter"/>
              </v:shape>
            </w:pict>
          </mc:Fallback>
        </mc:AlternateContent>
      </w:r>
    </w:p>
    <w:p w14:paraId="49084ECE" w14:textId="77777777" w:rsidR="00F23319" w:rsidRPr="007067EB" w:rsidRDefault="00F23319" w:rsidP="00F23319">
      <w:pPr>
        <w:spacing w:before="240" w:after="0" w:line="360" w:lineRule="auto"/>
        <w:jc w:val="both"/>
        <w:rPr>
          <w:rFonts w:ascii="Arial Hebrew" w:hAnsi="Arial Hebrew" w:cs="Arial Hebrew" w:hint="cs"/>
          <w:sz w:val="20"/>
          <w:szCs w:val="20"/>
        </w:rPr>
      </w:pPr>
    </w:p>
    <w:p w14:paraId="5EC409F4" w14:textId="77777777" w:rsidR="00F23319" w:rsidRPr="007067EB" w:rsidRDefault="00F23319" w:rsidP="00F23319">
      <w:pPr>
        <w:spacing w:line="360" w:lineRule="auto"/>
        <w:jc w:val="both"/>
        <w:rPr>
          <w:rFonts w:ascii="Arial Hebrew" w:hAnsi="Arial Hebrew" w:cs="Arial Hebrew" w:hint="cs"/>
          <w:sz w:val="20"/>
          <w:szCs w:val="20"/>
        </w:rPr>
      </w:pPr>
    </w:p>
    <w:p w14:paraId="21BEBCAB" w14:textId="77777777" w:rsidR="00F23319" w:rsidRPr="007067EB" w:rsidRDefault="00F23319" w:rsidP="00F23319">
      <w:pPr>
        <w:spacing w:before="240" w:line="360" w:lineRule="auto"/>
        <w:ind w:firstLine="720"/>
        <w:jc w:val="both"/>
        <w:rPr>
          <w:rFonts w:ascii="Arial Hebrew" w:hAnsi="Arial Hebrew" w:cs="Arial Hebrew" w:hint="cs"/>
          <w:i/>
          <w:iCs/>
          <w:sz w:val="20"/>
          <w:szCs w:val="20"/>
        </w:rPr>
      </w:pPr>
      <w:r w:rsidRPr="007067EB">
        <w:rPr>
          <w:rFonts w:ascii="Arial Hebrew" w:hAnsi="Arial Hebrew" w:cs="Arial Hebrew" w:hint="cs"/>
          <w:sz w:val="20"/>
          <w:szCs w:val="20"/>
        </w:rPr>
        <w:t xml:space="preserve">Because the influence of the sovereign rating on the sub-sovereign rating is much less important for RLGs inside the United States than internationally, Moody’s uses different frameworks for credit assessments of sub-sovereigns inside the United States. The U.S. frameworks do not reference the sovereign rating, with no </w:t>
      </w:r>
      <w:r w:rsidRPr="007067EB">
        <w:rPr>
          <w:rFonts w:ascii="Arial Hebrew" w:hAnsi="Arial Hebrew" w:cs="Arial Hebrew" w:hint="cs"/>
          <w:b/>
          <w:bCs/>
          <w:sz w:val="20"/>
          <w:szCs w:val="20"/>
        </w:rPr>
        <w:t>Extraordinary Support</w:t>
      </w:r>
      <w:r w:rsidRPr="007067EB">
        <w:rPr>
          <w:rFonts w:ascii="Arial Hebrew" w:hAnsi="Arial Hebrew" w:cs="Arial Hebrew" w:hint="cs"/>
          <w:sz w:val="20"/>
          <w:szCs w:val="20"/>
        </w:rPr>
        <w:t xml:space="preserve"> assessment made due to a long-standing precedent against U.S. federal bailouts of subnational governments. The same four </w:t>
      </w:r>
      <w:r w:rsidRPr="007067EB">
        <w:rPr>
          <w:rFonts w:ascii="Arial Hebrew" w:hAnsi="Arial Hebrew" w:cs="Arial Hebrew" w:hint="cs"/>
          <w:b/>
          <w:bCs/>
          <w:sz w:val="20"/>
          <w:szCs w:val="20"/>
        </w:rPr>
        <w:t>Weighted Factors</w:t>
      </w:r>
      <w:r w:rsidRPr="007067EB">
        <w:rPr>
          <w:rFonts w:ascii="Arial Hebrew" w:hAnsi="Arial Hebrew" w:cs="Arial Hebrew" w:hint="cs"/>
          <w:sz w:val="20"/>
          <w:szCs w:val="20"/>
        </w:rPr>
        <w:t xml:space="preserve"> are used, with differences in weights and in the component sub-factors. One set is used for U.S. state (and territory) governments and another for municipal (city and country) governments, with alternative quantitative inputs for sub-factors leveraging the availability of consistent data based on U.S. financial reporting standards (</w:t>
      </w:r>
      <w:r w:rsidRPr="007067EB">
        <w:rPr>
          <w:rFonts w:ascii="Arial Hebrew" w:hAnsi="Arial Hebrew" w:cs="Arial Hebrew" w:hint="cs"/>
          <w:b/>
          <w:bCs/>
          <w:sz w:val="20"/>
          <w:szCs w:val="20"/>
        </w:rPr>
        <w:t>Table 2</w:t>
      </w:r>
      <w:r w:rsidRPr="007067EB">
        <w:rPr>
          <w:rFonts w:ascii="Arial Hebrew" w:hAnsi="Arial Hebrew" w:cs="Arial Hebrew" w:hint="cs"/>
          <w:sz w:val="20"/>
          <w:szCs w:val="20"/>
        </w:rPr>
        <w:t xml:space="preserve">). Lower weights for the </w:t>
      </w:r>
      <w:r w:rsidRPr="007067EB">
        <w:rPr>
          <w:rFonts w:ascii="Arial Hebrew" w:hAnsi="Arial Hebrew" w:cs="Arial Hebrew" w:hint="cs"/>
          <w:b/>
          <w:bCs/>
          <w:sz w:val="20"/>
          <w:szCs w:val="20"/>
        </w:rPr>
        <w:t>Institutional Framework</w:t>
      </w:r>
      <w:r w:rsidRPr="007067EB">
        <w:rPr>
          <w:rFonts w:ascii="Arial Hebrew" w:hAnsi="Arial Hebrew" w:cs="Arial Hebrew" w:hint="cs"/>
          <w:sz w:val="20"/>
          <w:szCs w:val="20"/>
        </w:rPr>
        <w:t xml:space="preserve"> factor in U.S. sub-sovereign assessments reflects the country’s more homogenous institutional and legal environment, with the </w:t>
      </w:r>
      <w:r w:rsidRPr="007067EB">
        <w:rPr>
          <w:rFonts w:ascii="Arial Hebrew" w:hAnsi="Arial Hebrew" w:cs="Arial Hebrew" w:hint="cs"/>
          <w:b/>
          <w:bCs/>
          <w:i/>
          <w:iCs/>
          <w:sz w:val="20"/>
          <w:szCs w:val="20"/>
        </w:rPr>
        <w:t>Macro Operating Assessment</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also omitted.</w:t>
      </w:r>
      <w:r w:rsidRPr="007067EB">
        <w:rPr>
          <w:rStyle w:val="FootnoteReference"/>
          <w:rFonts w:ascii="Arial Hebrew" w:hAnsi="Arial Hebrew" w:cs="Arial Hebrew" w:hint="cs"/>
          <w:sz w:val="20"/>
          <w:szCs w:val="20"/>
        </w:rPr>
        <w:footnoteReference w:id="4"/>
      </w:r>
    </w:p>
    <w:p w14:paraId="2D58BC98" w14:textId="77777777" w:rsidR="00F23319" w:rsidRPr="007067EB" w:rsidRDefault="00F23319" w:rsidP="00F23319">
      <w:pPr>
        <w:spacing w:before="240" w:after="0"/>
        <w:jc w:val="center"/>
        <w:rPr>
          <w:rFonts w:ascii="Arial Hebrew" w:hAnsi="Arial Hebrew" w:cs="Arial Hebrew" w:hint="cs"/>
          <w:b/>
          <w:bCs/>
          <w:i/>
          <w:iCs/>
          <w:sz w:val="16"/>
          <w:szCs w:val="16"/>
        </w:rPr>
      </w:pPr>
    </w:p>
    <w:p w14:paraId="4047F034" w14:textId="77777777" w:rsidR="00F23319" w:rsidRPr="007067EB" w:rsidRDefault="00F23319" w:rsidP="00F23319">
      <w:pPr>
        <w:spacing w:before="240" w:after="0"/>
        <w:jc w:val="center"/>
        <w:rPr>
          <w:rFonts w:ascii="Arial Hebrew" w:hAnsi="Arial Hebrew" w:cs="Arial Hebrew" w:hint="cs"/>
          <w:i/>
          <w:iCs/>
          <w:sz w:val="16"/>
          <w:szCs w:val="16"/>
        </w:rPr>
      </w:pPr>
      <w:r w:rsidRPr="007067EB">
        <w:rPr>
          <w:rFonts w:ascii="Arial Hebrew" w:hAnsi="Arial Hebrew" w:cs="Arial Hebrew" w:hint="cs"/>
          <w:b/>
          <w:bCs/>
          <w:i/>
          <w:iCs/>
          <w:sz w:val="16"/>
          <w:szCs w:val="16"/>
        </w:rPr>
        <w:t>Table 2.</w:t>
      </w:r>
      <w:r w:rsidRPr="007067EB">
        <w:rPr>
          <w:rFonts w:ascii="Arial Hebrew" w:hAnsi="Arial Hebrew" w:cs="Arial Hebrew" w:hint="cs"/>
          <w:i/>
          <w:iCs/>
          <w:sz w:val="16"/>
          <w:szCs w:val="16"/>
        </w:rPr>
        <w:t xml:space="preserve"> Moody’s Sub-Sovereign Weighted Factors Weights</w:t>
      </w:r>
    </w:p>
    <w:tbl>
      <w:tblPr>
        <w:tblStyle w:val="TableGrid"/>
        <w:tblW w:w="8931" w:type="dxa"/>
        <w:jc w:val="center"/>
        <w:tblLook w:val="04A0" w:firstRow="1" w:lastRow="0" w:firstColumn="1" w:lastColumn="0" w:noHBand="0" w:noVBand="1"/>
      </w:tblPr>
      <w:tblGrid>
        <w:gridCol w:w="1134"/>
        <w:gridCol w:w="2599"/>
        <w:gridCol w:w="2599"/>
        <w:gridCol w:w="2599"/>
      </w:tblGrid>
      <w:tr w:rsidR="00F23319" w:rsidRPr="007067EB" w14:paraId="020269F7" w14:textId="77777777" w:rsidTr="00CB238D">
        <w:trPr>
          <w:trHeight w:val="139"/>
          <w:jc w:val="center"/>
        </w:trPr>
        <w:tc>
          <w:tcPr>
            <w:tcW w:w="1134" w:type="dxa"/>
            <w:tcBorders>
              <w:top w:val="single" w:sz="4" w:space="0" w:color="auto"/>
              <w:left w:val="nil"/>
              <w:bottom w:val="single" w:sz="4" w:space="0" w:color="auto"/>
              <w:right w:val="nil"/>
            </w:tcBorders>
            <w:shd w:val="clear" w:color="auto" w:fill="auto"/>
            <w:vAlign w:val="center"/>
          </w:tcPr>
          <w:p w14:paraId="22D6E4B1" w14:textId="77777777" w:rsidR="00F23319" w:rsidRPr="007067EB" w:rsidRDefault="00F23319" w:rsidP="00CB238D">
            <w:pPr>
              <w:spacing w:after="0" w:line="240" w:lineRule="auto"/>
              <w:jc w:val="center"/>
              <w:rPr>
                <w:rFonts w:ascii="Arial Hebrew" w:hAnsi="Arial Hebrew" w:cs="Arial Hebrew" w:hint="cs"/>
                <w:sz w:val="15"/>
                <w:szCs w:val="15"/>
              </w:rPr>
            </w:pPr>
            <w:r w:rsidRPr="007067EB">
              <w:rPr>
                <w:rFonts w:ascii="Arial Hebrew" w:hAnsi="Arial Hebrew" w:cs="Arial Hebrew" w:hint="cs"/>
                <w:sz w:val="15"/>
                <w:szCs w:val="15"/>
              </w:rPr>
              <w:lastRenderedPageBreak/>
              <w:t>Factor</w:t>
            </w:r>
          </w:p>
        </w:tc>
        <w:tc>
          <w:tcPr>
            <w:tcW w:w="2599" w:type="dxa"/>
            <w:tcBorders>
              <w:top w:val="single" w:sz="4" w:space="0" w:color="auto"/>
              <w:left w:val="nil"/>
              <w:bottom w:val="single" w:sz="4" w:space="0" w:color="auto"/>
              <w:right w:val="nil"/>
            </w:tcBorders>
            <w:shd w:val="clear" w:color="auto" w:fill="auto"/>
            <w:vAlign w:val="center"/>
          </w:tcPr>
          <w:p w14:paraId="29102010" w14:textId="77777777" w:rsidR="00F23319" w:rsidRPr="007067EB" w:rsidRDefault="00F23319" w:rsidP="00CB238D">
            <w:pPr>
              <w:spacing w:after="0" w:line="240" w:lineRule="auto"/>
              <w:jc w:val="center"/>
              <w:rPr>
                <w:rFonts w:ascii="Arial Hebrew" w:hAnsi="Arial Hebrew" w:cs="Arial Hebrew" w:hint="cs"/>
                <w:sz w:val="15"/>
                <w:szCs w:val="15"/>
              </w:rPr>
            </w:pPr>
            <w:r w:rsidRPr="007067EB">
              <w:rPr>
                <w:rFonts w:ascii="Arial Hebrew" w:hAnsi="Arial Hebrew" w:cs="Arial Hebrew" w:hint="cs"/>
                <w:sz w:val="15"/>
                <w:szCs w:val="15"/>
              </w:rPr>
              <w:t>International (non-U.S.)</w:t>
            </w:r>
          </w:p>
        </w:tc>
        <w:tc>
          <w:tcPr>
            <w:tcW w:w="2599" w:type="dxa"/>
            <w:tcBorders>
              <w:top w:val="single" w:sz="4" w:space="0" w:color="auto"/>
              <w:left w:val="nil"/>
              <w:bottom w:val="single" w:sz="4" w:space="0" w:color="auto"/>
              <w:right w:val="nil"/>
            </w:tcBorders>
            <w:shd w:val="clear" w:color="auto" w:fill="auto"/>
            <w:vAlign w:val="center"/>
          </w:tcPr>
          <w:p w14:paraId="6AAABD68" w14:textId="77777777" w:rsidR="00F23319" w:rsidRPr="007067EB" w:rsidRDefault="00F23319" w:rsidP="00CB238D">
            <w:pPr>
              <w:spacing w:after="0" w:line="240" w:lineRule="auto"/>
              <w:jc w:val="center"/>
              <w:rPr>
                <w:rFonts w:ascii="Arial Hebrew" w:hAnsi="Arial Hebrew" w:cs="Arial Hebrew" w:hint="cs"/>
                <w:sz w:val="15"/>
                <w:szCs w:val="15"/>
              </w:rPr>
            </w:pPr>
            <w:r w:rsidRPr="007067EB">
              <w:rPr>
                <w:rFonts w:ascii="Arial Hebrew" w:hAnsi="Arial Hebrew" w:cs="Arial Hebrew" w:hint="cs"/>
                <w:sz w:val="15"/>
                <w:szCs w:val="15"/>
              </w:rPr>
              <w:t>U.S. States &amp; Territories</w:t>
            </w:r>
          </w:p>
        </w:tc>
        <w:tc>
          <w:tcPr>
            <w:tcW w:w="2599" w:type="dxa"/>
            <w:tcBorders>
              <w:top w:val="single" w:sz="4" w:space="0" w:color="auto"/>
              <w:left w:val="nil"/>
              <w:bottom w:val="single" w:sz="4" w:space="0" w:color="auto"/>
              <w:right w:val="nil"/>
            </w:tcBorders>
            <w:shd w:val="clear" w:color="auto" w:fill="auto"/>
            <w:vAlign w:val="center"/>
          </w:tcPr>
          <w:p w14:paraId="33313671" w14:textId="77777777" w:rsidR="00F23319" w:rsidRPr="007067EB" w:rsidRDefault="00F23319" w:rsidP="00CB238D">
            <w:pPr>
              <w:spacing w:after="0" w:line="240" w:lineRule="auto"/>
              <w:jc w:val="center"/>
              <w:rPr>
                <w:rFonts w:ascii="Arial Hebrew" w:hAnsi="Arial Hebrew" w:cs="Arial Hebrew" w:hint="cs"/>
                <w:sz w:val="15"/>
                <w:szCs w:val="15"/>
              </w:rPr>
            </w:pPr>
            <w:r w:rsidRPr="007067EB">
              <w:rPr>
                <w:rFonts w:ascii="Arial Hebrew" w:hAnsi="Arial Hebrew" w:cs="Arial Hebrew" w:hint="cs"/>
                <w:sz w:val="15"/>
                <w:szCs w:val="15"/>
              </w:rPr>
              <w:t>U.S. Cities &amp; Counties</w:t>
            </w:r>
          </w:p>
        </w:tc>
      </w:tr>
      <w:tr w:rsidR="00F23319" w:rsidRPr="007067EB" w14:paraId="6263A798" w14:textId="77777777" w:rsidTr="00CB238D">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31A7E533" w14:textId="77777777" w:rsidR="00F23319" w:rsidRPr="007067EB" w:rsidRDefault="00F23319" w:rsidP="00CB238D">
            <w:pPr>
              <w:spacing w:after="0"/>
              <w:rPr>
                <w:rFonts w:ascii="Arial Hebrew" w:hAnsi="Arial Hebrew" w:cs="Arial Hebrew" w:hint="cs"/>
                <w:sz w:val="14"/>
                <w:szCs w:val="14"/>
              </w:rPr>
            </w:pPr>
            <w:r w:rsidRPr="007067EB">
              <w:rPr>
                <w:rFonts w:ascii="Arial Hebrew" w:hAnsi="Arial Hebrew" w:cs="Arial Hebrew" w:hint="cs"/>
                <w:sz w:val="14"/>
                <w:szCs w:val="14"/>
              </w:rPr>
              <w:t>Economy</w:t>
            </w:r>
          </w:p>
        </w:tc>
        <w:tc>
          <w:tcPr>
            <w:tcW w:w="2599" w:type="dxa"/>
            <w:tcBorders>
              <w:top w:val="single" w:sz="4" w:space="0" w:color="auto"/>
              <w:left w:val="nil"/>
              <w:bottom w:val="single" w:sz="4" w:space="0" w:color="auto"/>
              <w:right w:val="nil"/>
            </w:tcBorders>
          </w:tcPr>
          <w:p w14:paraId="11109F6A"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25%</w:t>
            </w:r>
          </w:p>
          <w:p w14:paraId="45C04D5F"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Regional Income / GDP PPP (15)</w:t>
            </w:r>
          </w:p>
          <w:p w14:paraId="7D650143"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Growth (5)</w:t>
            </w:r>
          </w:p>
          <w:p w14:paraId="26EE59AF"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sz w:val="12"/>
                <w:szCs w:val="12"/>
              </w:rPr>
            </w:pPr>
            <w:r w:rsidRPr="007067EB">
              <w:rPr>
                <w:rFonts w:ascii="Arial Hebrew" w:hAnsi="Arial Hebrew" w:cs="Arial Hebrew" w:hint="cs"/>
                <w:i/>
                <w:iCs/>
                <w:sz w:val="12"/>
                <w:szCs w:val="12"/>
              </w:rPr>
              <w:t>Diversification (5)</w:t>
            </w:r>
          </w:p>
        </w:tc>
        <w:tc>
          <w:tcPr>
            <w:tcW w:w="2599" w:type="dxa"/>
            <w:tcBorders>
              <w:top w:val="single" w:sz="4" w:space="0" w:color="auto"/>
              <w:left w:val="nil"/>
              <w:bottom w:val="single" w:sz="4" w:space="0" w:color="auto"/>
              <w:right w:val="nil"/>
            </w:tcBorders>
          </w:tcPr>
          <w:p w14:paraId="20F34918"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30%</w:t>
            </w:r>
          </w:p>
          <w:p w14:paraId="3047F23D"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Resident Personal Consumption Income (15)</w:t>
            </w:r>
          </w:p>
          <w:p w14:paraId="5324E3CD"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Growth vs U.S. National Growth (15)</w:t>
            </w:r>
          </w:p>
          <w:p w14:paraId="494420EA" w14:textId="77777777" w:rsidR="00F23319" w:rsidRPr="007067EB" w:rsidRDefault="00F23319" w:rsidP="00CB238D">
            <w:pPr>
              <w:spacing w:beforeLines="10" w:before="24" w:afterLines="10" w:after="24" w:line="240" w:lineRule="auto"/>
              <w:rPr>
                <w:rFonts w:ascii="Arial Hebrew" w:hAnsi="Arial Hebrew" w:cs="Arial Hebrew" w:hint="cs"/>
                <w:sz w:val="12"/>
                <w:szCs w:val="12"/>
              </w:rPr>
            </w:pPr>
          </w:p>
        </w:tc>
        <w:tc>
          <w:tcPr>
            <w:tcW w:w="2599" w:type="dxa"/>
            <w:tcBorders>
              <w:top w:val="single" w:sz="4" w:space="0" w:color="auto"/>
              <w:left w:val="nil"/>
              <w:bottom w:val="single" w:sz="4" w:space="0" w:color="auto"/>
              <w:right w:val="nil"/>
            </w:tcBorders>
          </w:tcPr>
          <w:p w14:paraId="55AF8AFF"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30%</w:t>
            </w:r>
          </w:p>
          <w:p w14:paraId="4A74383F"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Resident Median Household Income (10)</w:t>
            </w:r>
          </w:p>
          <w:p w14:paraId="679E9A08"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Property Tax Base (10)</w:t>
            </w:r>
          </w:p>
          <w:p w14:paraId="4A881A3E"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sz w:val="12"/>
                <w:szCs w:val="12"/>
              </w:rPr>
            </w:pPr>
            <w:r w:rsidRPr="007067EB">
              <w:rPr>
                <w:rFonts w:ascii="Arial Hebrew" w:hAnsi="Arial Hebrew" w:cs="Arial Hebrew" w:hint="cs"/>
                <w:i/>
                <w:iCs/>
                <w:sz w:val="12"/>
                <w:szCs w:val="12"/>
              </w:rPr>
              <w:t>Growth vs U.S. National Growth (10)</w:t>
            </w:r>
          </w:p>
        </w:tc>
      </w:tr>
      <w:tr w:rsidR="00F23319" w:rsidRPr="007067EB" w14:paraId="708522D2" w14:textId="77777777" w:rsidTr="00CB238D">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242161B7" w14:textId="77777777" w:rsidR="00F23319" w:rsidRPr="007067EB" w:rsidRDefault="00F23319" w:rsidP="00CB238D">
            <w:pPr>
              <w:spacing w:after="0"/>
              <w:rPr>
                <w:rFonts w:ascii="Arial Hebrew" w:hAnsi="Arial Hebrew" w:cs="Arial Hebrew" w:hint="cs"/>
                <w:sz w:val="14"/>
                <w:szCs w:val="14"/>
              </w:rPr>
            </w:pPr>
            <w:r w:rsidRPr="007067EB">
              <w:rPr>
                <w:rFonts w:ascii="Arial Hebrew" w:hAnsi="Arial Hebrew" w:cs="Arial Hebrew" w:hint="cs"/>
                <w:sz w:val="14"/>
                <w:szCs w:val="14"/>
              </w:rPr>
              <w:t>Institutional Framework &amp; Governance</w:t>
            </w:r>
          </w:p>
        </w:tc>
        <w:tc>
          <w:tcPr>
            <w:tcW w:w="2599" w:type="dxa"/>
            <w:tcBorders>
              <w:top w:val="single" w:sz="4" w:space="0" w:color="auto"/>
              <w:left w:val="nil"/>
              <w:bottom w:val="single" w:sz="4" w:space="0" w:color="auto"/>
              <w:right w:val="nil"/>
            </w:tcBorders>
          </w:tcPr>
          <w:p w14:paraId="2FAE67BF"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30%</w:t>
            </w:r>
          </w:p>
          <w:p w14:paraId="50CEE20D"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Institutional Framework (15)</w:t>
            </w:r>
          </w:p>
          <w:p w14:paraId="2BC2FA7F"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sz w:val="12"/>
                <w:szCs w:val="12"/>
              </w:rPr>
            </w:pPr>
            <w:r w:rsidRPr="007067EB">
              <w:rPr>
                <w:rFonts w:ascii="Arial Hebrew" w:hAnsi="Arial Hebrew" w:cs="Arial Hebrew" w:hint="cs"/>
                <w:i/>
                <w:iCs/>
                <w:sz w:val="12"/>
                <w:szCs w:val="12"/>
              </w:rPr>
              <w:t>Governance (15)</w:t>
            </w:r>
          </w:p>
        </w:tc>
        <w:tc>
          <w:tcPr>
            <w:tcW w:w="2599" w:type="dxa"/>
            <w:tcBorders>
              <w:top w:val="single" w:sz="4" w:space="0" w:color="auto"/>
              <w:left w:val="nil"/>
              <w:bottom w:val="single" w:sz="4" w:space="0" w:color="auto"/>
              <w:right w:val="nil"/>
            </w:tcBorders>
          </w:tcPr>
          <w:p w14:paraId="72109195"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20%</w:t>
            </w:r>
          </w:p>
          <w:p w14:paraId="00ADEADB" w14:textId="77777777" w:rsidR="00F23319" w:rsidRPr="007067EB" w:rsidRDefault="00F23319" w:rsidP="00CB238D">
            <w:p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Qualitative assessment of fiscal planning &amp; management, debt management, revenue expenditure and flexibility</w:t>
            </w:r>
          </w:p>
        </w:tc>
        <w:tc>
          <w:tcPr>
            <w:tcW w:w="2599" w:type="dxa"/>
            <w:tcBorders>
              <w:top w:val="single" w:sz="4" w:space="0" w:color="auto"/>
              <w:left w:val="nil"/>
              <w:bottom w:val="single" w:sz="4" w:space="0" w:color="auto"/>
              <w:right w:val="nil"/>
            </w:tcBorders>
          </w:tcPr>
          <w:p w14:paraId="2B17926D"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10%</w:t>
            </w:r>
          </w:p>
          <w:p w14:paraId="42592249" w14:textId="77777777" w:rsidR="00F23319" w:rsidRPr="007067EB" w:rsidRDefault="00F23319" w:rsidP="00CB238D">
            <w:p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Qualitative assessment of fiscal planning &amp; management, debt management, revenue expenditure and flexibility</w:t>
            </w:r>
          </w:p>
        </w:tc>
      </w:tr>
      <w:tr w:rsidR="00F23319" w:rsidRPr="007067EB" w14:paraId="773423CF" w14:textId="77777777" w:rsidTr="00CB238D">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3E95C1C8" w14:textId="77777777" w:rsidR="00F23319" w:rsidRPr="007067EB" w:rsidRDefault="00F23319" w:rsidP="00CB238D">
            <w:pPr>
              <w:spacing w:after="0"/>
              <w:rPr>
                <w:rFonts w:ascii="Arial Hebrew" w:hAnsi="Arial Hebrew" w:cs="Arial Hebrew" w:hint="cs"/>
                <w:sz w:val="14"/>
                <w:szCs w:val="14"/>
              </w:rPr>
            </w:pPr>
            <w:r w:rsidRPr="007067EB">
              <w:rPr>
                <w:rFonts w:ascii="Arial Hebrew" w:hAnsi="Arial Hebrew" w:cs="Arial Hebrew" w:hint="cs"/>
                <w:sz w:val="14"/>
                <w:szCs w:val="14"/>
              </w:rPr>
              <w:t>Financial Performance</w:t>
            </w:r>
          </w:p>
        </w:tc>
        <w:tc>
          <w:tcPr>
            <w:tcW w:w="2599" w:type="dxa"/>
            <w:tcBorders>
              <w:top w:val="single" w:sz="4" w:space="0" w:color="auto"/>
              <w:left w:val="nil"/>
              <w:bottom w:val="single" w:sz="4" w:space="0" w:color="auto"/>
              <w:right w:val="nil"/>
            </w:tcBorders>
          </w:tcPr>
          <w:p w14:paraId="1237FA4A"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20%</w:t>
            </w:r>
          </w:p>
          <w:p w14:paraId="08899A30"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Operating Margin (10)</w:t>
            </w:r>
          </w:p>
          <w:p w14:paraId="21ECEAD9"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Liquidity Ratio (5)</w:t>
            </w:r>
          </w:p>
          <w:p w14:paraId="18FA3E48"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sz w:val="12"/>
                <w:szCs w:val="12"/>
              </w:rPr>
            </w:pPr>
            <w:r w:rsidRPr="007067EB">
              <w:rPr>
                <w:rFonts w:ascii="Arial Hebrew" w:hAnsi="Arial Hebrew" w:cs="Arial Hebrew" w:hint="cs"/>
                <w:i/>
                <w:iCs/>
                <w:sz w:val="12"/>
                <w:szCs w:val="12"/>
              </w:rPr>
              <w:t>Ease of Access to Funding (5)</w:t>
            </w:r>
          </w:p>
        </w:tc>
        <w:tc>
          <w:tcPr>
            <w:tcW w:w="2599" w:type="dxa"/>
            <w:tcBorders>
              <w:top w:val="single" w:sz="4" w:space="0" w:color="auto"/>
              <w:left w:val="nil"/>
              <w:bottom w:val="single" w:sz="4" w:space="0" w:color="auto"/>
              <w:right w:val="nil"/>
            </w:tcBorders>
          </w:tcPr>
          <w:p w14:paraId="53341384"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20%</w:t>
            </w:r>
          </w:p>
          <w:p w14:paraId="0FDD941C" w14:textId="77777777" w:rsidR="00F23319" w:rsidRPr="007067EB" w:rsidRDefault="00F23319" w:rsidP="00CB238D">
            <w:p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 xml:space="preserve">Qualitative assessment of fund balance levels, liquidity strength, </w:t>
            </w:r>
            <w:r>
              <w:rPr>
                <w:rFonts w:ascii="Cambria" w:hAnsi="Cambria" w:cs="Arial Hebrew"/>
                <w:i/>
                <w:iCs/>
                <w:sz w:val="12"/>
                <w:szCs w:val="12"/>
              </w:rPr>
              <w:t xml:space="preserve">and </w:t>
            </w:r>
            <w:r w:rsidRPr="007067EB">
              <w:rPr>
                <w:rFonts w:ascii="Arial Hebrew" w:hAnsi="Arial Hebrew" w:cs="Arial Hebrew" w:hint="cs"/>
                <w:i/>
                <w:iCs/>
                <w:sz w:val="12"/>
                <w:szCs w:val="12"/>
              </w:rPr>
              <w:t>structural balance</w:t>
            </w:r>
          </w:p>
        </w:tc>
        <w:tc>
          <w:tcPr>
            <w:tcW w:w="2599" w:type="dxa"/>
            <w:tcBorders>
              <w:top w:val="single" w:sz="4" w:space="0" w:color="auto"/>
              <w:left w:val="nil"/>
              <w:bottom w:val="single" w:sz="4" w:space="0" w:color="auto"/>
              <w:right w:val="nil"/>
            </w:tcBorders>
          </w:tcPr>
          <w:p w14:paraId="4287B1E4"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30%</w:t>
            </w:r>
          </w:p>
          <w:p w14:paraId="6AC048C0"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Available Fund Balance Ratio (20)</w:t>
            </w:r>
          </w:p>
          <w:p w14:paraId="6DB3CE2E"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Liquidity Ratio (10)</w:t>
            </w:r>
          </w:p>
          <w:p w14:paraId="25F9B226" w14:textId="77777777" w:rsidR="00F23319" w:rsidRPr="007067EB" w:rsidRDefault="00F23319" w:rsidP="00CB238D">
            <w:pPr>
              <w:spacing w:beforeLines="10" w:before="24" w:afterLines="10" w:after="24" w:line="240" w:lineRule="auto"/>
              <w:rPr>
                <w:rFonts w:ascii="Arial Hebrew" w:hAnsi="Arial Hebrew" w:cs="Arial Hebrew" w:hint="cs"/>
                <w:sz w:val="12"/>
                <w:szCs w:val="12"/>
              </w:rPr>
            </w:pPr>
          </w:p>
        </w:tc>
      </w:tr>
      <w:tr w:rsidR="00F23319" w:rsidRPr="007067EB" w14:paraId="0B6469B1" w14:textId="77777777" w:rsidTr="00CB238D">
        <w:trPr>
          <w:trHeight w:val="490"/>
          <w:jc w:val="center"/>
        </w:trPr>
        <w:tc>
          <w:tcPr>
            <w:tcW w:w="1134" w:type="dxa"/>
            <w:tcBorders>
              <w:top w:val="single" w:sz="4" w:space="0" w:color="auto"/>
              <w:left w:val="nil"/>
              <w:bottom w:val="double" w:sz="4" w:space="0" w:color="auto"/>
              <w:right w:val="nil"/>
            </w:tcBorders>
            <w:shd w:val="clear" w:color="auto" w:fill="F2F2F2" w:themeFill="background1" w:themeFillShade="F2"/>
            <w:vAlign w:val="center"/>
          </w:tcPr>
          <w:p w14:paraId="264EAB65" w14:textId="77777777" w:rsidR="00F23319" w:rsidRPr="007067EB" w:rsidRDefault="00F23319" w:rsidP="00CB238D">
            <w:pPr>
              <w:spacing w:after="0"/>
              <w:rPr>
                <w:rFonts w:ascii="Arial Hebrew" w:hAnsi="Arial Hebrew" w:cs="Arial Hebrew" w:hint="cs"/>
                <w:sz w:val="14"/>
                <w:szCs w:val="14"/>
              </w:rPr>
            </w:pPr>
            <w:r w:rsidRPr="007067EB">
              <w:rPr>
                <w:rFonts w:ascii="Arial Hebrew" w:hAnsi="Arial Hebrew" w:cs="Arial Hebrew" w:hint="cs"/>
                <w:sz w:val="14"/>
                <w:szCs w:val="14"/>
              </w:rPr>
              <w:t>Leverage</w:t>
            </w:r>
          </w:p>
        </w:tc>
        <w:tc>
          <w:tcPr>
            <w:tcW w:w="2599" w:type="dxa"/>
            <w:tcBorders>
              <w:top w:val="single" w:sz="4" w:space="0" w:color="auto"/>
              <w:left w:val="nil"/>
              <w:bottom w:val="double" w:sz="4" w:space="0" w:color="auto"/>
              <w:right w:val="nil"/>
            </w:tcBorders>
          </w:tcPr>
          <w:p w14:paraId="33120A73"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25%</w:t>
            </w:r>
          </w:p>
          <w:p w14:paraId="56279F90"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Debt Burden (15)</w:t>
            </w:r>
          </w:p>
          <w:p w14:paraId="49214395"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sz w:val="12"/>
                <w:szCs w:val="12"/>
              </w:rPr>
            </w:pPr>
            <w:r w:rsidRPr="007067EB">
              <w:rPr>
                <w:rFonts w:ascii="Arial Hebrew" w:hAnsi="Arial Hebrew" w:cs="Arial Hebrew" w:hint="cs"/>
                <w:i/>
                <w:iCs/>
                <w:sz w:val="12"/>
                <w:szCs w:val="12"/>
              </w:rPr>
              <w:t>Interest Burden (10)</w:t>
            </w:r>
          </w:p>
        </w:tc>
        <w:tc>
          <w:tcPr>
            <w:tcW w:w="2599" w:type="dxa"/>
            <w:tcBorders>
              <w:top w:val="single" w:sz="4" w:space="0" w:color="auto"/>
              <w:left w:val="nil"/>
              <w:bottom w:val="double" w:sz="4" w:space="0" w:color="auto"/>
              <w:right w:val="nil"/>
            </w:tcBorders>
          </w:tcPr>
          <w:p w14:paraId="1C2A9707"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30%</w:t>
            </w:r>
          </w:p>
          <w:p w14:paraId="28F0B09A"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Long-term Liabilities Ratio (20)</w:t>
            </w:r>
          </w:p>
          <w:p w14:paraId="34B3BB3E"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sz w:val="12"/>
                <w:szCs w:val="12"/>
              </w:rPr>
            </w:pPr>
            <w:r w:rsidRPr="007067EB">
              <w:rPr>
                <w:rFonts w:ascii="Arial Hebrew" w:hAnsi="Arial Hebrew" w:cs="Arial Hebrew" w:hint="cs"/>
                <w:i/>
                <w:iCs/>
                <w:sz w:val="12"/>
                <w:szCs w:val="12"/>
              </w:rPr>
              <w:t>Fixed-costs Ratio (10)</w:t>
            </w:r>
          </w:p>
        </w:tc>
        <w:tc>
          <w:tcPr>
            <w:tcW w:w="2599" w:type="dxa"/>
            <w:tcBorders>
              <w:top w:val="single" w:sz="4" w:space="0" w:color="auto"/>
              <w:left w:val="nil"/>
              <w:bottom w:val="double" w:sz="4" w:space="0" w:color="auto"/>
              <w:right w:val="nil"/>
            </w:tcBorders>
          </w:tcPr>
          <w:p w14:paraId="6E23154F" w14:textId="77777777" w:rsidR="00F23319" w:rsidRPr="007067EB" w:rsidRDefault="00F23319" w:rsidP="00CB238D">
            <w:pPr>
              <w:spacing w:beforeLines="10" w:before="24" w:afterLines="10" w:after="24" w:line="240" w:lineRule="auto"/>
              <w:rPr>
                <w:rFonts w:ascii="Arial Hebrew" w:hAnsi="Arial Hebrew" w:cs="Arial Hebrew" w:hint="cs"/>
                <w:b/>
                <w:bCs/>
                <w:sz w:val="16"/>
                <w:szCs w:val="16"/>
              </w:rPr>
            </w:pPr>
            <w:r w:rsidRPr="007067EB">
              <w:rPr>
                <w:rFonts w:ascii="Arial Hebrew" w:hAnsi="Arial Hebrew" w:cs="Arial Hebrew" w:hint="cs"/>
                <w:b/>
                <w:bCs/>
                <w:sz w:val="16"/>
                <w:szCs w:val="16"/>
              </w:rPr>
              <w:t>30%</w:t>
            </w:r>
          </w:p>
          <w:p w14:paraId="52F56518"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i/>
                <w:iCs/>
                <w:sz w:val="12"/>
                <w:szCs w:val="12"/>
              </w:rPr>
            </w:pPr>
            <w:r w:rsidRPr="007067EB">
              <w:rPr>
                <w:rFonts w:ascii="Arial Hebrew" w:hAnsi="Arial Hebrew" w:cs="Arial Hebrew" w:hint="cs"/>
                <w:i/>
                <w:iCs/>
                <w:sz w:val="12"/>
                <w:szCs w:val="12"/>
              </w:rPr>
              <w:t>Long-term Liabilities Ratio (20)</w:t>
            </w:r>
          </w:p>
          <w:p w14:paraId="2B342B0D" w14:textId="77777777" w:rsidR="00F23319" w:rsidRPr="007067EB" w:rsidRDefault="00F23319" w:rsidP="00CB238D">
            <w:pPr>
              <w:pStyle w:val="ListParagraph"/>
              <w:numPr>
                <w:ilvl w:val="0"/>
                <w:numId w:val="39"/>
              </w:numPr>
              <w:spacing w:beforeLines="10" w:before="24" w:afterLines="10" w:after="24" w:line="240" w:lineRule="auto"/>
              <w:rPr>
                <w:rFonts w:ascii="Arial Hebrew" w:hAnsi="Arial Hebrew" w:cs="Arial Hebrew" w:hint="cs"/>
                <w:sz w:val="12"/>
                <w:szCs w:val="12"/>
              </w:rPr>
            </w:pPr>
            <w:r w:rsidRPr="007067EB">
              <w:rPr>
                <w:rFonts w:ascii="Arial Hebrew" w:hAnsi="Arial Hebrew" w:cs="Arial Hebrew" w:hint="cs"/>
                <w:i/>
                <w:iCs/>
                <w:sz w:val="12"/>
                <w:szCs w:val="12"/>
              </w:rPr>
              <w:t>Fixed-costs Ratio (10)</w:t>
            </w:r>
          </w:p>
        </w:tc>
      </w:tr>
    </w:tbl>
    <w:p w14:paraId="26376838" w14:textId="77777777" w:rsidR="00F23319" w:rsidRPr="007067EB" w:rsidRDefault="00F23319" w:rsidP="00F23319">
      <w:pPr>
        <w:pStyle w:val="Heading2"/>
        <w:spacing w:before="0"/>
        <w:rPr>
          <w:rFonts w:ascii="Arial Hebrew" w:hAnsi="Arial Hebrew" w:cs="Arial Hebrew" w:hint="cs"/>
          <w:sz w:val="18"/>
          <w:szCs w:val="18"/>
        </w:rPr>
      </w:pPr>
    </w:p>
    <w:p w14:paraId="36A5F9AC" w14:textId="77777777" w:rsidR="00F23319" w:rsidRPr="007067EB" w:rsidRDefault="00F23319" w:rsidP="00F23319">
      <w:pPr>
        <w:pStyle w:val="Heading2"/>
        <w:rPr>
          <w:rFonts w:ascii="Arial Hebrew" w:hAnsi="Arial Hebrew" w:cs="Arial Hebrew" w:hint="cs"/>
          <w:sz w:val="22"/>
          <w:szCs w:val="22"/>
        </w:rPr>
      </w:pPr>
      <w:r w:rsidRPr="007067EB">
        <w:rPr>
          <w:rFonts w:ascii="Arial Hebrew" w:hAnsi="Arial Hebrew" w:cs="Arial Hebrew" w:hint="cs"/>
          <w:sz w:val="22"/>
          <w:szCs w:val="22"/>
        </w:rPr>
        <w:t>Standard &amp; Poor’s (S&amp;P’s)</w:t>
      </w:r>
      <w:r w:rsidRPr="007067EB">
        <w:rPr>
          <w:rFonts w:ascii="Arial Hebrew" w:hAnsi="Arial Hebrew" w:cs="Arial Hebrew" w:hint="cs"/>
          <w:noProof/>
        </w:rPr>
        <w:t xml:space="preserve"> </w:t>
      </w:r>
    </w:p>
    <w:p w14:paraId="18680059" w14:textId="77777777" w:rsidR="00F23319" w:rsidRPr="007067EB" w:rsidRDefault="00F23319" w:rsidP="00F23319">
      <w:pPr>
        <w:spacing w:before="240" w:after="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 xml:space="preserve">The S&amp;P’s sovereign assessment methodology is based on two profiles incorporating five assessments: </w:t>
      </w:r>
    </w:p>
    <w:p w14:paraId="68E20709" w14:textId="77777777" w:rsidR="00F23319" w:rsidRPr="007067EB" w:rsidRDefault="00F23319" w:rsidP="00F23319">
      <w:pPr>
        <w:pStyle w:val="ListParagraph"/>
        <w:numPr>
          <w:ilvl w:val="0"/>
          <w:numId w:val="11"/>
        </w:numPr>
        <w:spacing w:after="0" w:line="360" w:lineRule="auto"/>
        <w:jc w:val="both"/>
        <w:rPr>
          <w:rFonts w:ascii="Arial Hebrew" w:hAnsi="Arial Hebrew" w:cs="Arial Hebrew" w:hint="cs"/>
          <w:color w:val="000000" w:themeColor="text1"/>
          <w:sz w:val="20"/>
          <w:szCs w:val="20"/>
        </w:rPr>
      </w:pPr>
      <w:r w:rsidRPr="007067EB">
        <w:rPr>
          <w:rFonts w:ascii="Arial Hebrew" w:hAnsi="Arial Hebrew" w:cs="Arial Hebrew" w:hint="cs"/>
          <w:b/>
          <w:bCs/>
          <w:sz w:val="20"/>
          <w:szCs w:val="20"/>
        </w:rPr>
        <w:t xml:space="preserve">Institutional and Economic Profile: </w:t>
      </w:r>
      <w:r w:rsidRPr="007067EB">
        <w:rPr>
          <w:rFonts w:ascii="Arial Hebrew" w:hAnsi="Arial Hebrew" w:cs="Arial Hebrew" w:hint="cs"/>
          <w:sz w:val="20"/>
          <w:szCs w:val="20"/>
        </w:rPr>
        <w:t>the average score from two assessments:</w:t>
      </w:r>
      <w:r w:rsidRPr="007067EB">
        <w:rPr>
          <w:rFonts w:ascii="Arial Hebrew" w:hAnsi="Arial Hebrew" w:cs="Arial Hebrew" w:hint="cs"/>
          <w:b/>
          <w:bCs/>
          <w:sz w:val="20"/>
          <w:szCs w:val="20"/>
        </w:rPr>
        <w:t xml:space="preserve"> </w:t>
      </w:r>
    </w:p>
    <w:p w14:paraId="4234C0A8" w14:textId="77777777" w:rsidR="00F23319" w:rsidRPr="007067EB" w:rsidRDefault="00F23319" w:rsidP="00F23319">
      <w:pPr>
        <w:pStyle w:val="ListParagraph"/>
        <w:numPr>
          <w:ilvl w:val="0"/>
          <w:numId w:val="43"/>
        </w:numPr>
        <w:spacing w:after="0" w:line="360" w:lineRule="auto"/>
        <w:jc w:val="both"/>
        <w:rPr>
          <w:rFonts w:ascii="Arial Hebrew" w:hAnsi="Arial Hebrew" w:cs="Arial Hebrew" w:hint="cs"/>
          <w:color w:val="000000" w:themeColor="text1"/>
          <w:sz w:val="20"/>
          <w:szCs w:val="20"/>
        </w:rPr>
      </w:pPr>
      <w:r w:rsidRPr="007067EB">
        <w:rPr>
          <w:rFonts w:ascii="Arial Hebrew" w:hAnsi="Arial Hebrew" w:cs="Arial Hebrew" w:hint="cs"/>
          <w:b/>
          <w:bCs/>
          <w:i/>
          <w:iCs/>
          <w:sz w:val="20"/>
          <w:szCs w:val="20"/>
        </w:rPr>
        <w:t>Institutional Assessment:</w:t>
      </w:r>
      <w:r w:rsidRPr="007067EB">
        <w:rPr>
          <w:rFonts w:ascii="Arial Hebrew" w:hAnsi="Arial Hebrew" w:cs="Arial Hebrew" w:hint="cs"/>
          <w:sz w:val="20"/>
          <w:szCs w:val="20"/>
        </w:rPr>
        <w:t xml:space="preserve"> the capacity to deliver sustainable public finances and balanced economic growth, and to respond effectively to economic and political </w:t>
      </w:r>
      <w:r w:rsidRPr="007067EB">
        <w:rPr>
          <w:rFonts w:ascii="Arial Hebrew" w:hAnsi="Arial Hebrew" w:cs="Arial Hebrew" w:hint="cs"/>
          <w:color w:val="000000" w:themeColor="text1"/>
          <w:sz w:val="20"/>
          <w:szCs w:val="20"/>
        </w:rPr>
        <w:t xml:space="preserve">shocks. </w:t>
      </w:r>
    </w:p>
    <w:p w14:paraId="7CCFC571" w14:textId="77777777" w:rsidR="00F23319" w:rsidRPr="007067EB" w:rsidRDefault="00F23319" w:rsidP="00F23319">
      <w:pPr>
        <w:pStyle w:val="ListParagraph"/>
        <w:numPr>
          <w:ilvl w:val="0"/>
          <w:numId w:val="43"/>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Economic Assessment:</w:t>
      </w:r>
      <w:r w:rsidRPr="007067EB">
        <w:rPr>
          <w:rFonts w:ascii="Arial Hebrew" w:hAnsi="Arial Hebrew" w:cs="Arial Hebrew" w:hint="cs"/>
          <w:sz w:val="20"/>
          <w:szCs w:val="20"/>
        </w:rPr>
        <w:t xml:space="preserve"> income levels (GDP per capita at PPP), economic growth prospects, and economic diversity and volatility (based on sectoral composition of production and exports).</w:t>
      </w:r>
    </w:p>
    <w:p w14:paraId="49D68D24" w14:textId="77777777" w:rsidR="00F23319" w:rsidRPr="007067EB" w:rsidRDefault="00F23319" w:rsidP="00F23319">
      <w:pPr>
        <w:pStyle w:val="ListParagraph"/>
        <w:numPr>
          <w:ilvl w:val="0"/>
          <w:numId w:val="11"/>
        </w:numPr>
        <w:spacing w:after="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 xml:space="preserve">Flexibility and Performance Profile: </w:t>
      </w:r>
      <w:r w:rsidRPr="007067EB">
        <w:rPr>
          <w:rFonts w:ascii="Arial Hebrew" w:hAnsi="Arial Hebrew" w:cs="Arial Hebrew" w:hint="cs"/>
          <w:sz w:val="20"/>
          <w:szCs w:val="20"/>
        </w:rPr>
        <w:t>the average score from three assessments:</w:t>
      </w:r>
    </w:p>
    <w:p w14:paraId="46F1791E" w14:textId="77777777" w:rsidR="00F23319" w:rsidRPr="007067EB" w:rsidRDefault="00F23319" w:rsidP="00F23319">
      <w:pPr>
        <w:pStyle w:val="ListParagraph"/>
        <w:numPr>
          <w:ilvl w:val="0"/>
          <w:numId w:val="44"/>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External Assessment:</w:t>
      </w:r>
      <w:r w:rsidRPr="007067EB">
        <w:rPr>
          <w:rFonts w:ascii="Arial Hebrew" w:hAnsi="Arial Hebrew" w:cs="Arial Hebrew" w:hint="cs"/>
          <w:sz w:val="20"/>
          <w:szCs w:val="20"/>
        </w:rPr>
        <w:t xml:space="preserve"> external position and liquidity with the rest of the world; status of sovereign’s currency in international transactions</w:t>
      </w:r>
    </w:p>
    <w:p w14:paraId="38C041F9" w14:textId="77777777" w:rsidR="00F23319" w:rsidRPr="007067EB" w:rsidRDefault="00F23319" w:rsidP="00F23319">
      <w:pPr>
        <w:pStyle w:val="ListParagraph"/>
        <w:numPr>
          <w:ilvl w:val="0"/>
          <w:numId w:val="44"/>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Fiscal Assessment:</w:t>
      </w:r>
      <w:r w:rsidRPr="007067EB">
        <w:rPr>
          <w:rFonts w:ascii="Arial Hebrew" w:hAnsi="Arial Hebrew" w:cs="Arial Hebrew" w:hint="cs"/>
          <w:sz w:val="20"/>
          <w:szCs w:val="20"/>
        </w:rPr>
        <w:t xml:space="preserve"> sustainability of a sovereign's fiscal policy, with components </w:t>
      </w:r>
      <w:r w:rsidRPr="007067EB">
        <w:rPr>
          <w:rFonts w:ascii="Arial Hebrew" w:hAnsi="Arial Hebrew" w:cs="Arial Hebrew" w:hint="cs"/>
          <w:i/>
          <w:iCs/>
          <w:sz w:val="20"/>
          <w:szCs w:val="20"/>
        </w:rPr>
        <w:t>Fiscal Performance and Flexibility</w:t>
      </w:r>
      <w:r w:rsidRPr="007067EB">
        <w:rPr>
          <w:rFonts w:ascii="Arial Hebrew" w:hAnsi="Arial Hebrew" w:cs="Arial Hebrew" w:hint="cs"/>
          <w:sz w:val="20"/>
          <w:szCs w:val="20"/>
        </w:rPr>
        <w:t xml:space="preserve"> (trends and vulnerabilities) and </w:t>
      </w:r>
      <w:r w:rsidRPr="007067EB">
        <w:rPr>
          <w:rFonts w:ascii="Arial Hebrew" w:hAnsi="Arial Hebrew" w:cs="Arial Hebrew" w:hint="cs"/>
          <w:i/>
          <w:iCs/>
          <w:sz w:val="20"/>
          <w:szCs w:val="20"/>
        </w:rPr>
        <w:t>Debt Burden</w:t>
      </w:r>
      <w:r w:rsidRPr="007067EB">
        <w:rPr>
          <w:rFonts w:ascii="Arial Hebrew" w:hAnsi="Arial Hebrew" w:cs="Arial Hebrew" w:hint="cs"/>
          <w:sz w:val="20"/>
          <w:szCs w:val="20"/>
        </w:rPr>
        <w:t xml:space="preserve"> (structure of debt, funding access and contingent liabilities) </w:t>
      </w:r>
    </w:p>
    <w:p w14:paraId="42AFD1A3" w14:textId="77777777" w:rsidR="00F23319" w:rsidRPr="007067EB" w:rsidRDefault="00F23319" w:rsidP="00F23319">
      <w:pPr>
        <w:pStyle w:val="ListParagraph"/>
        <w:numPr>
          <w:ilvl w:val="0"/>
          <w:numId w:val="44"/>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Monetary Assessment:</w:t>
      </w:r>
      <w:r w:rsidRPr="007067EB">
        <w:rPr>
          <w:rFonts w:ascii="Arial Hebrew" w:hAnsi="Arial Hebrew" w:cs="Arial Hebrew" w:hint="cs"/>
          <w:sz w:val="20"/>
          <w:szCs w:val="20"/>
        </w:rPr>
        <w:t xml:space="preserve"> evaluation of monetary policy credibility, the exchange-rate regime and its impact on policy coordination, and the diversification of the financial system and capital markets.</w:t>
      </w:r>
    </w:p>
    <w:p w14:paraId="6E0A2E6F" w14:textId="77777777" w:rsidR="00F23319" w:rsidRPr="007067EB" w:rsidRDefault="00F23319" w:rsidP="00F23319">
      <w:pPr>
        <w:spacing w:after="0" w:line="360" w:lineRule="auto"/>
        <w:jc w:val="both"/>
        <w:rPr>
          <w:rFonts w:ascii="Arial Hebrew" w:hAnsi="Arial Hebrew" w:cs="Arial Hebrew" w:hint="cs"/>
          <w:sz w:val="20"/>
          <w:szCs w:val="20"/>
        </w:rPr>
      </w:pPr>
      <w:r w:rsidRPr="007067EB">
        <w:rPr>
          <w:rFonts w:ascii="Arial Hebrew" w:hAnsi="Arial Hebrew" w:cs="Arial Hebrew" w:hint="cs"/>
          <w:sz w:val="20"/>
          <w:szCs w:val="20"/>
        </w:rPr>
        <w:t xml:space="preserve">The two profiles are combined using a </w:t>
      </w:r>
      <w:r w:rsidRPr="007067EB">
        <w:rPr>
          <w:rFonts w:ascii="Arial Hebrew" w:hAnsi="Arial Hebrew" w:cs="Arial Hebrew" w:hint="cs"/>
          <w:b/>
          <w:bCs/>
          <w:sz w:val="20"/>
          <w:szCs w:val="20"/>
        </w:rPr>
        <w:t xml:space="preserve">risk matrix, </w:t>
      </w:r>
      <w:r w:rsidRPr="007067EB">
        <w:rPr>
          <w:rFonts w:ascii="Arial Hebrew" w:hAnsi="Arial Hebrew" w:cs="Arial Hebrew" w:hint="cs"/>
          <w:sz w:val="20"/>
          <w:szCs w:val="20"/>
        </w:rPr>
        <w:t>which specifies a particular outcome for every possible combination of profile levels.</w:t>
      </w:r>
      <w:r w:rsidRPr="007067EB">
        <w:rPr>
          <w:rStyle w:val="FootnoteReference"/>
          <w:rFonts w:ascii="Arial Hebrew" w:hAnsi="Arial Hebrew" w:cs="Arial Hebrew" w:hint="cs"/>
          <w:sz w:val="20"/>
          <w:szCs w:val="20"/>
        </w:rPr>
        <w:footnoteReference w:id="5"/>
      </w:r>
      <w:r w:rsidRPr="007067EB">
        <w:rPr>
          <w:rFonts w:ascii="Arial Hebrew" w:hAnsi="Arial Hebrew" w:cs="Arial Hebrew" w:hint="cs"/>
          <w:sz w:val="20"/>
          <w:szCs w:val="20"/>
        </w:rPr>
        <w:t xml:space="preserve"> The resulting </w:t>
      </w:r>
      <w:r w:rsidRPr="007067EB">
        <w:rPr>
          <w:rFonts w:ascii="Arial Hebrew" w:hAnsi="Arial Hebrew" w:cs="Arial Hebrew" w:hint="cs"/>
          <w:b/>
          <w:bCs/>
          <w:i/>
          <w:iCs/>
          <w:sz w:val="20"/>
          <w:szCs w:val="20"/>
        </w:rPr>
        <w:t>indicative rating level</w:t>
      </w:r>
      <w:r w:rsidRPr="007067EB">
        <w:rPr>
          <w:rFonts w:ascii="Arial Hebrew" w:hAnsi="Arial Hebrew" w:cs="Arial Hebrew" w:hint="cs"/>
          <w:sz w:val="20"/>
          <w:szCs w:val="20"/>
        </w:rPr>
        <w:t xml:space="preserve"> may then be modified according to </w:t>
      </w:r>
      <w:r w:rsidRPr="007067EB">
        <w:rPr>
          <w:rFonts w:ascii="Arial Hebrew" w:hAnsi="Arial Hebrew" w:cs="Arial Hebrew" w:hint="cs"/>
          <w:b/>
          <w:bCs/>
          <w:i/>
          <w:iCs/>
          <w:sz w:val="20"/>
          <w:szCs w:val="20"/>
        </w:rPr>
        <w:t>supplemental adjustment factors</w:t>
      </w:r>
      <w:r w:rsidRPr="007067EB">
        <w:rPr>
          <w:rFonts w:ascii="Arial Hebrew" w:hAnsi="Arial Hebrew" w:cs="Arial Hebrew" w:hint="cs"/>
          <w:sz w:val="20"/>
          <w:szCs w:val="20"/>
        </w:rPr>
        <w:t xml:space="preserve"> (such as liquidity positions or significant event risk) to determine the final sovereign credit rating. Unlike Moody’s, S&amp;P does not prescribe specific external indicators for sovereign assessments, although explanatory documentation implies that similar sources (e.g. World Bank WGIs) are likely to be referenced. </w:t>
      </w:r>
    </w:p>
    <w:p w14:paraId="17A43876" w14:textId="77777777" w:rsidR="00F23319" w:rsidRPr="007067EB" w:rsidRDefault="00F23319" w:rsidP="00F23319">
      <w:pPr>
        <w:spacing w:before="240" w:after="0" w:line="360" w:lineRule="auto"/>
        <w:ind w:firstLine="360"/>
        <w:jc w:val="both"/>
        <w:rPr>
          <w:rFonts w:ascii="Arial Hebrew" w:hAnsi="Arial Hebrew" w:cs="Arial Hebrew" w:hint="cs"/>
          <w:sz w:val="20"/>
          <w:szCs w:val="20"/>
        </w:rPr>
      </w:pPr>
      <w:r w:rsidRPr="007067EB">
        <w:rPr>
          <w:rFonts w:ascii="Arial Hebrew" w:hAnsi="Arial Hebrew" w:cs="Arial Hebrew" w:hint="cs"/>
          <w:sz w:val="20"/>
          <w:szCs w:val="20"/>
        </w:rPr>
        <w:lastRenderedPageBreak/>
        <w:t xml:space="preserve">S&amp;P’s international sub-sovereign (LRG) assessments are based on two </w:t>
      </w:r>
      <w:r>
        <w:rPr>
          <w:rFonts w:ascii="Cambria" w:hAnsi="Cambria" w:cs="Arial Hebrew"/>
          <w:sz w:val="20"/>
          <w:szCs w:val="20"/>
        </w:rPr>
        <w:t>primary assessments</w:t>
      </w:r>
      <w:r w:rsidRPr="007067EB">
        <w:rPr>
          <w:rFonts w:ascii="Arial Hebrew" w:hAnsi="Arial Hebrew" w:cs="Arial Hebrew" w:hint="cs"/>
          <w:sz w:val="20"/>
          <w:szCs w:val="20"/>
        </w:rPr>
        <w:t>:</w:t>
      </w:r>
    </w:p>
    <w:p w14:paraId="1216BC25" w14:textId="77777777" w:rsidR="00F23319" w:rsidRPr="007067EB" w:rsidRDefault="00F23319" w:rsidP="00F23319">
      <w:pPr>
        <w:pStyle w:val="ListParagraph"/>
        <w:numPr>
          <w:ilvl w:val="0"/>
          <w:numId w:val="16"/>
        </w:numPr>
        <w:spacing w:after="0" w:line="360" w:lineRule="auto"/>
        <w:jc w:val="both"/>
        <w:rPr>
          <w:rFonts w:ascii="Arial Hebrew" w:hAnsi="Arial Hebrew" w:cs="Arial Hebrew" w:hint="cs"/>
          <w:sz w:val="20"/>
          <w:szCs w:val="20"/>
        </w:rPr>
      </w:pPr>
      <w:r w:rsidRPr="007067EB">
        <w:rPr>
          <w:rFonts w:ascii="Arial Hebrew" w:hAnsi="Arial Hebrew" w:cs="Arial Hebrew" w:hint="cs"/>
          <w:b/>
          <w:bCs/>
          <w:sz w:val="20"/>
          <w:szCs w:val="20"/>
        </w:rPr>
        <w:t>Institutional Framework Assessment:</w:t>
      </w:r>
      <w:r w:rsidRPr="007067EB">
        <w:rPr>
          <w:rFonts w:ascii="Arial Hebrew" w:hAnsi="Arial Hebrew" w:cs="Arial Hebrew" w:hint="cs"/>
          <w:sz w:val="20"/>
          <w:szCs w:val="20"/>
        </w:rPr>
        <w:t xml:space="preserve"> a composite of three factors:</w:t>
      </w:r>
    </w:p>
    <w:p w14:paraId="0D3C908A" w14:textId="77777777" w:rsidR="00F23319" w:rsidRPr="007067EB" w:rsidRDefault="00F23319" w:rsidP="00F23319">
      <w:pPr>
        <w:pStyle w:val="ListParagraph"/>
        <w:numPr>
          <w:ilvl w:val="1"/>
          <w:numId w:val="45"/>
        </w:numPr>
        <w:spacing w:before="240" w:after="0" w:line="360" w:lineRule="auto"/>
        <w:jc w:val="both"/>
        <w:rPr>
          <w:rFonts w:ascii="Arial Hebrew" w:hAnsi="Arial Hebrew" w:cs="Arial Hebrew" w:hint="cs"/>
          <w:i/>
          <w:iCs/>
          <w:sz w:val="20"/>
          <w:szCs w:val="20"/>
        </w:rPr>
      </w:pPr>
      <w:r w:rsidRPr="007067EB">
        <w:rPr>
          <w:rFonts w:ascii="Arial Hebrew" w:hAnsi="Arial Hebrew" w:cs="Arial Hebrew" w:hint="cs"/>
          <w:b/>
          <w:bCs/>
          <w:i/>
          <w:iCs/>
          <w:sz w:val="20"/>
          <w:szCs w:val="20"/>
        </w:rPr>
        <w:t>Predictability (25%):</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 xml:space="preserve">stability and predictability of institutional framework; frequency and impact of changes in laws, regulations, and intergovernmental fiscal arrangements. </w:t>
      </w:r>
    </w:p>
    <w:p w14:paraId="6781C157" w14:textId="77777777" w:rsidR="00F23319" w:rsidRPr="007067EB" w:rsidRDefault="00F23319" w:rsidP="00F23319">
      <w:pPr>
        <w:pStyle w:val="ListParagraph"/>
        <w:numPr>
          <w:ilvl w:val="1"/>
          <w:numId w:val="45"/>
        </w:numPr>
        <w:spacing w:before="240" w:after="0" w:line="360" w:lineRule="auto"/>
        <w:jc w:val="both"/>
        <w:rPr>
          <w:rFonts w:ascii="Arial Hebrew" w:hAnsi="Arial Hebrew" w:cs="Arial Hebrew" w:hint="cs"/>
          <w:i/>
          <w:iCs/>
          <w:sz w:val="20"/>
          <w:szCs w:val="20"/>
        </w:rPr>
      </w:pPr>
      <w:r w:rsidRPr="007067EB">
        <w:rPr>
          <w:rFonts w:ascii="Arial Hebrew" w:hAnsi="Arial Hebrew" w:cs="Arial Hebrew" w:hint="cs"/>
          <w:b/>
          <w:bCs/>
          <w:i/>
          <w:iCs/>
          <w:sz w:val="20"/>
          <w:szCs w:val="20"/>
        </w:rPr>
        <w:t>Revenue and Expenditure Balance (50%):</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adequacy of revenue sources to cover mandated services, flexibility to adjust revenues and expenditures, and overall fiscal discipline.</w:t>
      </w:r>
    </w:p>
    <w:p w14:paraId="77E3242F" w14:textId="77777777" w:rsidR="00F23319" w:rsidRPr="007067EB" w:rsidRDefault="00F23319" w:rsidP="00F23319">
      <w:pPr>
        <w:pStyle w:val="ListParagraph"/>
        <w:numPr>
          <w:ilvl w:val="1"/>
          <w:numId w:val="45"/>
        </w:numPr>
        <w:spacing w:before="240" w:after="0" w:line="360" w:lineRule="auto"/>
        <w:jc w:val="both"/>
        <w:rPr>
          <w:rFonts w:ascii="Arial Hebrew" w:hAnsi="Arial Hebrew" w:cs="Arial Hebrew" w:hint="cs"/>
          <w:i/>
          <w:iCs/>
          <w:sz w:val="20"/>
          <w:szCs w:val="20"/>
        </w:rPr>
      </w:pPr>
      <w:r w:rsidRPr="007067EB">
        <w:rPr>
          <w:rFonts w:ascii="Arial Hebrew" w:hAnsi="Arial Hebrew" w:cs="Arial Hebrew" w:hint="cs"/>
          <w:b/>
          <w:bCs/>
          <w:i/>
          <w:iCs/>
          <w:sz w:val="20"/>
          <w:szCs w:val="20"/>
        </w:rPr>
        <w:t>Transparency and Accountability (25%):</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quality of financial statements, level of disclosure, effectiveness of oversight mechanisms.</w:t>
      </w:r>
    </w:p>
    <w:p w14:paraId="5FF00965" w14:textId="77777777" w:rsidR="00F23319" w:rsidRPr="007067EB" w:rsidRDefault="00F23319" w:rsidP="00F23319">
      <w:pPr>
        <w:pStyle w:val="ListParagraph"/>
        <w:numPr>
          <w:ilvl w:val="0"/>
          <w:numId w:val="16"/>
        </w:numPr>
        <w:spacing w:after="0" w:line="360" w:lineRule="auto"/>
        <w:jc w:val="both"/>
        <w:rPr>
          <w:rFonts w:ascii="Arial Hebrew" w:hAnsi="Arial Hebrew" w:cs="Arial Hebrew" w:hint="cs"/>
          <w:sz w:val="20"/>
          <w:szCs w:val="20"/>
        </w:rPr>
      </w:pPr>
      <w:bookmarkStart w:id="0" w:name="OLE_LINK1"/>
      <w:bookmarkStart w:id="1" w:name="OLE_LINK2"/>
      <w:r w:rsidRPr="007067EB">
        <w:rPr>
          <w:rFonts w:ascii="Arial Hebrew" w:hAnsi="Arial Hebrew" w:cs="Arial Hebrew" w:hint="cs"/>
          <w:b/>
          <w:bCs/>
          <w:sz w:val="20"/>
          <w:szCs w:val="20"/>
        </w:rPr>
        <w:t xml:space="preserve">Individual Credit Profile Assessment: </w:t>
      </w:r>
      <w:r w:rsidRPr="007067EB">
        <w:rPr>
          <w:rFonts w:ascii="Arial Hebrew" w:hAnsi="Arial Hebrew" w:cs="Arial Hebrew" w:hint="cs"/>
          <w:sz w:val="20"/>
          <w:szCs w:val="20"/>
        </w:rPr>
        <w:t xml:space="preserve">a composite of five </w:t>
      </w:r>
      <w:proofErr w:type="gramStart"/>
      <w:r w:rsidRPr="007067EB">
        <w:rPr>
          <w:rFonts w:ascii="Arial Hebrew" w:hAnsi="Arial Hebrew" w:cs="Arial Hebrew" w:hint="cs"/>
          <w:sz w:val="20"/>
          <w:szCs w:val="20"/>
        </w:rPr>
        <w:t>equally-weighted</w:t>
      </w:r>
      <w:proofErr w:type="gramEnd"/>
      <w:r w:rsidRPr="007067EB">
        <w:rPr>
          <w:rFonts w:ascii="Arial Hebrew" w:hAnsi="Arial Hebrew" w:cs="Arial Hebrew" w:hint="cs"/>
          <w:sz w:val="20"/>
          <w:szCs w:val="20"/>
        </w:rPr>
        <w:t xml:space="preserve"> factors</w:t>
      </w:r>
      <w:bookmarkEnd w:id="0"/>
      <w:bookmarkEnd w:id="1"/>
      <w:r w:rsidRPr="007067EB">
        <w:rPr>
          <w:rFonts w:ascii="Arial Hebrew" w:hAnsi="Arial Hebrew" w:cs="Arial Hebrew" w:hint="cs"/>
          <w:sz w:val="20"/>
          <w:szCs w:val="20"/>
        </w:rPr>
        <w:t xml:space="preserve">: </w:t>
      </w:r>
    </w:p>
    <w:p w14:paraId="16A55E4E" w14:textId="77777777" w:rsidR="00F23319" w:rsidRPr="007067EB" w:rsidRDefault="00F23319" w:rsidP="00F23319">
      <w:pPr>
        <w:pStyle w:val="ListParagraph"/>
        <w:numPr>
          <w:ilvl w:val="1"/>
          <w:numId w:val="46"/>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Economy:</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socioeconomic profile, economic diversification, and growth prospects.</w:t>
      </w:r>
    </w:p>
    <w:p w14:paraId="611F9E6A" w14:textId="77777777" w:rsidR="00F23319" w:rsidRPr="007067EB" w:rsidRDefault="00F23319" w:rsidP="00F23319">
      <w:pPr>
        <w:pStyle w:val="ListParagraph"/>
        <w:numPr>
          <w:ilvl w:val="1"/>
          <w:numId w:val="46"/>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Financial Management:</w:t>
      </w:r>
      <w:r w:rsidRPr="007067EB">
        <w:rPr>
          <w:rFonts w:ascii="Arial Hebrew" w:hAnsi="Arial Hebrew" w:cs="Arial Hebrew" w:hint="cs"/>
          <w:b/>
          <w:bCs/>
          <w:sz w:val="20"/>
          <w:szCs w:val="20"/>
        </w:rPr>
        <w:t xml:space="preserve"> </w:t>
      </w:r>
      <w:r w:rsidRPr="007067EB">
        <w:rPr>
          <w:rFonts w:ascii="Arial Hebrew" w:hAnsi="Arial Hebrew" w:cs="Arial Hebrew" w:hint="cs"/>
          <w:sz w:val="20"/>
          <w:szCs w:val="20"/>
        </w:rPr>
        <w:t>managerial quality and political impact on willingness and ability to service debt.</w:t>
      </w:r>
    </w:p>
    <w:p w14:paraId="150D3EAC" w14:textId="77777777" w:rsidR="00F23319" w:rsidRPr="007067EB" w:rsidRDefault="00F23319" w:rsidP="00F23319">
      <w:pPr>
        <w:pStyle w:val="ListParagraph"/>
        <w:numPr>
          <w:ilvl w:val="1"/>
          <w:numId w:val="46"/>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Budgetary Performance:</w:t>
      </w:r>
      <w:r w:rsidRPr="007067EB">
        <w:rPr>
          <w:rFonts w:ascii="Arial Hebrew" w:hAnsi="Arial Hebrew" w:cs="Arial Hebrew" w:hint="cs"/>
          <w:b/>
          <w:bCs/>
          <w:sz w:val="20"/>
          <w:szCs w:val="20"/>
        </w:rPr>
        <w:t xml:space="preserve"> </w:t>
      </w:r>
      <w:r w:rsidRPr="007067EB">
        <w:rPr>
          <w:rFonts w:ascii="Arial Hebrew" w:hAnsi="Arial Hebrew" w:cs="Arial Hebrew" w:hint="cs"/>
          <w:sz w:val="20"/>
          <w:szCs w:val="20"/>
        </w:rPr>
        <w:t xml:space="preserve">level and volatility of cash flows for debt service. </w:t>
      </w:r>
    </w:p>
    <w:p w14:paraId="382A111F" w14:textId="77777777" w:rsidR="00F23319" w:rsidRPr="007067EB" w:rsidRDefault="00F23319" w:rsidP="00F23319">
      <w:pPr>
        <w:pStyle w:val="ListParagraph"/>
        <w:numPr>
          <w:ilvl w:val="1"/>
          <w:numId w:val="46"/>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 xml:space="preserve">Liquidity: </w:t>
      </w:r>
      <w:r w:rsidRPr="007067EB">
        <w:rPr>
          <w:rFonts w:ascii="Arial Hebrew" w:hAnsi="Arial Hebrew" w:cs="Arial Hebrew" w:hint="cs"/>
          <w:sz w:val="20"/>
          <w:szCs w:val="20"/>
        </w:rPr>
        <w:t>adequacy of internal and external liquidity sources relative to servicing needs.</w:t>
      </w:r>
    </w:p>
    <w:p w14:paraId="40DF946C" w14:textId="77777777" w:rsidR="00F23319" w:rsidRPr="007067EB" w:rsidRDefault="00F23319" w:rsidP="00F23319">
      <w:pPr>
        <w:pStyle w:val="ListParagraph"/>
        <w:numPr>
          <w:ilvl w:val="1"/>
          <w:numId w:val="46"/>
        </w:numPr>
        <w:spacing w:after="0" w:line="360" w:lineRule="auto"/>
        <w:jc w:val="both"/>
        <w:rPr>
          <w:rFonts w:ascii="Arial Hebrew" w:hAnsi="Arial Hebrew" w:cs="Arial Hebrew" w:hint="cs"/>
          <w:sz w:val="20"/>
          <w:szCs w:val="20"/>
        </w:rPr>
      </w:pPr>
      <w:r w:rsidRPr="007067EB">
        <w:rPr>
          <w:rFonts w:ascii="Arial Hebrew" w:hAnsi="Arial Hebrew" w:cs="Arial Hebrew" w:hint="cs"/>
          <w:b/>
          <w:bCs/>
          <w:i/>
          <w:iCs/>
          <w:sz w:val="20"/>
          <w:szCs w:val="20"/>
        </w:rPr>
        <w:t>Debt burden:</w:t>
      </w:r>
      <w:r w:rsidRPr="007067EB">
        <w:rPr>
          <w:rFonts w:ascii="Arial Hebrew" w:hAnsi="Arial Hebrew" w:cs="Arial Hebrew" w:hint="cs"/>
          <w:sz w:val="20"/>
          <w:szCs w:val="20"/>
        </w:rPr>
        <w:t xml:space="preserve"> debt and interest relative to consolidated operating revenues. </w:t>
      </w:r>
    </w:p>
    <w:p w14:paraId="5C4DDBFC" w14:textId="77777777" w:rsidR="00F23319" w:rsidRPr="007067EB" w:rsidRDefault="00F23319" w:rsidP="00F23319">
      <w:pPr>
        <w:spacing w:after="0" w:line="360" w:lineRule="auto"/>
        <w:ind w:firstLine="720"/>
        <w:jc w:val="both"/>
        <w:rPr>
          <w:rFonts w:ascii="Arial Hebrew" w:hAnsi="Arial Hebrew" w:cs="Arial Hebrew" w:hint="cs"/>
          <w:sz w:val="20"/>
          <w:szCs w:val="20"/>
        </w:rPr>
      </w:pPr>
      <w:r w:rsidRPr="007067EB">
        <w:rPr>
          <w:rFonts w:ascii="Arial Hebrew" w:hAnsi="Arial Hebrew" w:cs="Arial Hebrew" w:hint="cs"/>
          <w:sz w:val="20"/>
          <w:szCs w:val="20"/>
        </w:rPr>
        <w:t xml:space="preserve">The </w:t>
      </w:r>
      <w:r w:rsidRPr="007067EB">
        <w:rPr>
          <w:rFonts w:ascii="Arial Hebrew" w:hAnsi="Arial Hebrew" w:cs="Arial Hebrew" w:hint="cs"/>
          <w:b/>
          <w:bCs/>
          <w:sz w:val="20"/>
          <w:szCs w:val="20"/>
        </w:rPr>
        <w:t>Institutional Framework Assessment</w:t>
      </w:r>
      <w:r w:rsidRPr="007067EB">
        <w:rPr>
          <w:rFonts w:ascii="Arial Hebrew" w:hAnsi="Arial Hebrew" w:cs="Arial Hebrew" w:hint="cs"/>
          <w:sz w:val="20"/>
          <w:szCs w:val="20"/>
        </w:rPr>
        <w:t xml:space="preserve"> and </w:t>
      </w:r>
      <w:r w:rsidRPr="007067EB">
        <w:rPr>
          <w:rFonts w:ascii="Arial Hebrew" w:hAnsi="Arial Hebrew" w:cs="Arial Hebrew" w:hint="cs"/>
          <w:b/>
          <w:bCs/>
          <w:sz w:val="20"/>
          <w:szCs w:val="20"/>
        </w:rPr>
        <w:t>Individual Credit Profile Assessment</w:t>
      </w:r>
      <w:r w:rsidRPr="007067EB">
        <w:rPr>
          <w:rFonts w:ascii="Arial Hebrew" w:hAnsi="Arial Hebrew" w:cs="Arial Hebrew" w:hint="cs"/>
          <w:sz w:val="20"/>
          <w:szCs w:val="20"/>
        </w:rPr>
        <w:t xml:space="preserve"> are combined using a risk matrix to create a preliminary rating, which may then be adjusted according to the influence of the sovereign rating and other supplemental factors to arrive at the final credit assessment. </w:t>
      </w:r>
      <w:r>
        <w:rPr>
          <w:rFonts w:ascii="Cambria" w:hAnsi="Cambria" w:cs="Arial Hebrew"/>
          <w:sz w:val="20"/>
          <w:szCs w:val="20"/>
        </w:rPr>
        <w:t>Fo</w:t>
      </w:r>
      <w:r w:rsidRPr="007067EB">
        <w:rPr>
          <w:rFonts w:ascii="Arial Hebrew" w:hAnsi="Arial Hebrew" w:cs="Arial Hebrew" w:hint="cs"/>
          <w:sz w:val="20"/>
          <w:szCs w:val="20"/>
        </w:rPr>
        <w:t xml:space="preserve">r the same reasons </w:t>
      </w:r>
      <w:r>
        <w:rPr>
          <w:rFonts w:ascii="Cambria" w:hAnsi="Cambria" w:cs="Arial Hebrew"/>
          <w:sz w:val="20"/>
          <w:szCs w:val="20"/>
        </w:rPr>
        <w:t>as Moody’s,</w:t>
      </w:r>
      <w:r w:rsidRPr="007067EB">
        <w:rPr>
          <w:rFonts w:ascii="Arial Hebrew" w:hAnsi="Arial Hebrew" w:cs="Arial Hebrew" w:hint="cs"/>
          <w:sz w:val="20"/>
          <w:szCs w:val="20"/>
        </w:rPr>
        <w:t xml:space="preserve"> S&amp;</w:t>
      </w:r>
      <w:proofErr w:type="gramStart"/>
      <w:r w:rsidRPr="007067EB">
        <w:rPr>
          <w:rFonts w:ascii="Arial Hebrew" w:hAnsi="Arial Hebrew" w:cs="Arial Hebrew" w:hint="cs"/>
          <w:sz w:val="20"/>
          <w:szCs w:val="20"/>
        </w:rPr>
        <w:t>P’s</w:t>
      </w:r>
      <w:proofErr w:type="gramEnd"/>
      <w:r w:rsidRPr="007067EB">
        <w:rPr>
          <w:rFonts w:ascii="Arial Hebrew" w:hAnsi="Arial Hebrew" w:cs="Arial Hebrew" w:hint="cs"/>
          <w:sz w:val="20"/>
          <w:szCs w:val="20"/>
        </w:rPr>
        <w:t xml:space="preserve"> distinguishes the </w:t>
      </w:r>
      <w:r>
        <w:rPr>
          <w:rFonts w:ascii="Cambria" w:hAnsi="Cambria" w:cs="Arial Hebrew"/>
          <w:sz w:val="20"/>
          <w:szCs w:val="20"/>
        </w:rPr>
        <w:t xml:space="preserve">assessment </w:t>
      </w:r>
      <w:r w:rsidRPr="007067EB">
        <w:rPr>
          <w:rFonts w:ascii="Arial Hebrew" w:hAnsi="Arial Hebrew" w:cs="Arial Hebrew" w:hint="cs"/>
          <w:sz w:val="20"/>
          <w:szCs w:val="20"/>
        </w:rPr>
        <w:t>methodology for sub-sovereign</w:t>
      </w:r>
      <w:r>
        <w:rPr>
          <w:rFonts w:ascii="Cambria" w:hAnsi="Cambria" w:cs="Arial Hebrew"/>
          <w:sz w:val="20"/>
          <w:szCs w:val="20"/>
        </w:rPr>
        <w:t>s</w:t>
      </w:r>
      <w:r w:rsidRPr="007067EB">
        <w:rPr>
          <w:rFonts w:ascii="Arial Hebrew" w:hAnsi="Arial Hebrew" w:cs="Arial Hebrew" w:hint="cs"/>
          <w:sz w:val="20"/>
          <w:szCs w:val="20"/>
        </w:rPr>
        <w:t xml:space="preserve"> inside the United States. The U.S. framework is similar but removes the influence of the sovereign rating, while employing a slightly </w:t>
      </w:r>
      <w:r>
        <w:rPr>
          <w:rFonts w:ascii="Cambria" w:hAnsi="Cambria" w:cs="Arial Hebrew"/>
          <w:sz w:val="20"/>
          <w:szCs w:val="20"/>
        </w:rPr>
        <w:t>modified</w:t>
      </w:r>
      <w:r w:rsidRPr="007067EB">
        <w:rPr>
          <w:rFonts w:ascii="Arial Hebrew" w:hAnsi="Arial Hebrew" w:cs="Arial Hebrew" w:hint="cs"/>
          <w:sz w:val="20"/>
          <w:szCs w:val="20"/>
        </w:rPr>
        <w:t xml:space="preserve"> set of factors and quantitative inputs for the </w:t>
      </w:r>
      <w:r w:rsidRPr="007067EB">
        <w:rPr>
          <w:rFonts w:ascii="Arial Hebrew" w:hAnsi="Arial Hebrew" w:cs="Arial Hebrew" w:hint="cs"/>
          <w:b/>
          <w:bCs/>
          <w:sz w:val="20"/>
          <w:szCs w:val="20"/>
        </w:rPr>
        <w:t>Individual Credit Profile</w:t>
      </w:r>
      <w:r w:rsidRPr="007067EB">
        <w:rPr>
          <w:rFonts w:ascii="Arial Hebrew" w:hAnsi="Arial Hebrew" w:cs="Arial Hebrew" w:hint="cs"/>
          <w:sz w:val="20"/>
          <w:szCs w:val="20"/>
        </w:rPr>
        <w:t>.</w:t>
      </w:r>
      <w:r w:rsidRPr="007067EB">
        <w:rPr>
          <w:rStyle w:val="FootnoteReference"/>
          <w:rFonts w:ascii="Arial Hebrew" w:hAnsi="Arial Hebrew" w:cs="Arial Hebrew" w:hint="cs"/>
          <w:sz w:val="20"/>
          <w:szCs w:val="20"/>
        </w:rPr>
        <w:footnoteReference w:id="6"/>
      </w:r>
      <w:r w:rsidRPr="007067EB">
        <w:rPr>
          <w:rFonts w:ascii="Arial Hebrew" w:hAnsi="Arial Hebrew" w:cs="Arial Hebrew" w:hint="cs"/>
          <w:sz w:val="20"/>
          <w:szCs w:val="20"/>
        </w:rPr>
        <w:t xml:space="preserve"> </w:t>
      </w:r>
    </w:p>
    <w:p w14:paraId="31FD29D7" w14:textId="77777777" w:rsidR="00F23319" w:rsidRPr="007067EB" w:rsidRDefault="00F23319" w:rsidP="00F23319">
      <w:pPr>
        <w:pStyle w:val="Heading2"/>
        <w:rPr>
          <w:rFonts w:ascii="Arial Hebrew" w:hAnsi="Arial Hebrew" w:cs="Arial Hebrew" w:hint="cs"/>
          <w:sz w:val="22"/>
          <w:szCs w:val="22"/>
        </w:rPr>
      </w:pPr>
      <w:r w:rsidRPr="007067EB">
        <w:rPr>
          <w:rFonts w:ascii="Arial Hebrew" w:hAnsi="Arial Hebrew" w:cs="Arial Hebrew" w:hint="cs"/>
          <w:sz w:val="22"/>
          <w:szCs w:val="22"/>
        </w:rPr>
        <w:t>Fitch</w:t>
      </w:r>
    </w:p>
    <w:p w14:paraId="583AE808" w14:textId="77777777" w:rsidR="00F23319" w:rsidRPr="007067EB" w:rsidRDefault="00F23319" w:rsidP="00F23319">
      <w:pPr>
        <w:spacing w:before="240" w:after="0" w:line="360" w:lineRule="auto"/>
        <w:ind w:firstLine="720"/>
        <w:rPr>
          <w:rFonts w:ascii="Arial Hebrew" w:hAnsi="Arial Hebrew" w:cs="Arial Hebrew" w:hint="cs"/>
          <w:sz w:val="20"/>
          <w:szCs w:val="20"/>
        </w:rPr>
      </w:pPr>
      <w:r w:rsidRPr="007067EB">
        <w:rPr>
          <w:rFonts w:ascii="Arial Hebrew" w:hAnsi="Arial Hebrew" w:cs="Arial Hebrew" w:hint="cs"/>
          <w:sz w:val="20"/>
          <w:szCs w:val="20"/>
        </w:rPr>
        <w:t xml:space="preserve">Fitch’s framework is based on a quantitative </w:t>
      </w:r>
      <w:r w:rsidRPr="007067EB">
        <w:rPr>
          <w:rFonts w:ascii="Arial Hebrew" w:hAnsi="Arial Hebrew" w:cs="Arial Hebrew" w:hint="cs"/>
          <w:b/>
          <w:bCs/>
          <w:sz w:val="20"/>
          <w:szCs w:val="20"/>
        </w:rPr>
        <w:t xml:space="preserve">Sovereign Rating Model </w:t>
      </w:r>
      <w:r w:rsidRPr="007067EB">
        <w:rPr>
          <w:rFonts w:ascii="Arial Hebrew" w:hAnsi="Arial Hebrew" w:cs="Arial Hebrew" w:hint="cs"/>
          <w:sz w:val="20"/>
          <w:szCs w:val="20"/>
        </w:rPr>
        <w:t>that incorporates eighteen macro-fiscal and external features. These features are organised into four categories and combined using variable weights:</w:t>
      </w:r>
      <w:r w:rsidRPr="007067EB">
        <w:rPr>
          <w:rStyle w:val="FootnoteReference"/>
          <w:rFonts w:ascii="Arial Hebrew" w:hAnsi="Arial Hebrew" w:cs="Arial Hebrew" w:hint="cs"/>
          <w:sz w:val="20"/>
          <w:szCs w:val="20"/>
        </w:rPr>
        <w:footnoteReference w:id="7"/>
      </w:r>
      <w:r w:rsidRPr="007067EB">
        <w:rPr>
          <w:rFonts w:ascii="Arial Hebrew" w:hAnsi="Arial Hebrew" w:cs="Arial Hebrew" w:hint="cs"/>
          <w:sz w:val="20"/>
          <w:szCs w:val="20"/>
        </w:rPr>
        <w:t xml:space="preserve">   </w:t>
      </w:r>
    </w:p>
    <w:p w14:paraId="66E46D52" w14:textId="77777777" w:rsidR="00F23319" w:rsidRPr="007067EB" w:rsidRDefault="00F23319" w:rsidP="00F23319">
      <w:pPr>
        <w:pStyle w:val="ListParagraph"/>
        <w:numPr>
          <w:ilvl w:val="0"/>
          <w:numId w:val="13"/>
        </w:numPr>
        <w:spacing w:after="240" w:line="360" w:lineRule="auto"/>
        <w:rPr>
          <w:rFonts w:ascii="Arial Hebrew" w:hAnsi="Arial Hebrew" w:cs="Arial Hebrew" w:hint="cs"/>
          <w:i/>
          <w:iCs/>
          <w:sz w:val="20"/>
          <w:szCs w:val="20"/>
        </w:rPr>
      </w:pPr>
      <w:r w:rsidRPr="007067EB">
        <w:rPr>
          <w:rFonts w:ascii="Arial Hebrew" w:hAnsi="Arial Hebrew" w:cs="Arial Hebrew" w:hint="cs"/>
          <w:b/>
          <w:bCs/>
          <w:sz w:val="20"/>
          <w:szCs w:val="20"/>
        </w:rPr>
        <w:t xml:space="preserve">Structural Features (53.7%): </w:t>
      </w:r>
      <w:r w:rsidRPr="007067EB">
        <w:rPr>
          <w:rFonts w:ascii="Arial Hebrew" w:hAnsi="Arial Hebrew" w:cs="Arial Hebrew" w:hint="cs"/>
          <w:i/>
          <w:iCs/>
          <w:sz w:val="20"/>
          <w:szCs w:val="20"/>
        </w:rPr>
        <w:t>Composite governance indicator (22);</w:t>
      </w:r>
      <w:r w:rsidRPr="007067EB">
        <w:rPr>
          <w:rStyle w:val="FootnoteReference"/>
          <w:rFonts w:ascii="Arial Hebrew" w:hAnsi="Arial Hebrew" w:cs="Arial Hebrew" w:hint="cs"/>
          <w:i/>
          <w:iCs/>
          <w:sz w:val="20"/>
          <w:szCs w:val="20"/>
        </w:rPr>
        <w:footnoteReference w:id="8"/>
      </w:r>
      <w:r w:rsidRPr="007067EB">
        <w:rPr>
          <w:rFonts w:ascii="Arial Hebrew" w:hAnsi="Arial Hebrew" w:cs="Arial Hebrew" w:hint="cs"/>
          <w:i/>
          <w:iCs/>
          <w:sz w:val="20"/>
          <w:szCs w:val="20"/>
        </w:rPr>
        <w:t xml:space="preserve"> GDP per capita (11.8); Share in world GDP (14.3); Default / restructuring record (4.5); Money supply (1.1)</w:t>
      </w:r>
    </w:p>
    <w:p w14:paraId="6442CAA3" w14:textId="77777777" w:rsidR="00F23319" w:rsidRPr="007067EB" w:rsidRDefault="00F23319" w:rsidP="00F23319">
      <w:pPr>
        <w:pStyle w:val="ListParagraph"/>
        <w:numPr>
          <w:ilvl w:val="0"/>
          <w:numId w:val="13"/>
        </w:numPr>
        <w:spacing w:before="240" w:after="240" w:line="360" w:lineRule="auto"/>
        <w:rPr>
          <w:rFonts w:ascii="Arial Hebrew" w:hAnsi="Arial Hebrew" w:cs="Arial Hebrew" w:hint="cs"/>
          <w:i/>
          <w:iCs/>
          <w:sz w:val="20"/>
          <w:szCs w:val="20"/>
        </w:rPr>
      </w:pPr>
      <w:r w:rsidRPr="007067EB">
        <w:rPr>
          <w:rFonts w:ascii="Arial Hebrew" w:hAnsi="Arial Hebrew" w:cs="Arial Hebrew" w:hint="cs"/>
          <w:b/>
          <w:bCs/>
          <w:sz w:val="20"/>
          <w:szCs w:val="20"/>
        </w:rPr>
        <w:t xml:space="preserve">Macroeconomic Performance (9.9%): </w:t>
      </w:r>
      <w:r w:rsidRPr="007067EB">
        <w:rPr>
          <w:rFonts w:ascii="Arial Hebrew" w:hAnsi="Arial Hebrew" w:cs="Arial Hebrew" w:hint="cs"/>
          <w:i/>
          <w:iCs/>
          <w:sz w:val="20"/>
          <w:szCs w:val="20"/>
        </w:rPr>
        <w:t xml:space="preserve">Real GDP growth volatility (4.5); Consumer price inflation (3.6); Real GDP growth (1.8) </w:t>
      </w:r>
    </w:p>
    <w:p w14:paraId="7164C5F9" w14:textId="77777777" w:rsidR="00F23319" w:rsidRPr="007067EB" w:rsidRDefault="00F23319" w:rsidP="00F23319">
      <w:pPr>
        <w:pStyle w:val="ListParagraph"/>
        <w:numPr>
          <w:ilvl w:val="0"/>
          <w:numId w:val="13"/>
        </w:numPr>
        <w:spacing w:before="240" w:after="240" w:line="360" w:lineRule="auto"/>
        <w:rPr>
          <w:rFonts w:ascii="Arial Hebrew" w:hAnsi="Arial Hebrew" w:cs="Arial Hebrew" w:hint="cs"/>
          <w:i/>
          <w:iCs/>
          <w:sz w:val="20"/>
          <w:szCs w:val="20"/>
        </w:rPr>
      </w:pPr>
      <w:r w:rsidRPr="007067EB">
        <w:rPr>
          <w:rFonts w:ascii="Arial Hebrew" w:hAnsi="Arial Hebrew" w:cs="Arial Hebrew" w:hint="cs"/>
          <w:b/>
          <w:bCs/>
          <w:sz w:val="20"/>
          <w:szCs w:val="20"/>
        </w:rPr>
        <w:lastRenderedPageBreak/>
        <w:t xml:space="preserve">Public Finances (18.8%): </w:t>
      </w:r>
      <w:r w:rsidRPr="007067EB">
        <w:rPr>
          <w:rFonts w:ascii="Arial Hebrew" w:hAnsi="Arial Hebrew" w:cs="Arial Hebrew" w:hint="cs"/>
          <w:i/>
          <w:iCs/>
          <w:sz w:val="20"/>
          <w:szCs w:val="20"/>
        </w:rPr>
        <w:t>Gross government debt (9); Interest payments (4.6); Budget balance (2.1); Foreign-currency government debt (3.0)</w:t>
      </w:r>
    </w:p>
    <w:p w14:paraId="420BDDD7" w14:textId="77777777" w:rsidR="00F23319" w:rsidRPr="007067EB" w:rsidRDefault="00F23319" w:rsidP="00F23319">
      <w:pPr>
        <w:pStyle w:val="ListParagraph"/>
        <w:numPr>
          <w:ilvl w:val="0"/>
          <w:numId w:val="13"/>
        </w:numPr>
        <w:spacing w:before="240" w:after="0" w:line="360" w:lineRule="auto"/>
        <w:rPr>
          <w:rFonts w:ascii="Arial Hebrew" w:hAnsi="Arial Hebrew" w:cs="Arial Hebrew" w:hint="cs"/>
          <w:i/>
          <w:iCs/>
          <w:sz w:val="20"/>
          <w:szCs w:val="20"/>
        </w:rPr>
      </w:pPr>
      <w:r w:rsidRPr="007067EB">
        <w:rPr>
          <w:rFonts w:ascii="Arial Hebrew" w:hAnsi="Arial Hebrew" w:cs="Arial Hebrew" w:hint="cs"/>
          <w:b/>
          <w:bCs/>
          <w:sz w:val="20"/>
          <w:szCs w:val="20"/>
        </w:rPr>
        <w:t>External Finances (17.6%):</w:t>
      </w:r>
      <w:r w:rsidRPr="007067EB">
        <w:rPr>
          <w:rFonts w:ascii="Arial Hebrew" w:hAnsi="Arial Hebrew" w:cs="Arial Hebrew" w:hint="cs"/>
          <w:sz w:val="20"/>
          <w:szCs w:val="20"/>
        </w:rPr>
        <w:t xml:space="preserve"> </w:t>
      </w:r>
      <w:r w:rsidRPr="007067EB">
        <w:rPr>
          <w:rFonts w:ascii="Arial Hebrew" w:hAnsi="Arial Hebrew" w:cs="Arial Hebrew" w:hint="cs"/>
          <w:i/>
          <w:iCs/>
          <w:sz w:val="20"/>
          <w:szCs w:val="20"/>
        </w:rPr>
        <w:t>Reserve currency flexibility (7.2); Sovereign net foreign assets (7.5); Commodity dependence (1.1); Official international reserves (1.3); External interest service (0.2); Current account plus net Foreign Direct Investment (0.3)</w:t>
      </w:r>
    </w:p>
    <w:p w14:paraId="5C4A48A9" w14:textId="77777777" w:rsidR="00F23319" w:rsidRPr="007067EB" w:rsidRDefault="00F23319" w:rsidP="00F23319">
      <w:pPr>
        <w:spacing w:after="240" w:line="360" w:lineRule="auto"/>
        <w:rPr>
          <w:rFonts w:ascii="Arial Hebrew" w:hAnsi="Arial Hebrew" w:cs="Arial Hebrew" w:hint="cs"/>
          <w:sz w:val="20"/>
          <w:szCs w:val="20"/>
        </w:rPr>
      </w:pPr>
      <w:r w:rsidRPr="007067EB">
        <w:rPr>
          <w:rFonts w:ascii="Arial Hebrew" w:hAnsi="Arial Hebrew" w:cs="Arial Hebrew" w:hint="cs"/>
          <w:sz w:val="20"/>
          <w:szCs w:val="20"/>
        </w:rPr>
        <w:t xml:space="preserve">The rating generated by the </w:t>
      </w:r>
      <w:r w:rsidRPr="007067EB">
        <w:rPr>
          <w:rFonts w:ascii="Arial Hebrew" w:hAnsi="Arial Hebrew" w:cs="Arial Hebrew" w:hint="cs"/>
          <w:b/>
          <w:bCs/>
          <w:sz w:val="20"/>
          <w:szCs w:val="20"/>
        </w:rPr>
        <w:t>Sovereign Rating Model</w:t>
      </w:r>
      <w:r w:rsidRPr="007067EB">
        <w:rPr>
          <w:rFonts w:ascii="Arial Hebrew" w:hAnsi="Arial Hebrew" w:cs="Arial Hebrew" w:hint="cs"/>
          <w:sz w:val="20"/>
          <w:szCs w:val="20"/>
        </w:rPr>
        <w:t xml:space="preserve"> is then refined by a </w:t>
      </w:r>
      <w:r w:rsidRPr="007067EB">
        <w:rPr>
          <w:rFonts w:ascii="Arial Hebrew" w:hAnsi="Arial Hebrew" w:cs="Arial Hebrew" w:hint="cs"/>
          <w:b/>
          <w:bCs/>
          <w:sz w:val="20"/>
          <w:szCs w:val="20"/>
        </w:rPr>
        <w:t>Qualitative Overlay</w:t>
      </w:r>
      <w:r w:rsidRPr="007067EB">
        <w:rPr>
          <w:rFonts w:ascii="Arial Hebrew" w:hAnsi="Arial Hebrew" w:cs="Arial Hebrew" w:hint="cs"/>
          <w:sz w:val="20"/>
          <w:szCs w:val="20"/>
        </w:rPr>
        <w:t xml:space="preserve"> which allows adjustments to be made based on factors including forward-looking governance, policy credibility, fiscal financing flexibility, event risk, and banking-sector contingent liabilities. Final adjustments to the rating may be made based on </w:t>
      </w:r>
      <w:r w:rsidRPr="007067EB">
        <w:rPr>
          <w:rFonts w:ascii="Arial Hebrew" w:hAnsi="Arial Hebrew" w:cs="Arial Hebrew" w:hint="cs"/>
          <w:b/>
          <w:bCs/>
          <w:sz w:val="20"/>
          <w:szCs w:val="20"/>
        </w:rPr>
        <w:t>Extraordinary Considerations</w:t>
      </w:r>
      <w:r w:rsidRPr="007067EB">
        <w:rPr>
          <w:rFonts w:ascii="Arial Hebrew" w:hAnsi="Arial Hebrew" w:cs="Arial Hebrew" w:hint="cs"/>
          <w:sz w:val="20"/>
          <w:szCs w:val="20"/>
        </w:rPr>
        <w:t>, which include</w:t>
      </w:r>
      <w:r w:rsidRPr="007067EB">
        <w:rPr>
          <w:rFonts w:ascii="Arial Hebrew" w:hAnsi="Arial Hebrew" w:cs="Arial Hebrew" w:hint="cs"/>
          <w:i/>
          <w:iCs/>
          <w:sz w:val="20"/>
          <w:szCs w:val="20"/>
        </w:rPr>
        <w:t xml:space="preserve"> </w:t>
      </w:r>
      <w:r w:rsidRPr="007067EB">
        <w:rPr>
          <w:rFonts w:ascii="Arial Hebrew" w:hAnsi="Arial Hebrew" w:cs="Arial Hebrew" w:hint="cs"/>
          <w:sz w:val="20"/>
          <w:szCs w:val="20"/>
        </w:rPr>
        <w:t>tail-events such as war or banking crises.</w:t>
      </w:r>
    </w:p>
    <w:p w14:paraId="28D26725" w14:textId="77777777" w:rsidR="00F23319" w:rsidRPr="007067EB" w:rsidRDefault="00F23319" w:rsidP="00F23319">
      <w:pPr>
        <w:spacing w:after="0" w:line="360" w:lineRule="auto"/>
        <w:ind w:firstLine="720"/>
        <w:rPr>
          <w:rFonts w:ascii="Arial Hebrew" w:hAnsi="Arial Hebrew" w:cs="Arial Hebrew" w:hint="cs"/>
          <w:sz w:val="20"/>
          <w:szCs w:val="20"/>
        </w:rPr>
      </w:pPr>
      <w:r w:rsidRPr="007067EB">
        <w:rPr>
          <w:rFonts w:ascii="Arial Hebrew" w:hAnsi="Arial Hebrew" w:cs="Arial Hebrew" w:hint="cs"/>
          <w:sz w:val="20"/>
          <w:szCs w:val="20"/>
        </w:rPr>
        <w:t xml:space="preserve">Fitch’s methodology for international Sub-Sovereigns begins with a </w:t>
      </w:r>
      <w:r w:rsidRPr="007067EB">
        <w:rPr>
          <w:rFonts w:ascii="Arial Hebrew" w:hAnsi="Arial Hebrew" w:cs="Arial Hebrew" w:hint="cs"/>
          <w:b/>
          <w:bCs/>
          <w:sz w:val="20"/>
          <w:szCs w:val="20"/>
        </w:rPr>
        <w:t>Standalone Credit Profile</w:t>
      </w:r>
      <w:r w:rsidRPr="007067EB">
        <w:rPr>
          <w:rFonts w:ascii="Arial Hebrew" w:hAnsi="Arial Hebrew" w:cs="Arial Hebrew" w:hint="cs"/>
          <w:sz w:val="20"/>
          <w:szCs w:val="20"/>
        </w:rPr>
        <w:t>, an assessment based on a risk-matrix that combines two elements:</w:t>
      </w:r>
    </w:p>
    <w:p w14:paraId="2ACBB190" w14:textId="77777777" w:rsidR="00F23319" w:rsidRPr="007067EB" w:rsidRDefault="00F23319" w:rsidP="00F23319">
      <w:pPr>
        <w:pStyle w:val="ListParagraph"/>
        <w:numPr>
          <w:ilvl w:val="0"/>
          <w:numId w:val="32"/>
        </w:numPr>
        <w:spacing w:after="240" w:line="360" w:lineRule="auto"/>
        <w:rPr>
          <w:rFonts w:ascii="Arial Hebrew" w:hAnsi="Arial Hebrew" w:cs="Arial Hebrew" w:hint="cs"/>
          <w:sz w:val="20"/>
          <w:szCs w:val="20"/>
        </w:rPr>
      </w:pPr>
      <w:r w:rsidRPr="007067EB">
        <w:rPr>
          <w:rFonts w:ascii="Arial Hebrew" w:hAnsi="Arial Hebrew" w:cs="Arial Hebrew" w:hint="cs"/>
          <w:b/>
          <w:bCs/>
          <w:sz w:val="20"/>
          <w:szCs w:val="20"/>
        </w:rPr>
        <w:t>Risk Profile:</w:t>
      </w:r>
      <w:r w:rsidRPr="007067EB">
        <w:rPr>
          <w:rFonts w:ascii="Arial Hebrew" w:hAnsi="Arial Hebrew" w:cs="Arial Hebrew" w:hint="cs"/>
          <w:sz w:val="20"/>
          <w:szCs w:val="20"/>
        </w:rPr>
        <w:t xml:space="preserve"> a composite of scores for six factors associated with risks to a borrower’s capacity to meet financial commitments; </w:t>
      </w:r>
      <w:r w:rsidRPr="007067EB">
        <w:rPr>
          <w:rFonts w:ascii="Arial Hebrew" w:hAnsi="Arial Hebrew" w:cs="Arial Hebrew" w:hint="cs"/>
          <w:i/>
          <w:iCs/>
          <w:sz w:val="20"/>
          <w:szCs w:val="20"/>
        </w:rPr>
        <w:t>Revenue robustness; Revenue adjustability; Expenditure sustainability; Expenditure adjustability; Liabilities-and-liquidity robustness; Liabilities-and-liquidity flexibility.</w:t>
      </w:r>
    </w:p>
    <w:p w14:paraId="6367A0DA" w14:textId="77777777" w:rsidR="00F23319" w:rsidRPr="007067EB" w:rsidRDefault="00F23319" w:rsidP="00F23319">
      <w:pPr>
        <w:pStyle w:val="ListParagraph"/>
        <w:numPr>
          <w:ilvl w:val="0"/>
          <w:numId w:val="32"/>
        </w:numPr>
        <w:spacing w:after="0" w:line="360" w:lineRule="auto"/>
        <w:rPr>
          <w:rFonts w:ascii="Arial Hebrew" w:hAnsi="Arial Hebrew" w:cs="Arial Hebrew" w:hint="cs"/>
          <w:sz w:val="20"/>
          <w:szCs w:val="20"/>
        </w:rPr>
      </w:pPr>
      <w:r w:rsidRPr="007067EB">
        <w:rPr>
          <w:rFonts w:ascii="Arial Hebrew" w:hAnsi="Arial Hebrew" w:cs="Arial Hebrew" w:hint="cs"/>
          <w:b/>
          <w:bCs/>
          <w:sz w:val="20"/>
          <w:szCs w:val="20"/>
        </w:rPr>
        <w:t>Financial Profile</w:t>
      </w:r>
      <w:r w:rsidRPr="007067EB">
        <w:rPr>
          <w:rFonts w:ascii="Arial Hebrew" w:hAnsi="Arial Hebrew" w:cs="Arial Hebrew" w:hint="cs"/>
          <w:sz w:val="20"/>
          <w:szCs w:val="20"/>
        </w:rPr>
        <w:t xml:space="preserve">: an evaluation of debts relative to funding resources, with different ratios and formulae used depending on the nature of government revenue structures (either municipalities or broad-taxing regions and provinces).   </w:t>
      </w:r>
    </w:p>
    <w:p w14:paraId="1992A63C" w14:textId="77777777" w:rsidR="00F23319" w:rsidRDefault="00F23319" w:rsidP="00F23319">
      <w:pPr>
        <w:spacing w:after="0" w:line="360" w:lineRule="auto"/>
        <w:rPr>
          <w:rFonts w:ascii="Arial Hebrew" w:hAnsi="Arial Hebrew" w:cs="Arial Hebrew"/>
          <w:sz w:val="20"/>
          <w:szCs w:val="20"/>
        </w:rPr>
      </w:pPr>
      <w:r w:rsidRPr="007067EB">
        <w:rPr>
          <w:rFonts w:ascii="Arial Hebrew" w:hAnsi="Arial Hebrew" w:cs="Arial Hebrew" w:hint="cs"/>
          <w:sz w:val="20"/>
          <w:szCs w:val="20"/>
        </w:rPr>
        <w:t xml:space="preserve">The </w:t>
      </w:r>
      <w:r w:rsidRPr="007067EB">
        <w:rPr>
          <w:rFonts w:ascii="Arial Hebrew" w:hAnsi="Arial Hebrew" w:cs="Arial Hebrew" w:hint="cs"/>
          <w:b/>
          <w:bCs/>
          <w:sz w:val="20"/>
          <w:szCs w:val="20"/>
        </w:rPr>
        <w:t>Standalone Credit Profile</w:t>
      </w:r>
      <w:r w:rsidRPr="007067EB">
        <w:rPr>
          <w:rFonts w:ascii="Arial Hebrew" w:hAnsi="Arial Hebrew" w:cs="Arial Hebrew" w:hint="cs"/>
          <w:sz w:val="20"/>
          <w:szCs w:val="20"/>
        </w:rPr>
        <w:t xml:space="preserve"> may then be adjusted according to the sovereign rating, estimations of extraordinary support, and other considerations. </w:t>
      </w:r>
    </w:p>
    <w:p w14:paraId="2A0019E0" w14:textId="77777777" w:rsidR="00F23319" w:rsidRPr="007067EB" w:rsidRDefault="00F23319" w:rsidP="00F23319">
      <w:pPr>
        <w:spacing w:after="0" w:line="360" w:lineRule="auto"/>
        <w:ind w:firstLine="360"/>
        <w:rPr>
          <w:rFonts w:ascii="Arial Hebrew" w:hAnsi="Arial Hebrew" w:cs="Arial Hebrew" w:hint="cs"/>
          <w:sz w:val="20"/>
          <w:szCs w:val="20"/>
        </w:rPr>
      </w:pPr>
      <w:r w:rsidRPr="007067EB">
        <w:rPr>
          <w:rFonts w:ascii="Arial Hebrew" w:hAnsi="Arial Hebrew" w:cs="Arial Hebrew" w:hint="cs"/>
          <w:sz w:val="20"/>
          <w:szCs w:val="20"/>
        </w:rPr>
        <w:t>Like the other two major agencies, Fitch uses alternative methodolog</w:t>
      </w:r>
      <w:r>
        <w:rPr>
          <w:rFonts w:ascii="Cambria" w:hAnsi="Cambria" w:cs="Arial Hebrew"/>
          <w:sz w:val="20"/>
          <w:szCs w:val="20"/>
        </w:rPr>
        <w:t>ies</w:t>
      </w:r>
      <w:r w:rsidRPr="007067EB">
        <w:rPr>
          <w:rFonts w:ascii="Arial Hebrew" w:hAnsi="Arial Hebrew" w:cs="Arial Hebrew" w:hint="cs"/>
          <w:sz w:val="20"/>
          <w:szCs w:val="20"/>
        </w:rPr>
        <w:t xml:space="preserve"> for sub-sovereign assessments inside the United States. </w:t>
      </w:r>
      <w:r>
        <w:rPr>
          <w:rFonts w:ascii="Cambria" w:hAnsi="Cambria" w:cs="Arial Hebrew"/>
          <w:sz w:val="20"/>
          <w:szCs w:val="20"/>
        </w:rPr>
        <w:t>Fitch assessments of</w:t>
      </w:r>
      <w:r w:rsidRPr="007067EB">
        <w:rPr>
          <w:rFonts w:ascii="Arial Hebrew" w:hAnsi="Arial Hebrew" w:cs="Arial Hebrew" w:hint="cs"/>
          <w:sz w:val="20"/>
          <w:szCs w:val="20"/>
        </w:rPr>
        <w:t xml:space="preserve"> U.S. RLGs d</w:t>
      </w:r>
      <w:r>
        <w:rPr>
          <w:rFonts w:ascii="Cambria" w:hAnsi="Cambria" w:cs="Arial Hebrew"/>
          <w:sz w:val="20"/>
          <w:szCs w:val="20"/>
        </w:rPr>
        <w:t xml:space="preserve">o </w:t>
      </w:r>
      <w:r w:rsidRPr="007067EB">
        <w:rPr>
          <w:rFonts w:ascii="Arial Hebrew" w:hAnsi="Arial Hebrew" w:cs="Arial Hebrew" w:hint="cs"/>
          <w:sz w:val="20"/>
          <w:szCs w:val="20"/>
        </w:rPr>
        <w:t>not use a risk matrix</w:t>
      </w:r>
      <w:r>
        <w:rPr>
          <w:rFonts w:ascii="Arial Hebrew" w:hAnsi="Arial Hebrew" w:cs="Arial Hebrew"/>
          <w:sz w:val="20"/>
          <w:szCs w:val="20"/>
        </w:rPr>
        <w:t>.</w:t>
      </w:r>
      <w:r w:rsidRPr="007067EB">
        <w:rPr>
          <w:rFonts w:ascii="Arial Hebrew" w:hAnsi="Arial Hebrew" w:cs="Arial Hebrew" w:hint="cs"/>
          <w:sz w:val="20"/>
          <w:szCs w:val="20"/>
        </w:rPr>
        <w:t xml:space="preserve"> </w:t>
      </w:r>
      <w:r>
        <w:rPr>
          <w:rFonts w:ascii="Cambria" w:hAnsi="Cambria" w:cs="Arial Hebrew"/>
          <w:sz w:val="20"/>
          <w:szCs w:val="20"/>
        </w:rPr>
        <w:t>U.S. state government assessments are</w:t>
      </w:r>
      <w:r w:rsidRPr="007067EB">
        <w:rPr>
          <w:rFonts w:ascii="Arial Hebrew" w:hAnsi="Arial Hebrew" w:cs="Arial Hebrew" w:hint="cs"/>
          <w:sz w:val="20"/>
          <w:szCs w:val="20"/>
        </w:rPr>
        <w:t xml:space="preserve"> based on four “key rating drivers”:</w:t>
      </w:r>
    </w:p>
    <w:p w14:paraId="60ED6430" w14:textId="77777777" w:rsidR="00F23319" w:rsidRPr="007067EB" w:rsidRDefault="00F23319" w:rsidP="00F23319">
      <w:pPr>
        <w:pStyle w:val="ListParagraph"/>
        <w:numPr>
          <w:ilvl w:val="0"/>
          <w:numId w:val="49"/>
        </w:numPr>
        <w:spacing w:after="240" w:line="360" w:lineRule="auto"/>
        <w:rPr>
          <w:rFonts w:ascii="Arial Hebrew" w:hAnsi="Arial Hebrew" w:cs="Arial Hebrew" w:hint="cs"/>
          <w:sz w:val="20"/>
          <w:szCs w:val="20"/>
        </w:rPr>
      </w:pPr>
      <w:r w:rsidRPr="007067EB">
        <w:rPr>
          <w:rFonts w:ascii="Arial Hebrew" w:hAnsi="Arial Hebrew" w:cs="Arial Hebrew" w:hint="cs"/>
          <w:b/>
          <w:bCs/>
          <w:i/>
          <w:iCs/>
          <w:sz w:val="20"/>
          <w:szCs w:val="20"/>
        </w:rPr>
        <w:t>Revenue Framework:</w:t>
      </w:r>
      <w:r w:rsidRPr="007067EB">
        <w:rPr>
          <w:rFonts w:ascii="Arial Hebrew" w:hAnsi="Arial Hebrew" w:cs="Arial Hebrew" w:hint="cs"/>
          <w:sz w:val="20"/>
          <w:szCs w:val="20"/>
        </w:rPr>
        <w:t xml:space="preserve"> Long-term growth prospects and the ability to raise taxes or fees.</w:t>
      </w:r>
    </w:p>
    <w:p w14:paraId="0E298006" w14:textId="77777777" w:rsidR="00F23319" w:rsidRPr="007067EB" w:rsidRDefault="00F23319" w:rsidP="00F23319">
      <w:pPr>
        <w:pStyle w:val="ListParagraph"/>
        <w:numPr>
          <w:ilvl w:val="0"/>
          <w:numId w:val="49"/>
        </w:numPr>
        <w:spacing w:after="0" w:line="360" w:lineRule="auto"/>
        <w:rPr>
          <w:rFonts w:ascii="Arial Hebrew" w:hAnsi="Arial Hebrew" w:cs="Arial Hebrew" w:hint="cs"/>
          <w:sz w:val="20"/>
          <w:szCs w:val="20"/>
        </w:rPr>
      </w:pPr>
      <w:r w:rsidRPr="007067EB">
        <w:rPr>
          <w:rFonts w:ascii="Arial Hebrew" w:hAnsi="Arial Hebrew" w:cs="Arial Hebrew" w:hint="cs"/>
          <w:b/>
          <w:bCs/>
          <w:i/>
          <w:iCs/>
          <w:sz w:val="20"/>
          <w:szCs w:val="20"/>
        </w:rPr>
        <w:t>Expenditure Framework</w:t>
      </w:r>
      <w:r w:rsidRPr="007067EB">
        <w:rPr>
          <w:rFonts w:ascii="Arial Hebrew" w:hAnsi="Arial Hebrew" w:cs="Arial Hebrew" w:hint="cs"/>
          <w:i/>
          <w:iCs/>
          <w:sz w:val="20"/>
          <w:szCs w:val="20"/>
        </w:rPr>
        <w:t>:</w:t>
      </w:r>
      <w:r w:rsidRPr="007067EB">
        <w:rPr>
          <w:rFonts w:ascii="Arial Hebrew" w:hAnsi="Arial Hebrew" w:cs="Arial Hebrew" w:hint="cs"/>
          <w:sz w:val="20"/>
          <w:szCs w:val="20"/>
        </w:rPr>
        <w:t xml:space="preserve"> Expected baseline spending growth versus revenue trend and the ability to cut or defer costs</w:t>
      </w:r>
      <w:r>
        <w:rPr>
          <w:rFonts w:ascii="Arial Hebrew" w:hAnsi="Arial Hebrew" w:cs="Arial Hebrew"/>
          <w:sz w:val="20"/>
          <w:szCs w:val="20"/>
        </w:rPr>
        <w:t>.</w:t>
      </w:r>
    </w:p>
    <w:p w14:paraId="69211FF2" w14:textId="77777777" w:rsidR="00F23319" w:rsidRDefault="00F23319" w:rsidP="00F23319">
      <w:pPr>
        <w:pStyle w:val="ListParagraph"/>
        <w:numPr>
          <w:ilvl w:val="0"/>
          <w:numId w:val="49"/>
        </w:numPr>
        <w:spacing w:after="0" w:line="360" w:lineRule="auto"/>
        <w:rPr>
          <w:rFonts w:ascii="Arial Hebrew" w:hAnsi="Arial Hebrew" w:cs="Arial Hebrew"/>
          <w:sz w:val="20"/>
          <w:szCs w:val="20"/>
        </w:rPr>
      </w:pPr>
      <w:r w:rsidRPr="00F3296C">
        <w:rPr>
          <w:rFonts w:ascii="Arial Hebrew" w:hAnsi="Arial Hebrew" w:cs="Arial Hebrew"/>
          <w:b/>
          <w:bCs/>
          <w:i/>
          <w:iCs/>
          <w:sz w:val="20"/>
          <w:szCs w:val="20"/>
        </w:rPr>
        <w:t>Long-Term Liability Burden:</w:t>
      </w:r>
      <w:r>
        <w:rPr>
          <w:rFonts w:ascii="Arial Hebrew" w:hAnsi="Arial Hebrew" w:cs="Arial Hebrew"/>
          <w:sz w:val="20"/>
          <w:szCs w:val="20"/>
        </w:rPr>
        <w:t xml:space="preserve"> </w:t>
      </w:r>
      <w:r w:rsidRPr="00F3296C">
        <w:rPr>
          <w:rFonts w:ascii="Arial Hebrew" w:hAnsi="Arial Hebrew" w:cs="Arial Hebrew"/>
          <w:sz w:val="20"/>
          <w:szCs w:val="20"/>
        </w:rPr>
        <w:t xml:space="preserve">Net tax-supported debt plus unfunded </w:t>
      </w:r>
      <w:r>
        <w:rPr>
          <w:rFonts w:ascii="Cambria" w:hAnsi="Cambria" w:cs="Arial Hebrew"/>
          <w:sz w:val="20"/>
          <w:szCs w:val="20"/>
        </w:rPr>
        <w:t>retirement liabilities.</w:t>
      </w:r>
    </w:p>
    <w:p w14:paraId="36D388D7" w14:textId="77777777" w:rsidR="00F23319" w:rsidRDefault="00F23319" w:rsidP="00F23319">
      <w:pPr>
        <w:pStyle w:val="ListParagraph"/>
        <w:numPr>
          <w:ilvl w:val="0"/>
          <w:numId w:val="49"/>
        </w:numPr>
        <w:spacing w:after="0" w:line="360" w:lineRule="auto"/>
        <w:rPr>
          <w:rFonts w:ascii="Arial Hebrew" w:hAnsi="Arial Hebrew" w:cs="Arial Hebrew"/>
          <w:sz w:val="20"/>
          <w:szCs w:val="20"/>
        </w:rPr>
      </w:pPr>
      <w:r w:rsidRPr="00F3296C">
        <w:rPr>
          <w:rFonts w:ascii="Arial Hebrew" w:hAnsi="Arial Hebrew" w:cs="Arial Hebrew"/>
          <w:b/>
          <w:bCs/>
          <w:i/>
          <w:iCs/>
          <w:sz w:val="20"/>
          <w:szCs w:val="20"/>
        </w:rPr>
        <w:t>Operating Performance:</w:t>
      </w:r>
      <w:r w:rsidRPr="00F3296C">
        <w:rPr>
          <w:rFonts w:ascii="Arial Hebrew" w:hAnsi="Arial Hebrew" w:cs="Arial Hebrew"/>
          <w:b/>
          <w:bCs/>
          <w:sz w:val="20"/>
          <w:szCs w:val="20"/>
        </w:rPr>
        <w:t xml:space="preserve"> </w:t>
      </w:r>
      <w:r w:rsidRPr="00F3296C">
        <w:rPr>
          <w:rFonts w:ascii="Arial Hebrew" w:hAnsi="Arial Hebrew" w:cs="Arial Hebrew"/>
          <w:sz w:val="20"/>
          <w:szCs w:val="20"/>
        </w:rPr>
        <w:t>Reserve levels, historical budget management</w:t>
      </w:r>
      <w:r>
        <w:rPr>
          <w:rFonts w:ascii="Arial Hebrew" w:hAnsi="Arial Hebrew" w:cs="Arial Hebrew"/>
          <w:sz w:val="20"/>
          <w:szCs w:val="20"/>
        </w:rPr>
        <w:t xml:space="preserve">, </w:t>
      </w:r>
      <w:r>
        <w:rPr>
          <w:rFonts w:ascii="Cambria" w:hAnsi="Cambria" w:cs="Arial Hebrew"/>
          <w:sz w:val="20"/>
          <w:szCs w:val="20"/>
        </w:rPr>
        <w:t>stress-test performance</w:t>
      </w:r>
      <w:r>
        <w:rPr>
          <w:rFonts w:ascii="Arial Hebrew" w:hAnsi="Arial Hebrew" w:cs="Arial Hebrew"/>
          <w:sz w:val="20"/>
          <w:szCs w:val="20"/>
        </w:rPr>
        <w:t>.</w:t>
      </w:r>
    </w:p>
    <w:p w14:paraId="6C357898" w14:textId="77777777" w:rsidR="00F23319" w:rsidRDefault="00F23319" w:rsidP="00F23319">
      <w:pPr>
        <w:spacing w:after="0" w:line="360" w:lineRule="auto"/>
        <w:rPr>
          <w:rFonts w:ascii="Cambria" w:hAnsi="Cambria" w:cs="Arial Hebrew"/>
          <w:sz w:val="20"/>
          <w:szCs w:val="20"/>
        </w:rPr>
      </w:pPr>
      <w:r>
        <w:rPr>
          <w:rFonts w:ascii="Cambria" w:hAnsi="Cambria" w:cs="Arial Hebrew"/>
          <w:sz w:val="20"/>
          <w:szCs w:val="20"/>
        </w:rPr>
        <w:t xml:space="preserve">Analyst judgement (rather than a specific set of weights) is used to combine these drivers; a minimum function may be used for aggregation. RLG finances are stress-tested against a severe-but-plausible downturn scenario to determine a provisional rating, which may then be adjusted according to other considerations (such as event risks) to arrive at a final rating. The methodology for states differs from local governments, with the latter substituting the four key drivers for a </w:t>
      </w:r>
      <w:r w:rsidRPr="002378F1">
        <w:rPr>
          <w:rFonts w:ascii="Cambria" w:hAnsi="Cambria" w:cs="Arial Hebrew"/>
          <w:b/>
          <w:bCs/>
          <w:sz w:val="20"/>
          <w:szCs w:val="20"/>
        </w:rPr>
        <w:t>Local Government Rating Model</w:t>
      </w:r>
      <w:r>
        <w:rPr>
          <w:rFonts w:ascii="Cambria" w:hAnsi="Cambria" w:cs="Arial Hebrew"/>
          <w:sz w:val="20"/>
          <w:szCs w:val="20"/>
        </w:rPr>
        <w:t xml:space="preserve"> (</w:t>
      </w:r>
      <w:proofErr w:type="gramStart"/>
      <w:r>
        <w:rPr>
          <w:rFonts w:ascii="Cambria" w:hAnsi="Cambria" w:cs="Arial Hebrew"/>
          <w:sz w:val="20"/>
          <w:szCs w:val="20"/>
        </w:rPr>
        <w:t>similar to</w:t>
      </w:r>
      <w:proofErr w:type="gramEnd"/>
      <w:r>
        <w:rPr>
          <w:rFonts w:ascii="Cambria" w:hAnsi="Cambria" w:cs="Arial Hebrew"/>
          <w:sz w:val="20"/>
          <w:szCs w:val="20"/>
        </w:rPr>
        <w:t xml:space="preserve"> Fitch’s </w:t>
      </w:r>
      <w:r w:rsidRPr="004015BC">
        <w:rPr>
          <w:rFonts w:ascii="Cambria" w:hAnsi="Cambria" w:cs="Arial Hebrew"/>
          <w:b/>
          <w:bCs/>
          <w:sz w:val="20"/>
          <w:szCs w:val="20"/>
        </w:rPr>
        <w:t>Sovereign Rating Model</w:t>
      </w:r>
      <w:r>
        <w:rPr>
          <w:rFonts w:ascii="Cambria" w:hAnsi="Cambria" w:cs="Arial Hebrew"/>
          <w:sz w:val="20"/>
          <w:szCs w:val="20"/>
        </w:rPr>
        <w:t xml:space="preserve">) based on twelve standard metrics that capture the local government’s financial profile, demographic and economic strength, and long-term liability burden.   </w:t>
      </w:r>
    </w:p>
    <w:p w14:paraId="5B71458D" w14:textId="77777777" w:rsidR="00570F3B" w:rsidRDefault="00570F3B"/>
    <w:sectPr w:rsidR="00570F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11E06" w14:textId="77777777" w:rsidR="004E5C1E" w:rsidRDefault="004E5C1E" w:rsidP="00F23319">
      <w:pPr>
        <w:spacing w:after="0" w:line="240" w:lineRule="auto"/>
      </w:pPr>
      <w:r>
        <w:separator/>
      </w:r>
    </w:p>
  </w:endnote>
  <w:endnote w:type="continuationSeparator" w:id="0">
    <w:p w14:paraId="5005EF1F" w14:textId="77777777" w:rsidR="004E5C1E" w:rsidRDefault="004E5C1E" w:rsidP="00F2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F1FDE" w14:textId="77777777" w:rsidR="004E5C1E" w:rsidRDefault="004E5C1E" w:rsidP="00F23319">
      <w:pPr>
        <w:spacing w:after="0" w:line="240" w:lineRule="auto"/>
      </w:pPr>
      <w:r>
        <w:separator/>
      </w:r>
    </w:p>
  </w:footnote>
  <w:footnote w:type="continuationSeparator" w:id="0">
    <w:p w14:paraId="1703783D" w14:textId="77777777" w:rsidR="004E5C1E" w:rsidRDefault="004E5C1E" w:rsidP="00F23319">
      <w:pPr>
        <w:spacing w:after="0" w:line="240" w:lineRule="auto"/>
      </w:pPr>
      <w:r>
        <w:continuationSeparator/>
      </w:r>
    </w:p>
  </w:footnote>
  <w:footnote w:id="1">
    <w:p w14:paraId="3ACACD45" w14:textId="77777777" w:rsidR="00F23319" w:rsidRPr="009F5066" w:rsidRDefault="00F23319" w:rsidP="00F23319">
      <w:pPr>
        <w:pStyle w:val="FootnoteText"/>
        <w:spacing w:after="0"/>
        <w:ind w:firstLine="720"/>
        <w:rPr>
          <w:rFonts w:ascii="Arial Hebrew" w:hAnsi="Arial Hebrew" w:cs="Arial Hebrew"/>
          <w:i/>
          <w:iCs/>
          <w:sz w:val="18"/>
          <w:szCs w:val="18"/>
          <w:lang w:val="en-US"/>
        </w:rPr>
      </w:pPr>
      <w:r w:rsidRPr="009F5066">
        <w:rPr>
          <w:rStyle w:val="FootnoteReference"/>
          <w:rFonts w:ascii="Arial Hebrew" w:hAnsi="Arial Hebrew" w:cs="Arial Hebrew" w:hint="cs"/>
          <w:sz w:val="18"/>
          <w:szCs w:val="18"/>
        </w:rPr>
        <w:footnoteRef/>
      </w:r>
      <w:r w:rsidRPr="009F5066">
        <w:rPr>
          <w:rFonts w:ascii="Arial Hebrew" w:hAnsi="Arial Hebrew" w:cs="Arial Hebrew" w:hint="cs"/>
          <w:sz w:val="18"/>
          <w:szCs w:val="18"/>
        </w:rPr>
        <w:t xml:space="preserve"> </w:t>
      </w:r>
      <w:r w:rsidRPr="009F5066">
        <w:rPr>
          <w:rFonts w:ascii="Arial Hebrew" w:hAnsi="Arial Hebrew" w:cs="Arial Hebrew" w:hint="cs"/>
          <w:sz w:val="18"/>
          <w:szCs w:val="18"/>
          <w:lang w:val="en-US"/>
        </w:rPr>
        <w:t xml:space="preserve">See the accompanying </w:t>
      </w:r>
      <w:r w:rsidRPr="009F5066">
        <w:rPr>
          <w:rFonts w:ascii="Cambria" w:hAnsi="Cambria" w:cs="Arial Hebrew"/>
          <w:sz w:val="18"/>
          <w:szCs w:val="18"/>
          <w:lang w:val="en-US"/>
        </w:rPr>
        <w:t xml:space="preserve">TDS </w:t>
      </w:r>
      <w:r w:rsidRPr="009F5066">
        <w:rPr>
          <w:rFonts w:ascii="Arial Hebrew" w:hAnsi="Arial Hebrew" w:cs="Arial Hebrew" w:hint="cs"/>
          <w:sz w:val="18"/>
          <w:szCs w:val="18"/>
          <w:lang w:val="en-US"/>
        </w:rPr>
        <w:t xml:space="preserve">note </w:t>
      </w:r>
      <w:r w:rsidRPr="009F5066">
        <w:rPr>
          <w:rFonts w:ascii="Arial Hebrew" w:hAnsi="Arial Hebrew" w:cs="Arial Hebrew" w:hint="cs"/>
          <w:i/>
          <w:iCs/>
          <w:sz w:val="18"/>
          <w:szCs w:val="18"/>
          <w:lang w:val="en-US"/>
        </w:rPr>
        <w:t>An Index for Trustworthy Government in the Digital Age.</w:t>
      </w:r>
    </w:p>
  </w:footnote>
  <w:footnote w:id="2">
    <w:p w14:paraId="1131A9D5" w14:textId="77777777" w:rsidR="00F23319" w:rsidRPr="009F5066" w:rsidRDefault="00F23319" w:rsidP="00F23319">
      <w:pPr>
        <w:pStyle w:val="FootnoteText"/>
        <w:spacing w:after="0" w:line="240" w:lineRule="auto"/>
        <w:ind w:firstLine="720"/>
        <w:rPr>
          <w:rFonts w:ascii="Arial Hebrew" w:hAnsi="Arial Hebrew" w:cs="Arial Hebrew"/>
          <w:sz w:val="18"/>
          <w:szCs w:val="18"/>
          <w:lang w:val="en-US"/>
        </w:rPr>
      </w:pPr>
      <w:r w:rsidRPr="009F5066">
        <w:rPr>
          <w:rStyle w:val="FootnoteReference"/>
          <w:rFonts w:ascii="Arial Hebrew" w:hAnsi="Arial Hebrew" w:cs="Arial Hebrew" w:hint="cs"/>
          <w:sz w:val="18"/>
          <w:szCs w:val="18"/>
        </w:rPr>
        <w:footnoteRef/>
      </w:r>
      <w:r w:rsidRPr="009F5066">
        <w:rPr>
          <w:rFonts w:ascii="Arial Hebrew" w:hAnsi="Arial Hebrew" w:cs="Arial Hebrew" w:hint="cs"/>
          <w:sz w:val="18"/>
          <w:szCs w:val="18"/>
        </w:rPr>
        <w:t xml:space="preserve"> </w:t>
      </w:r>
      <w:r w:rsidRPr="009F5066">
        <w:rPr>
          <w:rFonts w:ascii="Arial Hebrew" w:hAnsi="Arial Hebrew" w:cs="Arial Hebrew" w:hint="cs"/>
          <w:i/>
          <w:iCs/>
          <w:sz w:val="18"/>
          <w:szCs w:val="18"/>
        </w:rPr>
        <w:t>Scale</w:t>
      </w:r>
      <w:r w:rsidRPr="009F5066">
        <w:rPr>
          <w:rFonts w:ascii="Arial Hebrew" w:hAnsi="Arial Hebrew" w:cs="Arial Hebrew" w:hint="cs"/>
          <w:sz w:val="18"/>
          <w:szCs w:val="18"/>
        </w:rPr>
        <w:t xml:space="preserve"> is </w:t>
      </w:r>
      <w:r w:rsidRPr="009F5066">
        <w:rPr>
          <w:rFonts w:ascii="Cambria" w:hAnsi="Cambria" w:cs="Arial Hebrew"/>
          <w:sz w:val="18"/>
          <w:szCs w:val="18"/>
        </w:rPr>
        <w:t xml:space="preserve">measured using </w:t>
      </w:r>
      <w:r w:rsidRPr="009F5066">
        <w:rPr>
          <w:rFonts w:ascii="Arial Hebrew" w:hAnsi="Arial Hebrew" w:cs="Arial Hebrew" w:hint="cs"/>
          <w:sz w:val="18"/>
          <w:szCs w:val="18"/>
        </w:rPr>
        <w:t>Nominal GDP, the annual value of all final domestic production (production for final consumption, investment</w:t>
      </w:r>
      <w:r w:rsidRPr="009F5066">
        <w:rPr>
          <w:rFonts w:ascii="Arial Hebrew" w:hAnsi="Arial Hebrew" w:cs="Arial Hebrew"/>
          <w:sz w:val="18"/>
          <w:szCs w:val="18"/>
        </w:rPr>
        <w:t>,</w:t>
      </w:r>
      <w:r w:rsidRPr="009F5066">
        <w:rPr>
          <w:rFonts w:ascii="Arial Hebrew" w:hAnsi="Arial Hebrew" w:cs="Arial Hebrew" w:hint="cs"/>
          <w:sz w:val="18"/>
          <w:szCs w:val="18"/>
        </w:rPr>
        <w:t xml:space="preserve"> or export) gross of capital depreciation and net of imports. </w:t>
      </w:r>
      <w:r w:rsidRPr="009F5066">
        <w:rPr>
          <w:rFonts w:ascii="Arial Hebrew" w:hAnsi="Arial Hebrew" w:cs="Arial Hebrew" w:hint="cs"/>
          <w:i/>
          <w:iCs/>
          <w:sz w:val="18"/>
          <w:szCs w:val="18"/>
        </w:rPr>
        <w:t>Income</w:t>
      </w:r>
      <w:r w:rsidRPr="009F5066">
        <w:rPr>
          <w:rFonts w:ascii="Arial Hebrew" w:hAnsi="Arial Hebrew" w:cs="Arial Hebrew" w:hint="cs"/>
          <w:sz w:val="18"/>
          <w:szCs w:val="18"/>
        </w:rPr>
        <w:t xml:space="preserve"> is per capita GDP adjusted for Purchasing Power Parity (PPP)</w:t>
      </w:r>
      <w:r w:rsidRPr="009F5066">
        <w:rPr>
          <w:rFonts w:ascii="Arial Hebrew" w:hAnsi="Arial Hebrew" w:cs="Arial Hebrew"/>
          <w:sz w:val="18"/>
          <w:szCs w:val="18"/>
        </w:rPr>
        <w:t xml:space="preserve">. </w:t>
      </w:r>
      <w:r w:rsidRPr="009F5066">
        <w:rPr>
          <w:rFonts w:ascii="Cambria" w:hAnsi="Cambria" w:cs="Arial Hebrew"/>
          <w:sz w:val="18"/>
          <w:szCs w:val="18"/>
        </w:rPr>
        <w:t>PPP</w:t>
      </w:r>
      <w:r w:rsidRPr="009F5066">
        <w:rPr>
          <w:rFonts w:ascii="Arial Hebrew" w:hAnsi="Arial Hebrew" w:cs="Arial Hebrew"/>
          <w:sz w:val="18"/>
          <w:szCs w:val="18"/>
        </w:rPr>
        <w:t xml:space="preserve"> </w:t>
      </w:r>
      <w:r w:rsidRPr="009F5066">
        <w:rPr>
          <w:rFonts w:ascii="Cambria" w:hAnsi="Cambria" w:cs="Arial Hebrew"/>
          <w:sz w:val="18"/>
          <w:szCs w:val="18"/>
        </w:rPr>
        <w:t xml:space="preserve">accounts </w:t>
      </w:r>
      <w:r w:rsidRPr="009F5066">
        <w:rPr>
          <w:rFonts w:ascii="Arial Hebrew" w:hAnsi="Arial Hebrew" w:cs="Arial Hebrew" w:hint="cs"/>
          <w:sz w:val="18"/>
          <w:szCs w:val="18"/>
        </w:rPr>
        <w:t>for price differentials between countries</w:t>
      </w:r>
      <w:r w:rsidRPr="009F5066">
        <w:rPr>
          <w:rFonts w:ascii="Arial Hebrew" w:hAnsi="Arial Hebrew" w:cs="Arial Hebrew"/>
          <w:sz w:val="18"/>
          <w:szCs w:val="18"/>
        </w:rPr>
        <w:t xml:space="preserve"> </w:t>
      </w:r>
      <w:r w:rsidRPr="009F5066">
        <w:rPr>
          <w:rFonts w:ascii="Cambria" w:hAnsi="Cambria" w:cs="Arial Hebrew"/>
          <w:sz w:val="18"/>
          <w:szCs w:val="18"/>
        </w:rPr>
        <w:t>and generally raises real-income estimates for lower-income countries</w:t>
      </w:r>
      <w:r w:rsidRPr="009F5066">
        <w:rPr>
          <w:rFonts w:ascii="Arial Hebrew" w:hAnsi="Arial Hebrew" w:cs="Arial Hebrew" w:hint="cs"/>
          <w:sz w:val="18"/>
          <w:szCs w:val="18"/>
        </w:rPr>
        <w:t xml:space="preserve">. </w:t>
      </w:r>
      <w:r w:rsidRPr="009F5066">
        <w:rPr>
          <w:rFonts w:ascii="Arial Hebrew" w:hAnsi="Arial Hebrew" w:cs="Arial Hebrew" w:hint="cs"/>
          <w:i/>
          <w:iCs/>
          <w:sz w:val="18"/>
          <w:szCs w:val="18"/>
        </w:rPr>
        <w:t>Growth</w:t>
      </w:r>
      <w:r w:rsidRPr="009F5066">
        <w:rPr>
          <w:rFonts w:ascii="Arial Hebrew" w:hAnsi="Arial Hebrew" w:cs="Arial Hebrew" w:hint="cs"/>
          <w:sz w:val="18"/>
          <w:szCs w:val="18"/>
        </w:rPr>
        <w:t xml:space="preserve"> is ten-year centred-average GDP growth</w:t>
      </w:r>
      <w:r w:rsidRPr="009F5066">
        <w:rPr>
          <w:rFonts w:ascii="Arial Hebrew" w:hAnsi="Arial Hebrew" w:cs="Arial Hebrew"/>
          <w:sz w:val="18"/>
          <w:szCs w:val="18"/>
        </w:rPr>
        <w:t>,</w:t>
      </w:r>
      <w:r w:rsidRPr="009F5066">
        <w:rPr>
          <w:rFonts w:ascii="Arial Hebrew" w:hAnsi="Arial Hebrew" w:cs="Arial Hebrew" w:hint="cs"/>
          <w:sz w:val="18"/>
          <w:szCs w:val="18"/>
        </w:rPr>
        <w:t xml:space="preserve"> using five-year future growth forecasts published by the annual IMF World Economic Outlook (WEO). </w:t>
      </w:r>
      <w:r w:rsidRPr="009F5066">
        <w:rPr>
          <w:rFonts w:ascii="Arial Hebrew" w:hAnsi="Arial Hebrew" w:cs="Arial Hebrew" w:hint="cs"/>
          <w:i/>
          <w:iCs/>
          <w:sz w:val="18"/>
          <w:szCs w:val="18"/>
        </w:rPr>
        <w:t>Volatility</w:t>
      </w:r>
      <w:r w:rsidRPr="009F5066">
        <w:rPr>
          <w:rFonts w:ascii="Arial Hebrew" w:hAnsi="Arial Hebrew" w:cs="Arial Hebrew" w:hint="cs"/>
          <w:sz w:val="18"/>
          <w:szCs w:val="18"/>
        </w:rPr>
        <w:t xml:space="preserve"> is </w:t>
      </w:r>
      <w:r w:rsidRPr="009F5066">
        <w:rPr>
          <w:rFonts w:ascii="Cambria" w:hAnsi="Cambria" w:cs="Arial Hebrew"/>
          <w:sz w:val="18"/>
          <w:szCs w:val="18"/>
        </w:rPr>
        <w:t xml:space="preserve">measured as </w:t>
      </w:r>
      <w:r w:rsidRPr="009F5066">
        <w:rPr>
          <w:rFonts w:ascii="Arial Hebrew" w:hAnsi="Arial Hebrew" w:cs="Arial Hebrew" w:hint="cs"/>
          <w:sz w:val="18"/>
          <w:szCs w:val="18"/>
        </w:rPr>
        <w:t xml:space="preserve">the Median Absolute Deviation in GDP growth over ten years.  </w:t>
      </w:r>
    </w:p>
  </w:footnote>
  <w:footnote w:id="3">
    <w:p w14:paraId="394D1B15" w14:textId="77777777" w:rsidR="00F23319" w:rsidRPr="009F5066" w:rsidRDefault="00F23319" w:rsidP="00F23319">
      <w:pPr>
        <w:pStyle w:val="FootnoteText"/>
        <w:spacing w:after="0" w:line="240" w:lineRule="auto"/>
        <w:ind w:firstLine="720"/>
        <w:rPr>
          <w:rFonts w:ascii="Arial Hebrew" w:hAnsi="Arial Hebrew" w:cs="Arial Hebrew"/>
          <w:sz w:val="18"/>
          <w:szCs w:val="18"/>
          <w:lang w:val="en-US"/>
        </w:rPr>
      </w:pPr>
      <w:r w:rsidRPr="009F5066">
        <w:rPr>
          <w:rStyle w:val="FootnoteReference"/>
          <w:rFonts w:ascii="Arial Hebrew" w:hAnsi="Arial Hebrew" w:cs="Arial Hebrew" w:hint="cs"/>
          <w:sz w:val="18"/>
          <w:szCs w:val="18"/>
        </w:rPr>
        <w:footnoteRef/>
      </w:r>
      <w:r w:rsidRPr="009F5066">
        <w:rPr>
          <w:rFonts w:ascii="Arial Hebrew" w:hAnsi="Arial Hebrew" w:cs="Arial Hebrew" w:hint="cs"/>
          <w:sz w:val="18"/>
          <w:szCs w:val="18"/>
        </w:rPr>
        <w:t xml:space="preserve"> The</w:t>
      </w:r>
      <w:r w:rsidRPr="009F5066">
        <w:rPr>
          <w:rFonts w:ascii="Arial Hebrew" w:hAnsi="Arial Hebrew" w:cs="Arial Hebrew"/>
          <w:sz w:val="18"/>
          <w:szCs w:val="18"/>
        </w:rPr>
        <w:t xml:space="preserve"> </w:t>
      </w:r>
      <w:r w:rsidRPr="009F5066">
        <w:rPr>
          <w:rFonts w:ascii="Cambria" w:hAnsi="Cambria" w:cs="Arial Hebrew"/>
          <w:sz w:val="18"/>
          <w:szCs w:val="18"/>
        </w:rPr>
        <w:t>five factors determine a</w:t>
      </w:r>
      <w:r w:rsidRPr="009F5066">
        <w:rPr>
          <w:rFonts w:ascii="Arial Hebrew" w:hAnsi="Arial Hebrew" w:cs="Arial Hebrew" w:hint="cs"/>
          <w:sz w:val="18"/>
          <w:szCs w:val="18"/>
        </w:rPr>
        <w:t xml:space="preserve"> </w:t>
      </w:r>
      <w:r w:rsidRPr="009F5066">
        <w:rPr>
          <w:rFonts w:ascii="Arial Hebrew" w:hAnsi="Arial Hebrew" w:cs="Arial Hebrew" w:hint="cs"/>
          <w:b/>
          <w:bCs/>
          <w:i/>
          <w:iCs/>
          <w:sz w:val="18"/>
          <w:szCs w:val="18"/>
        </w:rPr>
        <w:t>Likelihood of Support</w:t>
      </w:r>
      <w:r w:rsidRPr="009F5066">
        <w:rPr>
          <w:rFonts w:ascii="Arial Hebrew" w:hAnsi="Arial Hebrew" w:cs="Arial Hebrew" w:hint="cs"/>
          <w:sz w:val="18"/>
          <w:szCs w:val="18"/>
        </w:rPr>
        <w:t xml:space="preserve"> </w:t>
      </w:r>
      <w:r w:rsidRPr="009F5066">
        <w:rPr>
          <w:rFonts w:ascii="Cambria" w:hAnsi="Cambria" w:cs="Arial Hebrew"/>
          <w:sz w:val="18"/>
          <w:szCs w:val="18"/>
        </w:rPr>
        <w:t xml:space="preserve">assessment, which </w:t>
      </w:r>
      <w:r w:rsidRPr="009F5066">
        <w:rPr>
          <w:rFonts w:ascii="Arial Hebrew" w:hAnsi="Arial Hebrew" w:cs="Arial Hebrew" w:hint="cs"/>
          <w:sz w:val="18"/>
          <w:szCs w:val="18"/>
        </w:rPr>
        <w:t xml:space="preserve">is considered jointly </w:t>
      </w:r>
      <w:r w:rsidRPr="009F5066">
        <w:rPr>
          <w:rFonts w:ascii="Cambria" w:hAnsi="Cambria" w:cs="Arial Hebrew"/>
          <w:sz w:val="18"/>
          <w:szCs w:val="18"/>
        </w:rPr>
        <w:t xml:space="preserve">in the </w:t>
      </w:r>
      <w:r w:rsidRPr="009F5066">
        <w:rPr>
          <w:rFonts w:ascii="Arial Hebrew" w:hAnsi="Arial Hebrew" w:cs="Arial Hebrew" w:hint="cs"/>
          <w:b/>
          <w:bCs/>
          <w:sz w:val="18"/>
          <w:szCs w:val="18"/>
        </w:rPr>
        <w:t>Extraordinary Support</w:t>
      </w:r>
      <w:r w:rsidRPr="009F5066">
        <w:rPr>
          <w:rFonts w:ascii="Arial Hebrew" w:hAnsi="Arial Hebrew" w:cs="Arial Hebrew" w:hint="cs"/>
          <w:sz w:val="18"/>
          <w:szCs w:val="18"/>
        </w:rPr>
        <w:t xml:space="preserve"> </w:t>
      </w:r>
      <w:r w:rsidRPr="009F5066">
        <w:rPr>
          <w:rFonts w:ascii="Cambria" w:hAnsi="Cambria" w:cs="Arial Hebrew"/>
          <w:sz w:val="18"/>
          <w:szCs w:val="18"/>
        </w:rPr>
        <w:t xml:space="preserve">assessment </w:t>
      </w:r>
      <w:r w:rsidRPr="009F5066">
        <w:rPr>
          <w:rFonts w:ascii="Arial Hebrew" w:hAnsi="Arial Hebrew" w:cs="Arial Hebrew" w:hint="cs"/>
          <w:sz w:val="18"/>
          <w:szCs w:val="18"/>
        </w:rPr>
        <w:t xml:space="preserve">with the </w:t>
      </w:r>
      <w:proofErr w:type="gramStart"/>
      <w:r w:rsidRPr="009F5066">
        <w:rPr>
          <w:rFonts w:ascii="Cambria" w:hAnsi="Cambria" w:cs="Arial Hebrew"/>
          <w:sz w:val="18"/>
          <w:szCs w:val="18"/>
        </w:rPr>
        <w:t>higher-tier</w:t>
      </w:r>
      <w:proofErr w:type="gramEnd"/>
      <w:r w:rsidRPr="009F5066">
        <w:rPr>
          <w:rFonts w:ascii="Cambria" w:hAnsi="Cambria" w:cs="Arial Hebrew"/>
          <w:sz w:val="18"/>
          <w:szCs w:val="18"/>
        </w:rPr>
        <w:t xml:space="preserve"> supporting government’s </w:t>
      </w:r>
      <w:r w:rsidRPr="009F5066">
        <w:rPr>
          <w:rFonts w:ascii="Arial Hebrew" w:hAnsi="Arial Hebrew" w:cs="Arial Hebrew" w:hint="cs"/>
          <w:sz w:val="18"/>
          <w:szCs w:val="18"/>
        </w:rPr>
        <w:t>credit rating</w:t>
      </w:r>
      <w:r w:rsidRPr="009F5066">
        <w:rPr>
          <w:rFonts w:ascii="Arial Hebrew" w:hAnsi="Arial Hebrew" w:cs="Arial Hebrew"/>
          <w:sz w:val="18"/>
          <w:szCs w:val="18"/>
        </w:rPr>
        <w:t xml:space="preserve"> </w:t>
      </w:r>
      <w:r w:rsidRPr="009F5066">
        <w:rPr>
          <w:rFonts w:ascii="Arial Hebrew" w:hAnsi="Arial Hebrew" w:cs="Arial Hebrew" w:hint="cs"/>
          <w:sz w:val="18"/>
          <w:szCs w:val="18"/>
        </w:rPr>
        <w:t xml:space="preserve">and a </w:t>
      </w:r>
      <w:r w:rsidRPr="009F5066">
        <w:rPr>
          <w:rFonts w:ascii="Arial Hebrew" w:hAnsi="Arial Hebrew" w:cs="Arial Hebrew" w:hint="cs"/>
          <w:b/>
          <w:bCs/>
          <w:i/>
          <w:iCs/>
          <w:sz w:val="18"/>
          <w:szCs w:val="18"/>
        </w:rPr>
        <w:t>Joint Default Analysis</w:t>
      </w:r>
      <w:r w:rsidRPr="009F5066">
        <w:rPr>
          <w:rFonts w:ascii="Arial Hebrew" w:hAnsi="Arial Hebrew" w:cs="Arial Hebrew" w:hint="cs"/>
          <w:sz w:val="18"/>
          <w:szCs w:val="18"/>
        </w:rPr>
        <w:t xml:space="preserve"> </w:t>
      </w:r>
      <w:r w:rsidRPr="009F5066">
        <w:rPr>
          <w:rFonts w:ascii="Cambria" w:hAnsi="Cambria" w:cs="Arial Hebrew"/>
          <w:sz w:val="18"/>
          <w:szCs w:val="18"/>
        </w:rPr>
        <w:t>which</w:t>
      </w:r>
      <w:r w:rsidRPr="009F5066">
        <w:rPr>
          <w:rFonts w:ascii="Arial Hebrew" w:hAnsi="Arial Hebrew" w:cs="Arial Hebrew" w:hint="cs"/>
          <w:sz w:val="18"/>
          <w:szCs w:val="18"/>
        </w:rPr>
        <w:t xml:space="preserve"> inc</w:t>
      </w:r>
      <w:r w:rsidRPr="009F5066">
        <w:rPr>
          <w:rFonts w:ascii="Cambria" w:hAnsi="Cambria" w:cs="Arial Hebrew"/>
          <w:sz w:val="18"/>
          <w:szCs w:val="18"/>
        </w:rPr>
        <w:t>orporates</w:t>
      </w:r>
      <w:r w:rsidRPr="009F5066">
        <w:rPr>
          <w:rFonts w:ascii="Arial Hebrew" w:hAnsi="Arial Hebrew" w:cs="Arial Hebrew" w:hint="cs"/>
          <w:sz w:val="18"/>
          <w:szCs w:val="18"/>
        </w:rPr>
        <w:t xml:space="preserve"> an estimate of the default correlation between the two entities.</w:t>
      </w:r>
    </w:p>
  </w:footnote>
  <w:footnote w:id="4">
    <w:p w14:paraId="5E14D223" w14:textId="77777777" w:rsidR="00F23319" w:rsidRPr="009F5066" w:rsidRDefault="00F23319" w:rsidP="00F23319">
      <w:pPr>
        <w:pStyle w:val="FootnoteText"/>
        <w:spacing w:after="0" w:line="240" w:lineRule="auto"/>
        <w:ind w:firstLine="720"/>
        <w:rPr>
          <w:rFonts w:ascii="Arial Hebrew" w:hAnsi="Arial Hebrew" w:cs="Arial Hebrew" w:hint="cs"/>
          <w:sz w:val="18"/>
          <w:szCs w:val="18"/>
          <w:lang w:val="en-US"/>
        </w:rPr>
      </w:pPr>
      <w:r w:rsidRPr="009F5066">
        <w:rPr>
          <w:rStyle w:val="FootnoteReference"/>
          <w:rFonts w:ascii="Arial Hebrew" w:hAnsi="Arial Hebrew" w:cs="Arial Hebrew" w:hint="cs"/>
          <w:sz w:val="18"/>
          <w:szCs w:val="18"/>
        </w:rPr>
        <w:footnoteRef/>
      </w:r>
      <w:r w:rsidRPr="009F5066">
        <w:rPr>
          <w:rFonts w:ascii="Arial Hebrew" w:hAnsi="Arial Hebrew" w:cs="Arial Hebrew" w:hint="cs"/>
          <w:sz w:val="18"/>
          <w:szCs w:val="18"/>
        </w:rPr>
        <w:t xml:space="preserve"> </w:t>
      </w:r>
      <w:r w:rsidRPr="008C56A9">
        <w:rPr>
          <w:rFonts w:ascii="Arial Hebrew" w:hAnsi="Arial Hebrew" w:cs="Arial Hebrew" w:hint="cs"/>
          <w:sz w:val="18"/>
          <w:szCs w:val="18"/>
        </w:rPr>
        <w:t xml:space="preserve">Alternate </w:t>
      </w:r>
      <w:r w:rsidRPr="008C56A9">
        <w:rPr>
          <w:rFonts w:ascii="Arial Hebrew" w:hAnsi="Arial Hebrew" w:cs="Arial Hebrew" w:hint="cs"/>
          <w:b/>
          <w:bCs/>
          <w:i/>
          <w:iCs/>
          <w:sz w:val="18"/>
          <w:szCs w:val="18"/>
        </w:rPr>
        <w:t>Notching Factors</w:t>
      </w:r>
      <w:r w:rsidRPr="008C56A9">
        <w:rPr>
          <w:rFonts w:ascii="Arial Hebrew" w:hAnsi="Arial Hebrew" w:cs="Arial Hebrew" w:hint="cs"/>
          <w:sz w:val="18"/>
          <w:szCs w:val="18"/>
        </w:rPr>
        <w:t xml:space="preserve"> – different for state and local governments – are used to adjust the preliminary assessment, with further adjustments potentially made for other considerations.</w:t>
      </w:r>
      <w:r w:rsidRPr="008C56A9">
        <w:rPr>
          <w:rFonts w:ascii="Arial Hebrew" w:hAnsi="Arial Hebrew" w:cs="Arial Hebrew"/>
          <w:sz w:val="18"/>
          <w:szCs w:val="18"/>
        </w:rPr>
        <w:t xml:space="preserve"> </w:t>
      </w:r>
      <w:r w:rsidRPr="008C56A9">
        <w:rPr>
          <w:rFonts w:ascii="Cambria" w:hAnsi="Cambria" w:cs="Arial Hebrew"/>
          <w:sz w:val="18"/>
          <w:szCs w:val="18"/>
        </w:rPr>
        <w:t xml:space="preserve">The methodology for U.S. sub-sovereigns also includes </w:t>
      </w:r>
      <w:r w:rsidRPr="008C56A9">
        <w:rPr>
          <w:rFonts w:ascii="Cambria" w:hAnsi="Cambria" w:cs="Arial Hebrew"/>
          <w:b/>
          <w:bCs/>
          <w:sz w:val="18"/>
          <w:szCs w:val="18"/>
        </w:rPr>
        <w:t>Instrument-Level Ratings</w:t>
      </w:r>
      <w:r w:rsidRPr="008C56A9">
        <w:rPr>
          <w:rFonts w:ascii="Cambria" w:hAnsi="Cambria" w:cs="Arial Hebrew"/>
          <w:sz w:val="18"/>
          <w:szCs w:val="18"/>
        </w:rPr>
        <w:t xml:space="preserve">, adjustments to the </w:t>
      </w:r>
      <w:r>
        <w:rPr>
          <w:rFonts w:ascii="Cambria" w:hAnsi="Cambria" w:cs="Arial Hebrew"/>
          <w:sz w:val="18"/>
          <w:szCs w:val="18"/>
        </w:rPr>
        <w:t>Issuer Default Rating</w:t>
      </w:r>
      <w:r w:rsidRPr="008C56A9">
        <w:rPr>
          <w:rFonts w:ascii="Cambria" w:hAnsi="Cambria" w:cs="Arial Hebrew"/>
          <w:sz w:val="18"/>
          <w:szCs w:val="18"/>
        </w:rPr>
        <w:t xml:space="preserve"> that are applied to rate the different types of securities issued in U.S. LRG debt markets; </w:t>
      </w:r>
      <w:r w:rsidRPr="008C56A9">
        <w:rPr>
          <w:rFonts w:ascii="Arial Hebrew" w:hAnsi="Arial Hebrew" w:cs="Arial Hebrew" w:hint="cs"/>
          <w:sz w:val="18"/>
          <w:szCs w:val="18"/>
        </w:rPr>
        <w:t>general obligation bonds (unlimited and limited tax), contingent obligations (appropriation, lease, and moral obligations), and special tax pledges</w:t>
      </w:r>
      <w:r w:rsidRPr="008C56A9">
        <w:rPr>
          <w:rFonts w:ascii="Cambria" w:hAnsi="Cambria" w:cs="Arial Hebrew"/>
          <w:sz w:val="18"/>
          <w:szCs w:val="18"/>
        </w:rPr>
        <w:t>.</w:t>
      </w:r>
    </w:p>
  </w:footnote>
  <w:footnote w:id="5">
    <w:p w14:paraId="5FCE7CED" w14:textId="77777777" w:rsidR="00F23319" w:rsidRPr="009F5066" w:rsidRDefault="00F23319" w:rsidP="00F23319">
      <w:pPr>
        <w:pStyle w:val="FootnoteText"/>
        <w:spacing w:after="0" w:line="240" w:lineRule="auto"/>
        <w:ind w:firstLine="720"/>
        <w:rPr>
          <w:rFonts w:ascii="Arial Hebrew" w:hAnsi="Arial Hebrew" w:cs="Arial Hebrew" w:hint="cs"/>
          <w:sz w:val="18"/>
          <w:szCs w:val="18"/>
          <w:lang w:val="en-US"/>
        </w:rPr>
      </w:pPr>
      <w:r w:rsidRPr="009F5066">
        <w:rPr>
          <w:rStyle w:val="FootnoteReference"/>
          <w:rFonts w:ascii="Arial Hebrew" w:hAnsi="Arial Hebrew" w:cs="Arial Hebrew" w:hint="cs"/>
          <w:sz w:val="18"/>
          <w:szCs w:val="18"/>
        </w:rPr>
        <w:footnoteRef/>
      </w:r>
      <w:r w:rsidRPr="009F5066">
        <w:rPr>
          <w:rFonts w:ascii="Arial Hebrew" w:hAnsi="Arial Hebrew" w:cs="Arial Hebrew" w:hint="cs"/>
          <w:sz w:val="18"/>
          <w:szCs w:val="18"/>
        </w:rPr>
        <w:t xml:space="preserve"> </w:t>
      </w:r>
      <w:r w:rsidRPr="009F5066">
        <w:rPr>
          <w:rFonts w:ascii="Arial Hebrew" w:hAnsi="Arial Hebrew" w:cs="Arial Hebrew" w:hint="cs"/>
          <w:sz w:val="18"/>
          <w:szCs w:val="18"/>
          <w:lang w:val="en-US"/>
        </w:rPr>
        <w:t>Combining two indicators in a risk matrix means that the resulting assessment</w:t>
      </w:r>
      <w:r>
        <w:rPr>
          <w:rFonts w:ascii="Cambria" w:hAnsi="Cambria" w:cs="Arial Hebrew"/>
          <w:sz w:val="18"/>
          <w:szCs w:val="18"/>
          <w:lang w:val="en-US"/>
        </w:rPr>
        <w:t xml:space="preserve"> score</w:t>
      </w:r>
      <w:r w:rsidRPr="009F5066">
        <w:rPr>
          <w:rFonts w:ascii="Arial Hebrew" w:hAnsi="Arial Hebrew" w:cs="Arial Hebrew" w:hint="cs"/>
          <w:sz w:val="18"/>
          <w:szCs w:val="18"/>
          <w:lang w:val="en-US"/>
        </w:rPr>
        <w:t xml:space="preserve"> does not need to be a simple function of the </w:t>
      </w:r>
      <w:r>
        <w:rPr>
          <w:rFonts w:ascii="Cambria" w:hAnsi="Cambria" w:cs="Arial Hebrew"/>
          <w:sz w:val="18"/>
          <w:szCs w:val="18"/>
          <w:lang w:val="en-US"/>
        </w:rPr>
        <w:t>component scores</w:t>
      </w:r>
      <w:r w:rsidRPr="009F5066">
        <w:rPr>
          <w:rFonts w:ascii="Arial Hebrew" w:hAnsi="Arial Hebrew" w:cs="Arial Hebrew" w:hint="cs"/>
          <w:sz w:val="18"/>
          <w:szCs w:val="18"/>
          <w:lang w:val="en-US"/>
        </w:rPr>
        <w:t>, such as a weighted average.</w:t>
      </w:r>
    </w:p>
  </w:footnote>
  <w:footnote w:id="6">
    <w:p w14:paraId="0F9B85BD" w14:textId="77777777" w:rsidR="00F23319" w:rsidRPr="00D9004F" w:rsidRDefault="00F23319" w:rsidP="00F23319">
      <w:pPr>
        <w:pStyle w:val="FootnoteText"/>
        <w:spacing w:after="0" w:line="240" w:lineRule="auto"/>
        <w:rPr>
          <w:rFonts w:ascii="Arial Hebrew" w:hAnsi="Arial Hebrew" w:cs="Arial Hebrew" w:hint="cs"/>
          <w:sz w:val="18"/>
          <w:szCs w:val="18"/>
          <w:lang w:val="en-US"/>
        </w:rPr>
      </w:pPr>
      <w:r w:rsidRPr="00D9004F">
        <w:rPr>
          <w:rStyle w:val="FootnoteReference"/>
          <w:rFonts w:ascii="Arial Hebrew" w:hAnsi="Arial Hebrew" w:cs="Arial Hebrew" w:hint="cs"/>
          <w:sz w:val="18"/>
          <w:szCs w:val="18"/>
        </w:rPr>
        <w:footnoteRef/>
      </w:r>
      <w:r w:rsidRPr="00D9004F">
        <w:rPr>
          <w:rFonts w:ascii="Arial Hebrew" w:hAnsi="Arial Hebrew" w:cs="Arial Hebrew" w:hint="cs"/>
          <w:sz w:val="18"/>
          <w:szCs w:val="18"/>
        </w:rPr>
        <w:t xml:space="preserve"> The </w:t>
      </w:r>
      <w:r w:rsidRPr="005B62C2">
        <w:rPr>
          <w:rFonts w:ascii="Arial Hebrew" w:hAnsi="Arial Hebrew" w:cs="Arial Hebrew" w:hint="cs"/>
          <w:sz w:val="18"/>
          <w:szCs w:val="18"/>
        </w:rPr>
        <w:t>Individual Credit Profile</w:t>
      </w:r>
      <w:r w:rsidRPr="00D9004F">
        <w:rPr>
          <w:rFonts w:ascii="Arial Hebrew" w:hAnsi="Arial Hebrew" w:cs="Arial Hebrew" w:hint="cs"/>
          <w:sz w:val="18"/>
          <w:szCs w:val="18"/>
        </w:rPr>
        <w:t xml:space="preserve"> for U.S. sub-sovereigns incorporates a range of standardised U.S. financial reporting metrics and places more importance on RLG cash reserves and retirement liabilities.</w:t>
      </w:r>
    </w:p>
  </w:footnote>
  <w:footnote w:id="7">
    <w:p w14:paraId="5C665DE1" w14:textId="77777777" w:rsidR="00F23319" w:rsidRPr="005B62C2" w:rsidRDefault="00F23319" w:rsidP="00F23319">
      <w:pPr>
        <w:pStyle w:val="FootnoteText"/>
        <w:spacing w:after="0" w:line="240" w:lineRule="auto"/>
        <w:rPr>
          <w:rFonts w:ascii="Cambria" w:hAnsi="Cambria" w:cs="Arial Hebrew" w:hint="cs"/>
          <w:sz w:val="18"/>
          <w:szCs w:val="18"/>
          <w:lang w:val="en-US"/>
        </w:rPr>
      </w:pPr>
      <w:r w:rsidRPr="00D9004F">
        <w:rPr>
          <w:rStyle w:val="FootnoteReference"/>
          <w:rFonts w:ascii="Arial Hebrew" w:hAnsi="Arial Hebrew" w:cs="Arial Hebrew" w:hint="cs"/>
          <w:sz w:val="18"/>
          <w:szCs w:val="18"/>
        </w:rPr>
        <w:footnoteRef/>
      </w:r>
      <w:r w:rsidRPr="00D9004F">
        <w:rPr>
          <w:rFonts w:ascii="Arial Hebrew" w:hAnsi="Arial Hebrew" w:cs="Arial Hebrew" w:hint="cs"/>
          <w:sz w:val="18"/>
          <w:szCs w:val="18"/>
        </w:rPr>
        <w:t xml:space="preserve"> </w:t>
      </w:r>
      <w:r>
        <w:rPr>
          <w:rFonts w:ascii="Cambria" w:hAnsi="Cambria" w:cs="Arial Hebrew"/>
          <w:sz w:val="18"/>
          <w:szCs w:val="18"/>
        </w:rPr>
        <w:t>Fitch Sovereign Rating Model w</w:t>
      </w:r>
      <w:r w:rsidRPr="00D9004F">
        <w:rPr>
          <w:rFonts w:ascii="Arial Hebrew" w:hAnsi="Arial Hebrew" w:cs="Arial Hebrew" w:hint="cs"/>
          <w:sz w:val="18"/>
          <w:szCs w:val="18"/>
        </w:rPr>
        <w:t>eights</w:t>
      </w:r>
      <w:r>
        <w:rPr>
          <w:rFonts w:ascii="Arial Hebrew" w:hAnsi="Arial Hebrew" w:cs="Arial Hebrew"/>
          <w:sz w:val="18"/>
          <w:szCs w:val="18"/>
        </w:rPr>
        <w:t xml:space="preserve"> </w:t>
      </w:r>
      <w:r>
        <w:rPr>
          <w:rFonts w:ascii="Cambria" w:hAnsi="Cambria" w:cs="Arial Hebrew"/>
          <w:sz w:val="18"/>
          <w:szCs w:val="18"/>
        </w:rPr>
        <w:t>are regularly updated, based on</w:t>
      </w:r>
      <w:r w:rsidRPr="00D9004F">
        <w:rPr>
          <w:rFonts w:ascii="Arial Hebrew" w:hAnsi="Arial Hebrew" w:cs="Arial Hebrew" w:hint="cs"/>
          <w:sz w:val="18"/>
          <w:szCs w:val="18"/>
        </w:rPr>
        <w:t xml:space="preserve"> </w:t>
      </w:r>
      <w:r>
        <w:rPr>
          <w:rFonts w:ascii="Cambria" w:hAnsi="Cambria" w:cs="Arial Hebrew"/>
          <w:sz w:val="18"/>
          <w:szCs w:val="18"/>
        </w:rPr>
        <w:t xml:space="preserve">feature </w:t>
      </w:r>
      <w:r w:rsidRPr="00D9004F">
        <w:rPr>
          <w:rFonts w:ascii="Arial Hebrew" w:hAnsi="Arial Hebrew" w:cs="Arial Hebrew" w:hint="cs"/>
          <w:sz w:val="18"/>
          <w:szCs w:val="18"/>
        </w:rPr>
        <w:t>coefficients yielded by multi-regression modelling.</w:t>
      </w:r>
      <w:r>
        <w:rPr>
          <w:rFonts w:ascii="Arial Hebrew" w:hAnsi="Arial Hebrew" w:cs="Arial Hebrew"/>
          <w:sz w:val="18"/>
          <w:szCs w:val="18"/>
        </w:rPr>
        <w:t xml:space="preserve"> </w:t>
      </w:r>
      <w:r>
        <w:rPr>
          <w:rFonts w:ascii="Cambria" w:hAnsi="Cambria" w:cs="Arial Hebrew"/>
          <w:sz w:val="18"/>
          <w:szCs w:val="18"/>
        </w:rPr>
        <w:t xml:space="preserve">The given weights are the most-recently published (for 2025 assessments). </w:t>
      </w:r>
    </w:p>
  </w:footnote>
  <w:footnote w:id="8">
    <w:p w14:paraId="5E2C5FBF" w14:textId="77777777" w:rsidR="00F23319" w:rsidRPr="00D9004F" w:rsidRDefault="00F23319" w:rsidP="00F23319">
      <w:pPr>
        <w:pStyle w:val="FootnoteText"/>
        <w:spacing w:after="0" w:line="240" w:lineRule="auto"/>
        <w:rPr>
          <w:rFonts w:ascii="Arial Hebrew" w:hAnsi="Arial Hebrew" w:cs="Arial Hebrew" w:hint="cs"/>
          <w:sz w:val="18"/>
          <w:szCs w:val="18"/>
          <w:lang w:val="en-US"/>
        </w:rPr>
      </w:pPr>
      <w:r w:rsidRPr="00D9004F">
        <w:rPr>
          <w:rStyle w:val="FootnoteReference"/>
          <w:rFonts w:ascii="Arial Hebrew" w:hAnsi="Arial Hebrew" w:cs="Arial Hebrew" w:hint="cs"/>
          <w:sz w:val="18"/>
          <w:szCs w:val="18"/>
        </w:rPr>
        <w:footnoteRef/>
      </w:r>
      <w:r w:rsidRPr="00D9004F">
        <w:rPr>
          <w:rFonts w:ascii="Arial Hebrew" w:hAnsi="Arial Hebrew" w:cs="Arial Hebrew" w:hint="cs"/>
          <w:sz w:val="18"/>
          <w:szCs w:val="18"/>
        </w:rPr>
        <w:t xml:space="preserve"> The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504"/>
    <w:multiLevelType w:val="hybridMultilevel"/>
    <w:tmpl w:val="8B188598"/>
    <w:lvl w:ilvl="0" w:tplc="567EB1D2">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8C19AA"/>
    <w:multiLevelType w:val="hybridMultilevel"/>
    <w:tmpl w:val="ED7415CC"/>
    <w:lvl w:ilvl="0" w:tplc="0809000F">
      <w:start w:val="1"/>
      <w:numFmt w:val="decimal"/>
      <w:lvlText w:val="%1."/>
      <w:lvlJc w:val="left"/>
      <w:pPr>
        <w:ind w:left="720" w:hanging="360"/>
      </w:pPr>
      <w:rPr>
        <w:rFonts w:hint="default"/>
      </w:rPr>
    </w:lvl>
    <w:lvl w:ilvl="1" w:tplc="469403FE">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976A24"/>
    <w:multiLevelType w:val="multilevel"/>
    <w:tmpl w:val="4BFC600E"/>
    <w:styleLink w:val="CurrentList2"/>
    <w:lvl w:ilvl="0">
      <w:start w:val="1"/>
      <w:numFmt w:val="bullet"/>
      <w:lvlText w:val=""/>
      <w:lvlJc w:val="left"/>
      <w:pPr>
        <w:ind w:left="108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23"/>
      </w:pPr>
      <w:rPr>
        <w:rFonts w:ascii="Symbol" w:hAnsi="Symbol" w:hint="default"/>
      </w:rPr>
    </w:lvl>
    <w:lvl w:ilvl="3">
      <w:start w:val="1"/>
      <w:numFmt w:val="bullet"/>
      <w:lvlText w:val="o"/>
      <w:lvlJc w:val="left"/>
      <w:pPr>
        <w:ind w:left="360" w:hanging="360"/>
      </w:pPr>
      <w:rPr>
        <w:rFonts w:ascii="Courier New" w:hAnsi="Courier New" w:hint="default"/>
      </w:rPr>
    </w:lvl>
    <w:lvl w:ilvl="4">
      <w:start w:val="1"/>
      <w:numFmt w:val="bullet"/>
      <w:lvlText w:val="o"/>
      <w:lvlJc w:val="left"/>
      <w:pPr>
        <w:ind w:left="513" w:firstLine="207"/>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03285"/>
    <w:multiLevelType w:val="hybridMultilevel"/>
    <w:tmpl w:val="9466B5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410A02"/>
    <w:multiLevelType w:val="hybridMultilevel"/>
    <w:tmpl w:val="0EEA643C"/>
    <w:lvl w:ilvl="0" w:tplc="FFFFFFFF">
      <w:start w:val="1"/>
      <w:numFmt w:val="decimal"/>
      <w:lvlText w:val="%1."/>
      <w:lvlJc w:val="left"/>
      <w:pPr>
        <w:ind w:left="720" w:hanging="360"/>
      </w:pPr>
    </w:lvl>
    <w:lvl w:ilvl="1" w:tplc="B59EE5D4">
      <w:start w:val="1"/>
      <w:numFmt w:val="decimal"/>
      <w:lvlText w:val="%2."/>
      <w:lvlJc w:val="left"/>
      <w:pPr>
        <w:ind w:left="1440" w:hanging="360"/>
      </w:pPr>
      <w:rPr>
        <w:b w:val="0"/>
        <w:bCs w:val="0"/>
        <w:i/>
        <w:i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8C408A"/>
    <w:multiLevelType w:val="hybridMultilevel"/>
    <w:tmpl w:val="0F7C7602"/>
    <w:lvl w:ilvl="0" w:tplc="08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0C1685D"/>
    <w:multiLevelType w:val="hybridMultilevel"/>
    <w:tmpl w:val="211E00E6"/>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21713"/>
    <w:multiLevelType w:val="hybridMultilevel"/>
    <w:tmpl w:val="EC3E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B2AFE"/>
    <w:multiLevelType w:val="multilevel"/>
    <w:tmpl w:val="33A4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02E40"/>
    <w:multiLevelType w:val="hybridMultilevel"/>
    <w:tmpl w:val="2FD2F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513922"/>
    <w:multiLevelType w:val="hybridMultilevel"/>
    <w:tmpl w:val="B83458CA"/>
    <w:lvl w:ilvl="0" w:tplc="4C76C8E0">
      <w:start w:val="3"/>
      <w:numFmt w:val="bullet"/>
      <w:lvlText w:val="-"/>
      <w:lvlJc w:val="left"/>
      <w:pPr>
        <w:ind w:left="400" w:hanging="360"/>
      </w:pPr>
      <w:rPr>
        <w:rFonts w:ascii="Arial" w:eastAsiaTheme="minorEastAsia" w:hAnsi="Arial" w:cs="Arial" w:hint="default"/>
        <w:color w:val="auto"/>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1" w15:restartNumberingAfterBreak="0">
    <w:nsid w:val="23DE26DA"/>
    <w:multiLevelType w:val="hybridMultilevel"/>
    <w:tmpl w:val="47E0EFAA"/>
    <w:lvl w:ilvl="0" w:tplc="F27ACC84">
      <w:start w:val="1"/>
      <w:numFmt w:val="decimal"/>
      <w:lvlText w:val="%1."/>
      <w:lvlJc w:val="left"/>
      <w:pPr>
        <w:ind w:left="720" w:hanging="360"/>
      </w:pPr>
      <w:rPr>
        <w:rFonts w:hint="default"/>
        <w:b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E5780"/>
    <w:multiLevelType w:val="multilevel"/>
    <w:tmpl w:val="221A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8D53E06"/>
    <w:multiLevelType w:val="hybridMultilevel"/>
    <w:tmpl w:val="45B45A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0E18A6"/>
    <w:multiLevelType w:val="multilevel"/>
    <w:tmpl w:val="33CC65F8"/>
    <w:numStyleLink w:val="CurrentList1"/>
  </w:abstractNum>
  <w:abstractNum w:abstractNumId="16" w15:restartNumberingAfterBreak="0">
    <w:nsid w:val="32D84AC1"/>
    <w:multiLevelType w:val="multilevel"/>
    <w:tmpl w:val="3F0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3477DB"/>
    <w:multiLevelType w:val="hybridMultilevel"/>
    <w:tmpl w:val="C1F6B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FC459C"/>
    <w:multiLevelType w:val="hybridMultilevel"/>
    <w:tmpl w:val="348C6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244070"/>
    <w:multiLevelType w:val="hybridMultilevel"/>
    <w:tmpl w:val="D0C0CEC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23"/>
      </w:pPr>
      <w:rPr>
        <w:rFonts w:ascii="Symbol" w:hAnsi="Symbol" w:hint="default"/>
      </w:rPr>
    </w:lvl>
    <w:lvl w:ilvl="3" w:tplc="FFFFFFFF">
      <w:start w:val="1"/>
      <w:numFmt w:val="bullet"/>
      <w:lvlText w:val="o"/>
      <w:lvlJc w:val="left"/>
      <w:pPr>
        <w:ind w:left="360" w:hanging="360"/>
      </w:pPr>
      <w:rPr>
        <w:rFonts w:ascii="Courier New" w:hAnsi="Courier New" w:hint="default"/>
      </w:rPr>
    </w:lvl>
    <w:lvl w:ilvl="4" w:tplc="FFFFFFFF">
      <w:start w:val="1"/>
      <w:numFmt w:val="bullet"/>
      <w:lvlText w:val="o"/>
      <w:lvlJc w:val="left"/>
      <w:pPr>
        <w:ind w:left="513" w:firstLine="207"/>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AAA415D"/>
    <w:multiLevelType w:val="hybridMultilevel"/>
    <w:tmpl w:val="4E68464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DA08DE54">
      <w:start w:val="1"/>
      <w:numFmt w:val="bullet"/>
      <w:lvlText w:val=""/>
      <w:lvlJc w:val="left"/>
      <w:pPr>
        <w:ind w:left="720" w:hanging="323"/>
      </w:pPr>
      <w:rPr>
        <w:rFonts w:ascii="Symbol" w:hAnsi="Symbol" w:hint="default"/>
      </w:rPr>
    </w:lvl>
    <w:lvl w:ilvl="3" w:tplc="08090003">
      <w:start w:val="1"/>
      <w:numFmt w:val="bullet"/>
      <w:lvlText w:val="o"/>
      <w:lvlJc w:val="left"/>
      <w:pPr>
        <w:ind w:left="720" w:hanging="360"/>
      </w:pPr>
      <w:rPr>
        <w:rFonts w:ascii="Courier New" w:hAnsi="Courier New" w:hint="default"/>
      </w:rPr>
    </w:lvl>
    <w:lvl w:ilvl="4" w:tplc="B412A532">
      <w:start w:val="1"/>
      <w:numFmt w:val="bullet"/>
      <w:lvlText w:val="o"/>
      <w:lvlJc w:val="left"/>
      <w:pPr>
        <w:ind w:left="873" w:firstLine="207"/>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2" w15:restartNumberingAfterBreak="0">
    <w:nsid w:val="3ABE57BD"/>
    <w:multiLevelType w:val="hybridMultilevel"/>
    <w:tmpl w:val="49049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F007C2"/>
    <w:multiLevelType w:val="hybridMultilevel"/>
    <w:tmpl w:val="826045A8"/>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D0133A"/>
    <w:multiLevelType w:val="hybridMultilevel"/>
    <w:tmpl w:val="814E2926"/>
    <w:lvl w:ilvl="0" w:tplc="D3F4B3F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DED5D9F"/>
    <w:multiLevelType w:val="hybridMultilevel"/>
    <w:tmpl w:val="4B5EC7A4"/>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6" w15:restartNumberingAfterBreak="0">
    <w:nsid w:val="3F2A6D97"/>
    <w:multiLevelType w:val="multilevel"/>
    <w:tmpl w:val="1A3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B42D9"/>
    <w:multiLevelType w:val="hybridMultilevel"/>
    <w:tmpl w:val="7C707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005139"/>
    <w:multiLevelType w:val="hybridMultilevel"/>
    <w:tmpl w:val="1D1400D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47F1F"/>
    <w:multiLevelType w:val="hybridMultilevel"/>
    <w:tmpl w:val="78A4A5D8"/>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342F07"/>
    <w:multiLevelType w:val="hybridMultilevel"/>
    <w:tmpl w:val="C9C0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0F6348"/>
    <w:multiLevelType w:val="multilevel"/>
    <w:tmpl w:val="204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A145F8"/>
    <w:multiLevelType w:val="hybridMultilevel"/>
    <w:tmpl w:val="18A853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FAF3751"/>
    <w:multiLevelType w:val="multilevel"/>
    <w:tmpl w:val="33CC65F8"/>
    <w:styleLink w:val="CurrentList1"/>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23"/>
      </w:pPr>
      <w:rPr>
        <w:rFonts w:ascii="Symbol" w:hAnsi="Symbol" w:hint="default"/>
      </w:rPr>
    </w:lvl>
    <w:lvl w:ilvl="3">
      <w:start w:val="1"/>
      <w:numFmt w:val="bullet"/>
      <w:lvlText w:val="o"/>
      <w:lvlJc w:val="left"/>
      <w:pPr>
        <w:ind w:left="720" w:hanging="360"/>
      </w:pPr>
      <w:rPr>
        <w:rFonts w:ascii="Courier New" w:hAnsi="Courier New" w:hint="default"/>
      </w:rPr>
    </w:lvl>
    <w:lvl w:ilvl="4">
      <w:start w:val="1"/>
      <w:numFmt w:val="bullet"/>
      <w:lvlText w:val="o"/>
      <w:lvlJc w:val="left"/>
      <w:pPr>
        <w:ind w:left="873" w:firstLine="207"/>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53CB6A3A"/>
    <w:multiLevelType w:val="hybridMultilevel"/>
    <w:tmpl w:val="39748A76"/>
    <w:lvl w:ilvl="0" w:tplc="89FC24E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56646F61"/>
    <w:multiLevelType w:val="hybridMultilevel"/>
    <w:tmpl w:val="BE7AF53E"/>
    <w:lvl w:ilvl="0" w:tplc="0809000F">
      <w:start w:val="1"/>
      <w:numFmt w:val="decimal"/>
      <w:lvlText w:val="%1."/>
      <w:lvlJc w:val="left"/>
      <w:pPr>
        <w:ind w:left="720" w:hanging="360"/>
      </w:pPr>
      <w:rPr>
        <w:rFonts w:hint="default"/>
      </w:rPr>
    </w:lvl>
    <w:lvl w:ilvl="1" w:tplc="08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5E106142"/>
    <w:multiLevelType w:val="hybridMultilevel"/>
    <w:tmpl w:val="D9C04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8A0A71"/>
    <w:multiLevelType w:val="hybridMultilevel"/>
    <w:tmpl w:val="8A429804"/>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21C0819"/>
    <w:multiLevelType w:val="hybridMultilevel"/>
    <w:tmpl w:val="AE1E468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55162A"/>
    <w:multiLevelType w:val="hybridMultilevel"/>
    <w:tmpl w:val="D6A8AA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0B676A"/>
    <w:multiLevelType w:val="hybridMultilevel"/>
    <w:tmpl w:val="58E6E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67724EA5"/>
    <w:multiLevelType w:val="hybridMultilevel"/>
    <w:tmpl w:val="B1046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14E7ED1"/>
    <w:multiLevelType w:val="hybridMultilevel"/>
    <w:tmpl w:val="CC0A56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48F6AF9"/>
    <w:multiLevelType w:val="hybridMultilevel"/>
    <w:tmpl w:val="348C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040853"/>
    <w:multiLevelType w:val="hybridMultilevel"/>
    <w:tmpl w:val="1CF2E0C6"/>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F953F81"/>
    <w:multiLevelType w:val="hybridMultilevel"/>
    <w:tmpl w:val="39389C36"/>
    <w:lvl w:ilvl="0" w:tplc="08090001">
      <w:start w:val="1"/>
      <w:numFmt w:val="bullet"/>
      <w:lvlText w:val=""/>
      <w:lvlJc w:val="left"/>
      <w:pPr>
        <w:ind w:left="1440" w:hanging="360"/>
      </w:pPr>
      <w:rPr>
        <w:rFonts w:ascii="Symbol" w:hAnsi="Symbol" w:hint="default"/>
      </w:rPr>
    </w:lvl>
    <w:lvl w:ilvl="1" w:tplc="FFFFFFF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081754907">
    <w:abstractNumId w:val="43"/>
  </w:num>
  <w:num w:numId="2" w16cid:durableId="728117856">
    <w:abstractNumId w:val="46"/>
  </w:num>
  <w:num w:numId="3" w16cid:durableId="837158990">
    <w:abstractNumId w:val="33"/>
  </w:num>
  <w:num w:numId="4" w16cid:durableId="1078213297">
    <w:abstractNumId w:val="42"/>
  </w:num>
  <w:num w:numId="5" w16cid:durableId="200048263">
    <w:abstractNumId w:val="41"/>
  </w:num>
  <w:num w:numId="6" w16cid:durableId="1576209216">
    <w:abstractNumId w:val="30"/>
  </w:num>
  <w:num w:numId="7" w16cid:durableId="600378160">
    <w:abstractNumId w:val="37"/>
  </w:num>
  <w:num w:numId="8" w16cid:durableId="20399753">
    <w:abstractNumId w:val="31"/>
  </w:num>
  <w:num w:numId="9" w16cid:durableId="1002242394">
    <w:abstractNumId w:val="28"/>
  </w:num>
  <w:num w:numId="10" w16cid:durableId="1125923010">
    <w:abstractNumId w:val="1"/>
  </w:num>
  <w:num w:numId="11" w16cid:durableId="836924970">
    <w:abstractNumId w:val="36"/>
  </w:num>
  <w:num w:numId="12" w16cid:durableId="1195002452">
    <w:abstractNumId w:val="17"/>
  </w:num>
  <w:num w:numId="13" w16cid:durableId="721100793">
    <w:abstractNumId w:val="29"/>
  </w:num>
  <w:num w:numId="14" w16cid:durableId="67465427">
    <w:abstractNumId w:val="10"/>
  </w:num>
  <w:num w:numId="15" w16cid:durableId="1672486290">
    <w:abstractNumId w:val="13"/>
  </w:num>
  <w:num w:numId="16" w16cid:durableId="1709797160">
    <w:abstractNumId w:val="14"/>
  </w:num>
  <w:num w:numId="17" w16cid:durableId="1679697614">
    <w:abstractNumId w:val="39"/>
  </w:num>
  <w:num w:numId="18" w16cid:durableId="1239249838">
    <w:abstractNumId w:val="22"/>
  </w:num>
  <w:num w:numId="19" w16cid:durableId="1958370648">
    <w:abstractNumId w:val="21"/>
  </w:num>
  <w:num w:numId="20" w16cid:durableId="1508863971">
    <w:abstractNumId w:val="34"/>
  </w:num>
  <w:num w:numId="21" w16cid:durableId="1316033921">
    <w:abstractNumId w:val="15"/>
  </w:num>
  <w:num w:numId="22" w16cid:durableId="953944466">
    <w:abstractNumId w:val="2"/>
  </w:num>
  <w:num w:numId="23" w16cid:durableId="1130129209">
    <w:abstractNumId w:val="20"/>
  </w:num>
  <w:num w:numId="24" w16cid:durableId="524098518">
    <w:abstractNumId w:val="8"/>
  </w:num>
  <w:num w:numId="25" w16cid:durableId="48307362">
    <w:abstractNumId w:val="16"/>
  </w:num>
  <w:num w:numId="26" w16cid:durableId="332925551">
    <w:abstractNumId w:val="32"/>
  </w:num>
  <w:num w:numId="27" w16cid:durableId="1314602586">
    <w:abstractNumId w:val="12"/>
  </w:num>
  <w:num w:numId="28" w16cid:durableId="184906961">
    <w:abstractNumId w:val="26"/>
  </w:num>
  <w:num w:numId="29" w16cid:durableId="1905795">
    <w:abstractNumId w:val="9"/>
  </w:num>
  <w:num w:numId="30" w16cid:durableId="1528716171">
    <w:abstractNumId w:val="18"/>
  </w:num>
  <w:num w:numId="31" w16cid:durableId="222107283">
    <w:abstractNumId w:val="27"/>
  </w:num>
  <w:num w:numId="32" w16cid:durableId="143664186">
    <w:abstractNumId w:val="45"/>
  </w:num>
  <w:num w:numId="33" w16cid:durableId="282005594">
    <w:abstractNumId w:val="4"/>
  </w:num>
  <w:num w:numId="34" w16cid:durableId="910695472">
    <w:abstractNumId w:val="11"/>
  </w:num>
  <w:num w:numId="35" w16cid:durableId="541794936">
    <w:abstractNumId w:val="5"/>
  </w:num>
  <w:num w:numId="36" w16cid:durableId="1279994917">
    <w:abstractNumId w:val="24"/>
  </w:num>
  <w:num w:numId="37" w16cid:durableId="609554424">
    <w:abstractNumId w:val="0"/>
  </w:num>
  <w:num w:numId="38" w16cid:durableId="237398757">
    <w:abstractNumId w:val="35"/>
  </w:num>
  <w:num w:numId="39" w16cid:durableId="60181482">
    <w:abstractNumId w:val="6"/>
  </w:num>
  <w:num w:numId="40" w16cid:durableId="1077290301">
    <w:abstractNumId w:val="38"/>
  </w:num>
  <w:num w:numId="41" w16cid:durableId="558832151">
    <w:abstractNumId w:val="7"/>
  </w:num>
  <w:num w:numId="42" w16cid:durableId="1299645492">
    <w:abstractNumId w:val="44"/>
  </w:num>
  <w:num w:numId="43" w16cid:durableId="2012831067">
    <w:abstractNumId w:val="25"/>
  </w:num>
  <w:num w:numId="44" w16cid:durableId="1899046721">
    <w:abstractNumId w:val="48"/>
  </w:num>
  <w:num w:numId="45" w16cid:durableId="2142112721">
    <w:abstractNumId w:val="47"/>
  </w:num>
  <w:num w:numId="46" w16cid:durableId="1605111703">
    <w:abstractNumId w:val="23"/>
  </w:num>
  <w:num w:numId="47" w16cid:durableId="51118972">
    <w:abstractNumId w:val="40"/>
  </w:num>
  <w:num w:numId="48" w16cid:durableId="422384047">
    <w:abstractNumId w:val="3"/>
  </w:num>
  <w:num w:numId="49" w16cid:durableId="11518274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19"/>
    <w:rsid w:val="001461B9"/>
    <w:rsid w:val="00410C97"/>
    <w:rsid w:val="004E5C1E"/>
    <w:rsid w:val="00570F3B"/>
    <w:rsid w:val="00727C84"/>
    <w:rsid w:val="008E6D88"/>
    <w:rsid w:val="00EE7F6B"/>
    <w:rsid w:val="00F23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CE5C"/>
  <w15:chartTrackingRefBased/>
  <w15:docId w15:val="{DEB2D902-D33F-6D44-978A-97FAD941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19"/>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2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3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3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3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3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319"/>
    <w:rPr>
      <w:rFonts w:eastAsiaTheme="majorEastAsia" w:cstheme="majorBidi"/>
      <w:color w:val="272727" w:themeColor="text1" w:themeTint="D8"/>
    </w:rPr>
  </w:style>
  <w:style w:type="paragraph" w:styleId="Title">
    <w:name w:val="Title"/>
    <w:basedOn w:val="Normal"/>
    <w:next w:val="Normal"/>
    <w:link w:val="TitleChar"/>
    <w:uiPriority w:val="10"/>
    <w:qFormat/>
    <w:rsid w:val="00F233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3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3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319"/>
    <w:rPr>
      <w:i/>
      <w:iCs/>
      <w:color w:val="404040" w:themeColor="text1" w:themeTint="BF"/>
    </w:rPr>
  </w:style>
  <w:style w:type="paragraph" w:styleId="ListParagraph">
    <w:name w:val="List Paragraph"/>
    <w:basedOn w:val="Normal"/>
    <w:uiPriority w:val="34"/>
    <w:qFormat/>
    <w:rsid w:val="00F23319"/>
    <w:pPr>
      <w:ind w:left="720"/>
      <w:contextualSpacing/>
    </w:pPr>
  </w:style>
  <w:style w:type="character" w:styleId="IntenseEmphasis">
    <w:name w:val="Intense Emphasis"/>
    <w:basedOn w:val="DefaultParagraphFont"/>
    <w:uiPriority w:val="21"/>
    <w:qFormat/>
    <w:rsid w:val="00F23319"/>
    <w:rPr>
      <w:i/>
      <w:iCs/>
      <w:color w:val="0F4761" w:themeColor="accent1" w:themeShade="BF"/>
    </w:rPr>
  </w:style>
  <w:style w:type="paragraph" w:styleId="IntenseQuote">
    <w:name w:val="Intense Quote"/>
    <w:basedOn w:val="Normal"/>
    <w:next w:val="Normal"/>
    <w:link w:val="IntenseQuoteChar"/>
    <w:uiPriority w:val="30"/>
    <w:qFormat/>
    <w:rsid w:val="00F2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319"/>
    <w:rPr>
      <w:i/>
      <w:iCs/>
      <w:color w:val="0F4761" w:themeColor="accent1" w:themeShade="BF"/>
    </w:rPr>
  </w:style>
  <w:style w:type="character" w:styleId="IntenseReference">
    <w:name w:val="Intense Reference"/>
    <w:basedOn w:val="DefaultParagraphFont"/>
    <w:uiPriority w:val="32"/>
    <w:qFormat/>
    <w:rsid w:val="00F23319"/>
    <w:rPr>
      <w:b/>
      <w:bCs/>
      <w:smallCaps/>
      <w:color w:val="0F4761" w:themeColor="accent1" w:themeShade="BF"/>
      <w:spacing w:val="5"/>
    </w:rPr>
  </w:style>
  <w:style w:type="paragraph" w:styleId="FootnoteText">
    <w:name w:val="footnote text"/>
    <w:basedOn w:val="Normal"/>
    <w:link w:val="FootnoteTextChar"/>
    <w:uiPriority w:val="99"/>
    <w:semiHidden/>
    <w:unhideWhenUsed/>
    <w:rsid w:val="00F23319"/>
    <w:rPr>
      <w:sz w:val="20"/>
      <w:szCs w:val="20"/>
    </w:rPr>
  </w:style>
  <w:style w:type="character" w:customStyle="1" w:styleId="FootnoteTextChar">
    <w:name w:val="Footnote Text Char"/>
    <w:basedOn w:val="DefaultParagraphFont"/>
    <w:link w:val="FootnoteText"/>
    <w:uiPriority w:val="99"/>
    <w:semiHidden/>
    <w:rsid w:val="00F23319"/>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F23319"/>
    <w:rPr>
      <w:vertAlign w:val="superscript"/>
    </w:rPr>
  </w:style>
  <w:style w:type="table" w:styleId="TableGrid">
    <w:name w:val="Table Grid"/>
    <w:basedOn w:val="TableNormal"/>
    <w:uiPriority w:val="39"/>
    <w:rsid w:val="00F23319"/>
    <w:pPr>
      <w:spacing w:after="200" w:line="276"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23319"/>
    <w:pPr>
      <w:spacing w:line="240" w:lineRule="auto"/>
    </w:pPr>
    <w:rPr>
      <w:b/>
      <w:bCs/>
      <w:color w:val="156082" w:themeColor="accent1"/>
      <w:sz w:val="18"/>
      <w:szCs w:val="18"/>
    </w:rPr>
  </w:style>
  <w:style w:type="character" w:styleId="Strong">
    <w:name w:val="Strong"/>
    <w:basedOn w:val="DefaultParagraphFont"/>
    <w:uiPriority w:val="22"/>
    <w:qFormat/>
    <w:rsid w:val="00F23319"/>
    <w:rPr>
      <w:b/>
      <w:bCs/>
    </w:rPr>
  </w:style>
  <w:style w:type="character" w:styleId="Emphasis">
    <w:name w:val="Emphasis"/>
    <w:basedOn w:val="DefaultParagraphFont"/>
    <w:uiPriority w:val="20"/>
    <w:qFormat/>
    <w:rsid w:val="00F23319"/>
    <w:rPr>
      <w:i/>
      <w:iCs/>
    </w:rPr>
  </w:style>
  <w:style w:type="paragraph" w:styleId="NoSpacing">
    <w:name w:val="No Spacing"/>
    <w:link w:val="NoSpacingChar"/>
    <w:uiPriority w:val="1"/>
    <w:qFormat/>
    <w:rsid w:val="00F23319"/>
    <w:rPr>
      <w:rFonts w:eastAsiaTheme="minorEastAsia"/>
      <w:kern w:val="0"/>
      <w:sz w:val="22"/>
      <w:szCs w:val="22"/>
      <w14:ligatures w14:val="none"/>
    </w:rPr>
  </w:style>
  <w:style w:type="character" w:styleId="SubtleEmphasis">
    <w:name w:val="Subtle Emphasis"/>
    <w:basedOn w:val="DefaultParagraphFont"/>
    <w:uiPriority w:val="19"/>
    <w:qFormat/>
    <w:rsid w:val="00F23319"/>
    <w:rPr>
      <w:i/>
      <w:iCs/>
      <w:color w:val="808080" w:themeColor="text1" w:themeTint="7F"/>
    </w:rPr>
  </w:style>
  <w:style w:type="character" w:styleId="SubtleReference">
    <w:name w:val="Subtle Reference"/>
    <w:basedOn w:val="DefaultParagraphFont"/>
    <w:uiPriority w:val="31"/>
    <w:qFormat/>
    <w:rsid w:val="00F23319"/>
    <w:rPr>
      <w:smallCaps/>
      <w:color w:val="E97132" w:themeColor="accent2"/>
      <w:u w:val="single"/>
    </w:rPr>
  </w:style>
  <w:style w:type="character" w:styleId="BookTitle">
    <w:name w:val="Book Title"/>
    <w:basedOn w:val="DefaultParagraphFont"/>
    <w:uiPriority w:val="33"/>
    <w:qFormat/>
    <w:rsid w:val="00F23319"/>
    <w:rPr>
      <w:b/>
      <w:bCs/>
      <w:smallCaps/>
      <w:spacing w:val="5"/>
    </w:rPr>
  </w:style>
  <w:style w:type="paragraph" w:styleId="TOCHeading">
    <w:name w:val="TOC Heading"/>
    <w:basedOn w:val="Heading1"/>
    <w:next w:val="Normal"/>
    <w:uiPriority w:val="39"/>
    <w:semiHidden/>
    <w:unhideWhenUsed/>
    <w:qFormat/>
    <w:rsid w:val="00F23319"/>
    <w:pPr>
      <w:spacing w:before="480" w:after="0"/>
      <w:outlineLvl w:val="9"/>
    </w:pPr>
    <w:rPr>
      <w:b/>
      <w:bCs/>
      <w:sz w:val="28"/>
      <w:szCs w:val="28"/>
    </w:rPr>
  </w:style>
  <w:style w:type="character" w:customStyle="1" w:styleId="NoSpacingChar">
    <w:name w:val="No Spacing Char"/>
    <w:basedOn w:val="DefaultParagraphFont"/>
    <w:link w:val="NoSpacing"/>
    <w:uiPriority w:val="1"/>
    <w:rsid w:val="00F23319"/>
    <w:rPr>
      <w:rFonts w:eastAsiaTheme="minorEastAsia"/>
      <w:kern w:val="0"/>
      <w:sz w:val="22"/>
      <w:szCs w:val="22"/>
      <w14:ligatures w14:val="none"/>
    </w:rPr>
  </w:style>
  <w:style w:type="character" w:styleId="Hyperlink">
    <w:name w:val="Hyperlink"/>
    <w:basedOn w:val="DefaultParagraphFont"/>
    <w:uiPriority w:val="99"/>
    <w:unhideWhenUsed/>
    <w:rsid w:val="00F23319"/>
    <w:rPr>
      <w:color w:val="467886" w:themeColor="hyperlink"/>
      <w:u w:val="single"/>
    </w:rPr>
  </w:style>
  <w:style w:type="character" w:styleId="UnresolvedMention">
    <w:name w:val="Unresolved Mention"/>
    <w:basedOn w:val="DefaultParagraphFont"/>
    <w:uiPriority w:val="99"/>
    <w:semiHidden/>
    <w:unhideWhenUsed/>
    <w:rsid w:val="00F23319"/>
    <w:rPr>
      <w:color w:val="605E5C"/>
      <w:shd w:val="clear" w:color="auto" w:fill="E1DFDD"/>
    </w:rPr>
  </w:style>
  <w:style w:type="numbering" w:customStyle="1" w:styleId="CurrentList1">
    <w:name w:val="Current List1"/>
    <w:uiPriority w:val="99"/>
    <w:rsid w:val="00F23319"/>
    <w:pPr>
      <w:numPr>
        <w:numId w:val="20"/>
      </w:numPr>
    </w:pPr>
  </w:style>
  <w:style w:type="numbering" w:customStyle="1" w:styleId="CurrentList2">
    <w:name w:val="Current List2"/>
    <w:uiPriority w:val="99"/>
    <w:rsid w:val="00F23319"/>
    <w:pPr>
      <w:numPr>
        <w:numId w:val="22"/>
      </w:numPr>
    </w:pPr>
  </w:style>
  <w:style w:type="character" w:customStyle="1" w:styleId="ms-1">
    <w:name w:val="ms-1"/>
    <w:basedOn w:val="DefaultParagraphFont"/>
    <w:rsid w:val="00F23319"/>
  </w:style>
  <w:style w:type="character" w:customStyle="1" w:styleId="max-w-full">
    <w:name w:val="max-w-full"/>
    <w:basedOn w:val="DefaultParagraphFont"/>
    <w:rsid w:val="00F23319"/>
  </w:style>
  <w:style w:type="character" w:styleId="FollowedHyperlink">
    <w:name w:val="FollowedHyperlink"/>
    <w:basedOn w:val="DefaultParagraphFont"/>
    <w:uiPriority w:val="99"/>
    <w:semiHidden/>
    <w:unhideWhenUsed/>
    <w:rsid w:val="00F233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3175">
              <a:solidFill>
                <a:srgbClr val="002060"/>
              </a:solidFill>
            </a:ln>
          </c:spPr>
          <c:dPt>
            <c:idx val="0"/>
            <c:bubble3D val="0"/>
            <c:spPr>
              <a:solidFill>
                <a:srgbClr val="00BDBF"/>
              </a:solidFill>
              <a:ln w="3175">
                <a:solidFill>
                  <a:srgbClr val="002060"/>
                </a:solidFill>
              </a:ln>
            </c:spPr>
            <c:extLst>
              <c:ext xmlns:c16="http://schemas.microsoft.com/office/drawing/2014/chart" uri="{C3380CC4-5D6E-409C-BE32-E72D297353CC}">
                <c16:uniqueId val="{00000001-C2F6-934A-86A2-E103C09EB655}"/>
              </c:ext>
            </c:extLst>
          </c:dPt>
          <c:dPt>
            <c:idx val="8"/>
            <c:bubble3D val="0"/>
            <c:spPr>
              <a:solidFill>
                <a:schemeClr val="accent2"/>
              </a:solidFill>
              <a:ln w="3175">
                <a:solidFill>
                  <a:srgbClr val="002060"/>
                </a:solidFill>
              </a:ln>
            </c:spPr>
            <c:extLst>
              <c:ext xmlns:c16="http://schemas.microsoft.com/office/drawing/2014/chart" uri="{C3380CC4-5D6E-409C-BE32-E72D297353CC}">
                <c16:uniqueId val="{00000003-C2F6-934A-86A2-E103C09EB655}"/>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C2F6-934A-86A2-E103C09EB655}"/>
            </c:ext>
          </c:extLst>
        </c:ser>
        <c:ser>
          <c:idx val="1"/>
          <c:order val="1"/>
          <c:spPr>
            <a:ln w="9525">
              <a:solidFill>
                <a:schemeClr val="tx1">
                  <a:lumMod val="50000"/>
                  <a:lumOff val="50000"/>
                </a:schemeClr>
              </a:solidFill>
            </a:ln>
          </c:spPr>
          <c:dPt>
            <c:idx val="0"/>
            <c:bubble3D val="0"/>
            <c:spPr>
              <a:solidFill>
                <a:schemeClr val="accent3">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C2F6-934A-86A2-E103C09EB655}"/>
              </c:ext>
            </c:extLst>
          </c:dPt>
          <c:dPt>
            <c:idx val="1"/>
            <c:bubble3D val="0"/>
            <c:spPr>
              <a:solidFill>
                <a:schemeClr val="accent3">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C2F6-934A-86A2-E103C09EB655}"/>
              </c:ext>
            </c:extLst>
          </c:dPt>
          <c:dPt>
            <c:idx val="2"/>
            <c:bubble3D val="0"/>
            <c:spPr>
              <a:solidFill>
                <a:schemeClr val="accent3">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C2F6-934A-86A2-E103C09EB655}"/>
              </c:ext>
            </c:extLst>
          </c:dPt>
          <c:dPt>
            <c:idx val="3"/>
            <c:bubble3D val="0"/>
            <c:spPr>
              <a:solidFill>
                <a:schemeClr val="accent3"/>
              </a:solidFill>
              <a:ln w="9525">
                <a:solidFill>
                  <a:schemeClr val="tx1">
                    <a:lumMod val="50000"/>
                    <a:lumOff val="50000"/>
                  </a:schemeClr>
                </a:solidFill>
              </a:ln>
            </c:spPr>
            <c:extLst>
              <c:ext xmlns:c16="http://schemas.microsoft.com/office/drawing/2014/chart" uri="{C3380CC4-5D6E-409C-BE32-E72D297353CC}">
                <c16:uniqueId val="{0000000C-C2F6-934A-86A2-E103C09EB655}"/>
              </c:ext>
            </c:extLst>
          </c:dPt>
          <c:dPt>
            <c:idx val="4"/>
            <c:bubble3D val="0"/>
            <c:spPr>
              <a:solidFill>
                <a:schemeClr val="accent4">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C2F6-934A-86A2-E103C09EB655}"/>
              </c:ext>
            </c:extLst>
          </c:dPt>
          <c:dPt>
            <c:idx val="5"/>
            <c:bubble3D val="0"/>
            <c:spPr>
              <a:solidFill>
                <a:schemeClr val="accent4">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C2F6-934A-86A2-E103C09EB655}"/>
              </c:ext>
            </c:extLst>
          </c:dPt>
          <c:dPt>
            <c:idx val="6"/>
            <c:bubble3D val="0"/>
            <c:spPr>
              <a:solidFill>
                <a:schemeClr val="accent4">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C2F6-934A-86A2-E103C09EB655}"/>
              </c:ext>
            </c:extLst>
          </c:dPt>
          <c:dPt>
            <c:idx val="7"/>
            <c:bubble3D val="0"/>
            <c:spPr>
              <a:solidFill>
                <a:schemeClr val="accent4"/>
              </a:solidFill>
              <a:ln w="9525">
                <a:solidFill>
                  <a:schemeClr val="tx1">
                    <a:lumMod val="50000"/>
                    <a:lumOff val="50000"/>
                  </a:schemeClr>
                </a:solidFill>
              </a:ln>
            </c:spPr>
            <c:extLst>
              <c:ext xmlns:c16="http://schemas.microsoft.com/office/drawing/2014/chart" uri="{C3380CC4-5D6E-409C-BE32-E72D297353CC}">
                <c16:uniqueId val="{00000014-C2F6-934A-86A2-E103C09EB655}"/>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C2F6-934A-86A2-E103C09EB655}"/>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C2F6-934A-86A2-E103C09EB655}"/>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C2F6-934A-86A2-E103C09EB655}"/>
              </c:ext>
            </c:extLst>
          </c:dPt>
          <c:dPt>
            <c:idx val="11"/>
            <c:bubble3D val="0"/>
            <c:spPr>
              <a:solidFill>
                <a:srgbClr val="E58554"/>
              </a:solidFill>
              <a:ln w="9525">
                <a:solidFill>
                  <a:schemeClr val="tx1">
                    <a:lumMod val="50000"/>
                    <a:lumOff val="50000"/>
                  </a:schemeClr>
                </a:solidFill>
              </a:ln>
            </c:spPr>
            <c:extLst>
              <c:ext xmlns:c16="http://schemas.microsoft.com/office/drawing/2014/chart" uri="{C3380CC4-5D6E-409C-BE32-E72D297353CC}">
                <c16:uniqueId val="{0000001C-C2F6-934A-86A2-E103C09EB655}"/>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C2F6-934A-86A2-E103C09EB655}"/>
            </c:ext>
          </c:extLst>
        </c:ser>
        <c:dLbls>
          <c:showLegendKey val="0"/>
          <c:showVal val="0"/>
          <c:showCatName val="0"/>
          <c:showSerName val="0"/>
          <c:showPercent val="0"/>
          <c:showBubbleSize val="0"/>
          <c:showLeaderLines val="1"/>
        </c:dLbls>
        <c:firstSliceAng val="0"/>
        <c:holeSize val="41"/>
      </c:doughnutChart>
    </c:plotArea>
    <c:plotVisOnly val="1"/>
    <c:dispBlanksAs val="gap"/>
    <c:showDLblsOverMax val="0"/>
    <c:extLst/>
  </c:chart>
  <c:spPr>
    <a:solidFill>
      <a:schemeClr val="bg1">
        <a:lumMod val="95000"/>
      </a:schemeClr>
    </a:solid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161088630154997"/>
          <c:y val="0"/>
          <c:w val="0.70838933970793638"/>
          <c:h val="0.92657833938422363"/>
        </c:manualLayout>
      </c:layout>
      <c:doughnutChart>
        <c:varyColors val="1"/>
        <c:ser>
          <c:idx val="1"/>
          <c:order val="0"/>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Sheet1!$B$1:$B$14</c:f>
              <c:numCache>
                <c:formatCode>General</c:formatCode>
                <c:ptCount val="14"/>
              </c:numCache>
            </c:numRef>
          </c:val>
          <c:extLst>
            <c:ext xmlns:c16="http://schemas.microsoft.com/office/drawing/2014/chart" uri="{C3380CC4-5D6E-409C-BE32-E72D297353CC}">
              <c16:uniqueId val="{00000000-D7EC-C742-A65A-562D4FBA0BF9}"/>
            </c:ext>
          </c:extLst>
        </c:ser>
        <c:ser>
          <c:idx val="2"/>
          <c:order val="1"/>
          <c:spPr>
            <a:ln w="9525">
              <a:solidFill>
                <a:schemeClr val="bg1">
                  <a:lumMod val="50000"/>
                </a:schemeClr>
              </a:solidFill>
            </a:ln>
          </c:spPr>
          <c:dPt>
            <c:idx val="0"/>
            <c:bubble3D val="0"/>
            <c:spPr>
              <a:solidFill>
                <a:schemeClr val="accent3"/>
              </a:solidFill>
              <a:ln w="9525">
                <a:solidFill>
                  <a:schemeClr val="bg1">
                    <a:lumMod val="50000"/>
                  </a:schemeClr>
                </a:solidFill>
              </a:ln>
            </c:spPr>
            <c:extLst>
              <c:ext xmlns:c16="http://schemas.microsoft.com/office/drawing/2014/chart" uri="{C3380CC4-5D6E-409C-BE32-E72D297353CC}">
                <c16:uniqueId val="{00000002-D7EC-C742-A65A-562D4FBA0BF9}"/>
              </c:ext>
            </c:extLst>
          </c:dPt>
          <c:dPt>
            <c:idx val="4"/>
            <c:bubble3D val="0"/>
            <c:spPr>
              <a:solidFill>
                <a:schemeClr val="accent4">
                  <a:lumMod val="50000"/>
                </a:schemeClr>
              </a:solidFill>
              <a:ln w="9525">
                <a:solidFill>
                  <a:schemeClr val="bg1">
                    <a:lumMod val="50000"/>
                  </a:schemeClr>
                </a:solidFill>
              </a:ln>
            </c:spPr>
            <c:extLst>
              <c:ext xmlns:c16="http://schemas.microsoft.com/office/drawing/2014/chart" uri="{C3380CC4-5D6E-409C-BE32-E72D297353CC}">
                <c16:uniqueId val="{00000004-D7EC-C742-A65A-562D4FBA0BF9}"/>
              </c:ext>
            </c:extLst>
          </c:dPt>
          <c:dPt>
            <c:idx val="7"/>
            <c:bubble3D val="0"/>
            <c:spPr>
              <a:solidFill>
                <a:srgbClr val="FF2600"/>
              </a:solidFill>
              <a:ln w="9525">
                <a:solidFill>
                  <a:schemeClr val="bg1">
                    <a:lumMod val="50000"/>
                  </a:schemeClr>
                </a:solidFill>
              </a:ln>
            </c:spPr>
            <c:extLst>
              <c:ext xmlns:c16="http://schemas.microsoft.com/office/drawing/2014/chart" uri="{C3380CC4-5D6E-409C-BE32-E72D297353CC}">
                <c16:uniqueId val="{00000006-D7EC-C742-A65A-562D4FBA0BF9}"/>
              </c:ext>
            </c:extLst>
          </c:dPt>
          <c:dPt>
            <c:idx val="11"/>
            <c:bubble3D val="0"/>
            <c:spPr>
              <a:solidFill>
                <a:srgbClr val="FF9300"/>
              </a:solidFill>
              <a:ln w="9525">
                <a:solidFill>
                  <a:schemeClr val="bg1">
                    <a:lumMod val="50000"/>
                  </a:schemeClr>
                </a:solidFill>
              </a:ln>
            </c:spPr>
            <c:extLst>
              <c:ext xmlns:c16="http://schemas.microsoft.com/office/drawing/2014/chart" uri="{C3380CC4-5D6E-409C-BE32-E72D297353CC}">
                <c16:uniqueId val="{00000008-D7EC-C742-A65A-562D4FBA0BF9}"/>
              </c:ext>
            </c:extLst>
          </c:dPt>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Sheet1!$C$1:$C$14</c:f>
              <c:numCache>
                <c:formatCode>General</c:formatCode>
                <c:ptCount val="14"/>
                <c:pt idx="0">
                  <c:v>25</c:v>
                </c:pt>
                <c:pt idx="4">
                  <c:v>30</c:v>
                </c:pt>
                <c:pt idx="7">
                  <c:v>20</c:v>
                </c:pt>
                <c:pt idx="11">
                  <c:v>25</c:v>
                </c:pt>
              </c:numCache>
            </c:numRef>
          </c:val>
          <c:extLst>
            <c:ext xmlns:c16="http://schemas.microsoft.com/office/drawing/2014/chart" uri="{C3380CC4-5D6E-409C-BE32-E72D297353CC}">
              <c16:uniqueId val="{00000009-D7EC-C742-A65A-562D4FBA0BF9}"/>
            </c:ext>
          </c:extLst>
        </c:ser>
        <c:ser>
          <c:idx val="0"/>
          <c:order val="2"/>
          <c:spPr>
            <a:ln w="9525">
              <a:solidFill>
                <a:schemeClr val="bg1">
                  <a:lumMod val="50000"/>
                </a:schemeClr>
              </a:solidFill>
            </a:ln>
          </c:spPr>
          <c:dPt>
            <c:idx val="0"/>
            <c:bubble3D val="0"/>
            <c:spPr>
              <a:solidFill>
                <a:schemeClr val="accent3">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0B-D7EC-C742-A65A-562D4FBA0BF9}"/>
              </c:ext>
            </c:extLst>
          </c:dPt>
          <c:dPt>
            <c:idx val="1"/>
            <c:bubble3D val="0"/>
            <c:spPr>
              <a:solidFill>
                <a:schemeClr val="accent3">
                  <a:lumMod val="40000"/>
                  <a:lumOff val="60000"/>
                </a:schemeClr>
              </a:solidFill>
              <a:ln w="9525">
                <a:solidFill>
                  <a:schemeClr val="bg1">
                    <a:lumMod val="50000"/>
                  </a:schemeClr>
                </a:solidFill>
              </a:ln>
              <a:effectLst/>
            </c:spPr>
            <c:extLst>
              <c:ext xmlns:c16="http://schemas.microsoft.com/office/drawing/2014/chart" uri="{C3380CC4-5D6E-409C-BE32-E72D297353CC}">
                <c16:uniqueId val="{0000000D-D7EC-C742-A65A-562D4FBA0BF9}"/>
              </c:ext>
            </c:extLst>
          </c:dPt>
          <c:dPt>
            <c:idx val="2"/>
            <c:bubble3D val="0"/>
            <c:spPr>
              <a:solidFill>
                <a:schemeClr val="accent3">
                  <a:lumMod val="20000"/>
                  <a:lumOff val="80000"/>
                </a:schemeClr>
              </a:solidFill>
              <a:ln w="9525">
                <a:solidFill>
                  <a:schemeClr val="bg1">
                    <a:lumMod val="50000"/>
                  </a:schemeClr>
                </a:solidFill>
              </a:ln>
              <a:effectLst/>
            </c:spPr>
            <c:extLst>
              <c:ext xmlns:c16="http://schemas.microsoft.com/office/drawing/2014/chart" uri="{C3380CC4-5D6E-409C-BE32-E72D297353CC}">
                <c16:uniqueId val="{0000000F-D7EC-C742-A65A-562D4FBA0BF9}"/>
              </c:ext>
            </c:extLst>
          </c:dPt>
          <c:dPt>
            <c:idx val="3"/>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1-D7EC-C742-A65A-562D4FBA0BF9}"/>
              </c:ext>
            </c:extLst>
          </c:dPt>
          <c:dPt>
            <c:idx val="4"/>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3-D7EC-C742-A65A-562D4FBA0BF9}"/>
              </c:ext>
            </c:extLst>
          </c:dPt>
          <c:dPt>
            <c:idx val="5"/>
            <c:bubble3D val="0"/>
            <c:spPr>
              <a:solidFill>
                <a:schemeClr val="accent4">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15-D7EC-C742-A65A-562D4FBA0BF9}"/>
              </c:ext>
            </c:extLst>
          </c:dPt>
          <c:dPt>
            <c:idx val="6"/>
            <c:bubble3D val="0"/>
            <c:spPr>
              <a:solidFill>
                <a:schemeClr val="accent1">
                  <a:lumMod val="60000"/>
                </a:schemeClr>
              </a:solidFill>
              <a:ln w="9525">
                <a:solidFill>
                  <a:schemeClr val="bg1">
                    <a:lumMod val="50000"/>
                  </a:schemeClr>
                </a:solidFill>
              </a:ln>
              <a:effectLst/>
            </c:spPr>
            <c:extLst>
              <c:ext xmlns:c16="http://schemas.microsoft.com/office/drawing/2014/chart" uri="{C3380CC4-5D6E-409C-BE32-E72D297353CC}">
                <c16:uniqueId val="{00000017-D7EC-C742-A65A-562D4FBA0BF9}"/>
              </c:ext>
            </c:extLst>
          </c:dPt>
          <c:dPt>
            <c:idx val="7"/>
            <c:bubble3D val="0"/>
            <c:spPr>
              <a:solidFill>
                <a:srgbClr val="FF7E79"/>
              </a:solidFill>
              <a:ln w="9525">
                <a:solidFill>
                  <a:schemeClr val="bg1">
                    <a:lumMod val="50000"/>
                  </a:schemeClr>
                </a:solidFill>
              </a:ln>
              <a:effectLst/>
            </c:spPr>
            <c:extLst>
              <c:ext xmlns:c16="http://schemas.microsoft.com/office/drawing/2014/chart" uri="{C3380CC4-5D6E-409C-BE32-E72D297353CC}">
                <c16:uniqueId val="{00000019-D7EC-C742-A65A-562D4FBA0BF9}"/>
              </c:ext>
            </c:extLst>
          </c:dPt>
          <c:dPt>
            <c:idx val="8"/>
            <c:bubble3D val="0"/>
            <c:spPr>
              <a:solidFill>
                <a:srgbClr val="FBA5A1"/>
              </a:solidFill>
              <a:ln w="9525">
                <a:solidFill>
                  <a:schemeClr val="bg1">
                    <a:lumMod val="50000"/>
                  </a:schemeClr>
                </a:solidFill>
              </a:ln>
              <a:effectLst/>
            </c:spPr>
            <c:extLst>
              <c:ext xmlns:c16="http://schemas.microsoft.com/office/drawing/2014/chart" uri="{C3380CC4-5D6E-409C-BE32-E72D297353CC}">
                <c16:uniqueId val="{0000001B-D7EC-C742-A65A-562D4FBA0BF9}"/>
              </c:ext>
            </c:extLst>
          </c:dPt>
          <c:dPt>
            <c:idx val="9"/>
            <c:bubble3D val="0"/>
            <c:spPr>
              <a:solidFill>
                <a:srgbClr val="F6C9C3"/>
              </a:solidFill>
              <a:ln w="9525">
                <a:solidFill>
                  <a:schemeClr val="bg1">
                    <a:lumMod val="50000"/>
                  </a:schemeClr>
                </a:solidFill>
              </a:ln>
              <a:effectLst/>
            </c:spPr>
            <c:extLst>
              <c:ext xmlns:c16="http://schemas.microsoft.com/office/drawing/2014/chart" uri="{C3380CC4-5D6E-409C-BE32-E72D297353CC}">
                <c16:uniqueId val="{0000001D-D7EC-C742-A65A-562D4FBA0BF9}"/>
              </c:ext>
            </c:extLst>
          </c:dPt>
          <c:dPt>
            <c:idx val="10"/>
            <c:bubble3D val="0"/>
            <c:spPr>
              <a:solidFill>
                <a:schemeClr val="accent5">
                  <a:lumMod val="60000"/>
                </a:schemeClr>
              </a:solidFill>
              <a:ln w="9525">
                <a:solidFill>
                  <a:schemeClr val="bg1">
                    <a:lumMod val="50000"/>
                  </a:schemeClr>
                </a:solidFill>
              </a:ln>
              <a:effectLst/>
            </c:spPr>
            <c:extLst>
              <c:ext xmlns:c16="http://schemas.microsoft.com/office/drawing/2014/chart" uri="{C3380CC4-5D6E-409C-BE32-E72D297353CC}">
                <c16:uniqueId val="{0000001F-D7EC-C742-A65A-562D4FBA0BF9}"/>
              </c:ext>
            </c:extLst>
          </c:dPt>
          <c:dPt>
            <c:idx val="11"/>
            <c:bubble3D val="0"/>
            <c:spPr>
              <a:solidFill>
                <a:srgbClr val="FFBA00"/>
              </a:solidFill>
              <a:ln w="9525">
                <a:solidFill>
                  <a:schemeClr val="bg1">
                    <a:lumMod val="50000"/>
                  </a:schemeClr>
                </a:solidFill>
              </a:ln>
              <a:effectLst/>
            </c:spPr>
            <c:extLst>
              <c:ext xmlns:c16="http://schemas.microsoft.com/office/drawing/2014/chart" uri="{C3380CC4-5D6E-409C-BE32-E72D297353CC}">
                <c16:uniqueId val="{00000021-D7EC-C742-A65A-562D4FBA0BF9}"/>
              </c:ext>
            </c:extLst>
          </c:dPt>
          <c:dPt>
            <c:idx val="12"/>
            <c:bubble3D val="0"/>
            <c:spPr>
              <a:solidFill>
                <a:srgbClr val="FFD579"/>
              </a:solidFill>
              <a:ln w="9525">
                <a:solidFill>
                  <a:schemeClr val="bg1">
                    <a:lumMod val="50000"/>
                  </a:schemeClr>
                </a:solidFill>
              </a:ln>
              <a:effectLst/>
            </c:spPr>
            <c:extLst>
              <c:ext xmlns:c16="http://schemas.microsoft.com/office/drawing/2014/chart" uri="{C3380CC4-5D6E-409C-BE32-E72D297353CC}">
                <c16:uniqueId val="{00000023-D7EC-C742-A65A-562D4FBA0BF9}"/>
              </c:ext>
            </c:extLst>
          </c:dPt>
          <c:dPt>
            <c:idx val="13"/>
            <c:bubble3D val="0"/>
            <c:spPr>
              <a:solidFill>
                <a:schemeClr val="accent2">
                  <a:lumMod val="80000"/>
                  <a:lumOff val="20000"/>
                </a:schemeClr>
              </a:solidFill>
              <a:ln w="9525">
                <a:solidFill>
                  <a:schemeClr val="bg1">
                    <a:lumMod val="50000"/>
                  </a:schemeClr>
                </a:solidFill>
              </a:ln>
              <a:effectLst/>
            </c:spPr>
            <c:extLst>
              <c:ext xmlns:c16="http://schemas.microsoft.com/office/drawing/2014/chart" uri="{C3380CC4-5D6E-409C-BE32-E72D297353CC}">
                <c16:uniqueId val="{00000025-D7EC-C742-A65A-562D4FBA0BF9}"/>
              </c:ext>
            </c:extLst>
          </c:dPt>
          <c:cat>
            <c:strRef>
              <c:f>Sheet1!$A$18:$A$31</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Sheet1!$B$18:$B$31</c:f>
              <c:numCache>
                <c:formatCode>General</c:formatCode>
                <c:ptCount val="14"/>
                <c:pt idx="0">
                  <c:v>15</c:v>
                </c:pt>
                <c:pt idx="1">
                  <c:v>5</c:v>
                </c:pt>
                <c:pt idx="2">
                  <c:v>5</c:v>
                </c:pt>
                <c:pt idx="4">
                  <c:v>15</c:v>
                </c:pt>
                <c:pt idx="5">
                  <c:v>15</c:v>
                </c:pt>
                <c:pt idx="7">
                  <c:v>10</c:v>
                </c:pt>
                <c:pt idx="8">
                  <c:v>5</c:v>
                </c:pt>
                <c:pt idx="9">
                  <c:v>5</c:v>
                </c:pt>
                <c:pt idx="11">
                  <c:v>15</c:v>
                </c:pt>
                <c:pt idx="12">
                  <c:v>10</c:v>
                </c:pt>
              </c:numCache>
            </c:numRef>
          </c:val>
          <c:extLst>
            <c:ext xmlns:c16="http://schemas.microsoft.com/office/drawing/2014/chart" uri="{C3380CC4-5D6E-409C-BE32-E72D297353CC}">
              <c16:uniqueId val="{00000026-D7EC-C742-A65A-562D4FBA0BF9}"/>
            </c:ext>
          </c:extLst>
        </c:ser>
        <c:dLbls>
          <c:showLegendKey val="0"/>
          <c:showVal val="0"/>
          <c:showCatName val="0"/>
          <c:showSerName val="0"/>
          <c:showPercent val="0"/>
          <c:showBubbleSize val="0"/>
          <c:showLeaderLines val="1"/>
        </c:dLbls>
        <c:firstSliceAng val="0"/>
        <c:holeSize val="15"/>
      </c:doughnutChart>
    </c:plotArea>
    <c:plotVisOnly val="1"/>
    <c:dispBlanksAs val="gap"/>
    <c:showDLblsOverMax val="0"/>
    <c:extLst/>
  </c:chart>
  <c:spPr>
    <a:noFill/>
    <a:ln>
      <a:noFill/>
    </a:ln>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1</cp:revision>
  <dcterms:created xsi:type="dcterms:W3CDTF">2025-05-25T17:05:00Z</dcterms:created>
  <dcterms:modified xsi:type="dcterms:W3CDTF">2025-05-25T17:05:00Z</dcterms:modified>
</cp:coreProperties>
</file>